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F8254" w14:textId="090F12F2" w:rsidR="001F369E" w:rsidRDefault="00C8473A" w:rsidP="002F644F">
      <w:pPr>
        <w:pStyle w:val="Heading1"/>
        <w:spacing w:before="2040"/>
      </w:pPr>
      <w:bookmarkStart w:id="0" w:name="_Toc122689909"/>
      <w:r>
        <w:t xml:space="preserve">NDIA Annual </w:t>
      </w:r>
      <w:r w:rsidR="00CB4212" w:rsidRPr="003C4413">
        <w:t xml:space="preserve">Report </w:t>
      </w:r>
      <w:r>
        <w:t>2025–26</w:t>
      </w:r>
    </w:p>
    <w:p w14:paraId="16CDFF67" w14:textId="77777777" w:rsidR="005B74B5" w:rsidRDefault="005B74B5" w:rsidP="001F369E">
      <w:pPr>
        <w:rPr>
          <w:lang w:eastAsia="ja-JP"/>
        </w:rPr>
        <w:sectPr w:rsidR="005B74B5" w:rsidSect="00EB1047">
          <w:headerReference w:type="default" r:id="rId11"/>
          <w:footerReference w:type="default" r:id="rId12"/>
          <w:headerReference w:type="first" r:id="rId13"/>
          <w:footerReference w:type="first" r:id="rId14"/>
          <w:type w:val="continuous"/>
          <w:pgSz w:w="11906" w:h="16838" w:code="9"/>
          <w:pgMar w:top="1247" w:right="1361" w:bottom="1247" w:left="1361" w:header="0" w:footer="567" w:gutter="0"/>
          <w:pgNumType w:start="0"/>
          <w:cols w:space="708"/>
          <w:titlePg/>
          <w:docGrid w:linePitch="360"/>
        </w:sectPr>
      </w:pPr>
    </w:p>
    <w:p w14:paraId="6DF8C8BA" w14:textId="5C9F42EE" w:rsidR="003D570C" w:rsidRDefault="00352892" w:rsidP="00EE3869">
      <w:pPr>
        <w:pStyle w:val="Pull-out-Heading"/>
        <w:pBdr>
          <w:top w:val="single" w:sz="4" w:space="6" w:color="6B2976" w:themeColor="text1"/>
          <w:left w:val="single" w:sz="4" w:space="6" w:color="6B2976" w:themeColor="text1"/>
          <w:bottom w:val="single" w:sz="4" w:space="6" w:color="6B2976" w:themeColor="text1"/>
          <w:right w:val="single" w:sz="4" w:space="6" w:color="6B2976" w:themeColor="text1"/>
        </w:pBdr>
        <w:tabs>
          <w:tab w:val="left" w:pos="4253"/>
        </w:tabs>
      </w:pPr>
      <w:r>
        <w:t>John’s built the confidence to pursue his life goals</w:t>
      </w:r>
    </w:p>
    <w:p w14:paraId="169EEFD8" w14:textId="77777777" w:rsidR="00836EDD" w:rsidRDefault="006B07C0" w:rsidP="006B07C0">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6B07C0">
        <w:t>For John, the right supports mean more than practical assistance. They’ve helped him build confidence, independence and the freedom to pursue a life he wants. </w:t>
      </w:r>
    </w:p>
    <w:p w14:paraId="6A63FC9F" w14:textId="77777777" w:rsidR="006B07C0" w:rsidRPr="006B07C0" w:rsidRDefault="006B07C0" w:rsidP="006B07C0">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6B07C0">
        <w:t>The 44-year-old NDIS participant from Queensland is thriving in his community and embracing opportunities he once felt were out of reach. </w:t>
      </w:r>
    </w:p>
    <w:p w14:paraId="18DF40B9" w14:textId="77777777" w:rsidR="006B07C0" w:rsidRPr="006B07C0" w:rsidRDefault="006B07C0" w:rsidP="006B07C0">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6B07C0">
        <w:t>‘I'm living a good life and loving it,’ he said. </w:t>
      </w:r>
    </w:p>
    <w:p w14:paraId="47C2AE55" w14:textId="77777777" w:rsidR="006B07C0" w:rsidRPr="006B07C0" w:rsidRDefault="006B07C0" w:rsidP="006B07C0">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6B07C0">
        <w:t>For years, John wondered what independent living might look like for him. Moving into his own home in 2024 marked an exciting new chapter, but it also came with challenges. </w:t>
      </w:r>
    </w:p>
    <w:p w14:paraId="22C96EDF" w14:textId="1C419C38" w:rsidR="006B07C0" w:rsidRPr="006B07C0" w:rsidRDefault="006B07C0" w:rsidP="006B07C0">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6B07C0">
        <w:t>‘Every little thing I did, I had never done before on my own, so I was second-guessing myself,’ he said. ‘I was thinking, “Am I loading the dishwasher the right way? Is it going to break? How do I clean the sink?”’ </w:t>
      </w:r>
    </w:p>
    <w:p w14:paraId="24AF377B" w14:textId="77777777" w:rsidR="006B07C0" w:rsidRPr="006B07C0" w:rsidRDefault="006B07C0" w:rsidP="006B07C0">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6B07C0">
        <w:t>With support from his family and the NDIS, John gradually developed the skills and confidence to manage day-to-day life independently. </w:t>
      </w:r>
    </w:p>
    <w:p w14:paraId="4A2216F5" w14:textId="7056DD4F" w:rsidR="006B07C0" w:rsidRPr="006B07C0" w:rsidRDefault="006B07C0" w:rsidP="006B07C0">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6B07C0">
        <w:t>‘Once I gained my wings and got into the groove, it all became second nature,’ he said. Today, John manages most household tasks and has support with a few, like cleaning and taking out his bins. </w:t>
      </w:r>
    </w:p>
    <w:p w14:paraId="18D798BC" w14:textId="77777777" w:rsidR="006B07C0" w:rsidRPr="006B07C0" w:rsidRDefault="006B07C0" w:rsidP="006B07C0">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6B07C0">
        <w:t>‘My supports mean I can spend more time and energy on other things that bring meaning to my life,’ he said. </w:t>
      </w:r>
    </w:p>
    <w:p w14:paraId="40F48776" w14:textId="77777777" w:rsidR="008E0131" w:rsidRDefault="006B07C0" w:rsidP="006B07C0">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6B07C0">
        <w:t>A passionate performer, John attends choir each week, performs at open-mic nights and is currently rehearsing for a musical where he plays the lead. </w:t>
      </w:r>
    </w:p>
    <w:p w14:paraId="22FFC60A" w14:textId="461F7C68" w:rsidR="006B07C0" w:rsidRPr="006B07C0" w:rsidRDefault="006B07C0" w:rsidP="006B07C0">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6B07C0">
        <w:t>After spending 6 years teaching wheelchair and parasports in schools, John is planning to start a master's degree in social work. He hopes to use his lived experience to help others navigate housing and support systems. </w:t>
      </w:r>
    </w:p>
    <w:p w14:paraId="14B7E1C1" w14:textId="25486B9E" w:rsidR="006B07C0" w:rsidRPr="006B07C0" w:rsidRDefault="006B07C0" w:rsidP="006B07C0">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6B07C0">
        <w:t>‘All of this has come from the confidence I've gained from living independently,’ he said. ‘It shows when you have the right supports around you, anything is possible.’ </w:t>
      </w:r>
    </w:p>
    <w:p w14:paraId="6D5C529F" w14:textId="77777777" w:rsidR="006B07C0" w:rsidRPr="006B07C0" w:rsidRDefault="006B07C0" w:rsidP="006B07C0">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6B07C0">
        <w:t>For John, his NDIS funding helped to create a foundation for a more independent and meaningful life. He now has the confidence to pursue his goals, contribute to his community and to focus on what matters most. </w:t>
      </w:r>
    </w:p>
    <w:p w14:paraId="09302551" w14:textId="77777777" w:rsidR="00CC0431" w:rsidRDefault="00CC0431" w:rsidP="00030976">
      <w:pPr>
        <w:pStyle w:val="Heading3"/>
        <w:rPr>
          <w:lang w:eastAsia="ja-JP"/>
        </w:rPr>
      </w:pPr>
      <w:bookmarkStart w:id="1" w:name="_Toc226723896"/>
      <w:bookmarkStart w:id="2" w:name="_Toc241826705"/>
      <w:r>
        <w:rPr>
          <w:lang w:eastAsia="ja-JP"/>
        </w:rPr>
        <w:t>About this report</w:t>
      </w:r>
      <w:bookmarkEnd w:id="1"/>
      <w:bookmarkEnd w:id="2"/>
    </w:p>
    <w:p w14:paraId="17144402" w14:textId="77777777" w:rsidR="009A3A3E" w:rsidRPr="00E8103A" w:rsidRDefault="009A3A3E" w:rsidP="009A3A3E">
      <w:pPr>
        <w:rPr>
          <w:rStyle w:val="Strong"/>
          <w:lang w:eastAsia="ja-JP"/>
        </w:rPr>
      </w:pPr>
      <w:r w:rsidRPr="00E8103A">
        <w:rPr>
          <w:rStyle w:val="Strong"/>
          <w:lang w:eastAsia="ja-JP"/>
        </w:rPr>
        <w:t xml:space="preserve">Section 1: </w:t>
      </w:r>
      <w:r w:rsidR="006342E8" w:rsidRPr="00E8103A">
        <w:rPr>
          <w:rStyle w:val="Strong"/>
          <w:lang w:eastAsia="ja-JP"/>
        </w:rPr>
        <w:t>Introduction and overview</w:t>
      </w:r>
    </w:p>
    <w:p w14:paraId="31A04DE2" w14:textId="0D803372" w:rsidR="00346861" w:rsidRDefault="00346861" w:rsidP="00346861">
      <w:r>
        <w:t xml:space="preserve">Explains what the National Disability Insurance Agency (NDIA) does and its role in delivering the National Disability Insurance Scheme (NDIS). It outlines the law the NDIA operates under – the </w:t>
      </w:r>
      <w:r w:rsidRPr="00B83040">
        <w:rPr>
          <w:i/>
          <w:iCs/>
        </w:rPr>
        <w:t>National Disability Insurance Scheme Act 2013</w:t>
      </w:r>
      <w:r>
        <w:t xml:space="preserve"> </w:t>
      </w:r>
      <w:r w:rsidR="009E2181">
        <w:t xml:space="preserve">(Cth) </w:t>
      </w:r>
      <w:r>
        <w:t>(NDIS</w:t>
      </w:r>
      <w:r w:rsidR="009E2181">
        <w:t> </w:t>
      </w:r>
      <w:r>
        <w:t>Act).</w:t>
      </w:r>
    </w:p>
    <w:p w14:paraId="7F81C150" w14:textId="6DD8AA32" w:rsidR="009A3A3E" w:rsidRDefault="00346861" w:rsidP="00346861">
      <w:pPr>
        <w:rPr>
          <w:lang w:eastAsia="ja-JP"/>
        </w:rPr>
      </w:pPr>
      <w:r>
        <w:t>This section also highlights key activities during the year and includes messages from the Board Chair and Chief Executive Officer.</w:t>
      </w:r>
    </w:p>
    <w:p w14:paraId="2FE209EF" w14:textId="77777777" w:rsidR="009A3A3E" w:rsidRPr="00E8103A" w:rsidRDefault="009A3A3E" w:rsidP="009A3A3E">
      <w:pPr>
        <w:rPr>
          <w:rStyle w:val="Strong"/>
          <w:lang w:eastAsia="ja-JP"/>
        </w:rPr>
      </w:pPr>
      <w:r w:rsidRPr="00E8103A">
        <w:rPr>
          <w:rStyle w:val="Strong"/>
          <w:lang w:eastAsia="ja-JP"/>
        </w:rPr>
        <w:t>Section 2: Annual performance statements</w:t>
      </w:r>
    </w:p>
    <w:p w14:paraId="0DA3D0A5" w14:textId="41BC7CAF" w:rsidR="009A3A3E" w:rsidRDefault="00693957" w:rsidP="009A3A3E">
      <w:pPr>
        <w:rPr>
          <w:lang w:eastAsia="ja-JP"/>
        </w:rPr>
      </w:pPr>
      <w:r w:rsidRPr="00693957">
        <w:t>Shows how the NDIA performed against the priorities and measures in the NDIA Corporate Plan 2025–26, in line with Public Governance, Performance and Accountability requirements.</w:t>
      </w:r>
    </w:p>
    <w:p w14:paraId="1170B45D" w14:textId="77777777" w:rsidR="00AC64BD" w:rsidRPr="00E8103A" w:rsidRDefault="00AC64BD" w:rsidP="00AC64BD">
      <w:pPr>
        <w:rPr>
          <w:rStyle w:val="Strong"/>
          <w:lang w:eastAsia="ja-JP"/>
        </w:rPr>
      </w:pPr>
      <w:r w:rsidRPr="00E8103A">
        <w:rPr>
          <w:rStyle w:val="Strong"/>
          <w:lang w:eastAsia="ja-JP"/>
        </w:rPr>
        <w:t>Section 3: Financial sustainability statements</w:t>
      </w:r>
    </w:p>
    <w:p w14:paraId="2BC40816" w14:textId="7498347A" w:rsidR="00AC64BD" w:rsidRDefault="00AC64BD" w:rsidP="00AC64BD">
      <w:pPr>
        <w:rPr>
          <w:lang w:eastAsia="ja-JP"/>
        </w:rPr>
      </w:pPr>
      <w:r w:rsidRPr="00B862DC">
        <w:t>Provides information on financial sustainability for 2025–26</w:t>
      </w:r>
      <w:r>
        <w:t xml:space="preserve">. This </w:t>
      </w:r>
      <w:r w:rsidR="0013356D">
        <w:t xml:space="preserve">includes </w:t>
      </w:r>
      <w:r w:rsidRPr="00B862DC">
        <w:t>trends, the impact of reforms, and future projections.</w:t>
      </w:r>
    </w:p>
    <w:p w14:paraId="1A770597" w14:textId="77777777" w:rsidR="00AC64BD" w:rsidRPr="00E8103A" w:rsidRDefault="00AC64BD" w:rsidP="00AC64BD">
      <w:pPr>
        <w:rPr>
          <w:rStyle w:val="Strong"/>
          <w:lang w:eastAsia="ja-JP"/>
        </w:rPr>
      </w:pPr>
      <w:r w:rsidRPr="00E8103A">
        <w:rPr>
          <w:rStyle w:val="Strong"/>
          <w:lang w:eastAsia="ja-JP"/>
        </w:rPr>
        <w:t>Section 4: Management and accountability</w:t>
      </w:r>
    </w:p>
    <w:p w14:paraId="631E4446" w14:textId="77777777" w:rsidR="00AC64BD" w:rsidRDefault="00AC64BD" w:rsidP="00AC64BD">
      <w:pPr>
        <w:rPr>
          <w:lang w:eastAsia="ja-JP"/>
        </w:rPr>
      </w:pPr>
      <w:r>
        <w:t>Explains</w:t>
      </w:r>
      <w:r w:rsidRPr="00F12623">
        <w:t xml:space="preserve"> the NDIA’s governance, risk management and internal controls</w:t>
      </w:r>
      <w:r>
        <w:t>. It also outlines</w:t>
      </w:r>
      <w:r w:rsidRPr="00F12623">
        <w:t xml:space="preserve"> how these support the integrity and effective operation of the NDIS.</w:t>
      </w:r>
    </w:p>
    <w:p w14:paraId="1B2E2A24" w14:textId="77777777" w:rsidR="00AC64BD" w:rsidRPr="00E8103A" w:rsidRDefault="00AC64BD" w:rsidP="00AC64BD">
      <w:pPr>
        <w:rPr>
          <w:rStyle w:val="Strong"/>
          <w:lang w:eastAsia="ja-JP"/>
        </w:rPr>
      </w:pPr>
      <w:r w:rsidRPr="00E8103A">
        <w:rPr>
          <w:rStyle w:val="Strong"/>
          <w:lang w:eastAsia="ja-JP"/>
        </w:rPr>
        <w:t>Section 5: People</w:t>
      </w:r>
    </w:p>
    <w:p w14:paraId="55137274" w14:textId="77777777" w:rsidR="00AC64BD" w:rsidRDefault="00AC64BD" w:rsidP="00AC64BD">
      <w:pPr>
        <w:rPr>
          <w:lang w:eastAsia="ja-JP"/>
        </w:rPr>
      </w:pPr>
      <w:r w:rsidRPr="00F12623">
        <w:t>Provides an overview of the NDIA’s workforce</w:t>
      </w:r>
      <w:r>
        <w:t xml:space="preserve">. This includes workforce profile, capability and key </w:t>
      </w:r>
      <w:r w:rsidRPr="00F12623">
        <w:t>people policies</w:t>
      </w:r>
      <w:r>
        <w:t>, as well as</w:t>
      </w:r>
      <w:r w:rsidRPr="00F12623">
        <w:t xml:space="preserve"> initiatives that support staff wellbeing, diversity and performance.</w:t>
      </w:r>
    </w:p>
    <w:p w14:paraId="661AC200" w14:textId="77777777" w:rsidR="00AC64BD" w:rsidRPr="00E8103A" w:rsidRDefault="00AC64BD" w:rsidP="00AC64BD">
      <w:pPr>
        <w:rPr>
          <w:rStyle w:val="Strong"/>
          <w:lang w:eastAsia="ja-JP"/>
        </w:rPr>
      </w:pPr>
      <w:r w:rsidRPr="00E8103A">
        <w:rPr>
          <w:rStyle w:val="Strong"/>
          <w:lang w:eastAsia="ja-JP"/>
        </w:rPr>
        <w:t>Section 6: Financial statements</w:t>
      </w:r>
    </w:p>
    <w:p w14:paraId="2B916F7D" w14:textId="77777777" w:rsidR="00AC64BD" w:rsidRDefault="00AC64BD" w:rsidP="00AC64BD">
      <w:pPr>
        <w:rPr>
          <w:lang w:eastAsia="ja-JP"/>
        </w:rPr>
      </w:pPr>
      <w:r>
        <w:t>Includes</w:t>
      </w:r>
      <w:r w:rsidRPr="006E7ED4">
        <w:t xml:space="preserve"> the NDIA’s audited financial statements for 2025–26</w:t>
      </w:r>
      <w:r>
        <w:t xml:space="preserve"> and</w:t>
      </w:r>
      <w:r w:rsidRPr="006E7ED4">
        <w:t xml:space="preserve"> the Auditor-General’s report.</w:t>
      </w:r>
    </w:p>
    <w:p w14:paraId="056EE10F" w14:textId="77777777" w:rsidR="00AC64BD" w:rsidRPr="00E8103A" w:rsidRDefault="00AC64BD" w:rsidP="00AC64BD">
      <w:pPr>
        <w:rPr>
          <w:rStyle w:val="Strong"/>
          <w:lang w:eastAsia="ja-JP"/>
        </w:rPr>
      </w:pPr>
      <w:r w:rsidRPr="00E8103A">
        <w:rPr>
          <w:rStyle w:val="Strong"/>
          <w:lang w:eastAsia="ja-JP"/>
        </w:rPr>
        <w:t>Section 7: Appendices</w:t>
      </w:r>
    </w:p>
    <w:p w14:paraId="09BCBD57" w14:textId="6C24FF89" w:rsidR="00AC64BD" w:rsidRDefault="00AC64BD" w:rsidP="00AC64BD">
      <w:r>
        <w:t xml:space="preserve">Includes detailed supporting information and disclosures required under the </w:t>
      </w:r>
      <w:r w:rsidRPr="0043383B">
        <w:t>Public Governance, Performance and Accountability Rule 2014</w:t>
      </w:r>
      <w:r>
        <w:t xml:space="preserve"> (PGPA Rule).</w:t>
      </w:r>
    </w:p>
    <w:p w14:paraId="28B8719F" w14:textId="77777777" w:rsidR="00AC64BD" w:rsidRPr="006F7EF7" w:rsidRDefault="00AC64BD" w:rsidP="00AC64BD">
      <w:r>
        <w:t>This section provides additional detail o</w:t>
      </w:r>
      <w:r w:rsidRPr="00E11D0A">
        <w:t>n workforce, financial, governance and legislative matters</w:t>
      </w:r>
      <w:r>
        <w:t>. It also includes reference material to help readers understand the report, including a list of abbreviations and acronyms, and a glossary of key terms.</w:t>
      </w:r>
    </w:p>
    <w:p w14:paraId="46EBB162" w14:textId="77777777" w:rsidR="00AC64BD" w:rsidRPr="00E8103A" w:rsidRDefault="00AC64BD" w:rsidP="00AC64BD">
      <w:pPr>
        <w:rPr>
          <w:rStyle w:val="Strong"/>
          <w:lang w:eastAsia="ja-JP"/>
        </w:rPr>
      </w:pPr>
      <w:r w:rsidRPr="00E8103A">
        <w:rPr>
          <w:rStyle w:val="Strong"/>
          <w:lang w:eastAsia="ja-JP"/>
        </w:rPr>
        <w:t>Section 8: Indexes</w:t>
      </w:r>
    </w:p>
    <w:p w14:paraId="3263FE57" w14:textId="77777777" w:rsidR="00AC3AF6" w:rsidRDefault="00AC64BD" w:rsidP="009A3A3E">
      <w:r>
        <w:t>Includes</w:t>
      </w:r>
      <w:r w:rsidRPr="00296F7F">
        <w:t xml:space="preserve"> legislative index tables that show where required </w:t>
      </w:r>
      <w:r>
        <w:t>information is located</w:t>
      </w:r>
      <w:r w:rsidRPr="00296F7F">
        <w:t xml:space="preserve"> in the report</w:t>
      </w:r>
      <w:r>
        <w:t>. This supports</w:t>
      </w:r>
      <w:r w:rsidRPr="00296F7F">
        <w:t xml:space="preserve"> compliance with reporting requirements.</w:t>
      </w:r>
    </w:p>
    <w:p w14:paraId="544D4B82" w14:textId="1354AC55" w:rsidR="000C5485" w:rsidRDefault="000C5485" w:rsidP="009A3A3E">
      <w:pPr>
        <w:rPr>
          <w:lang w:eastAsia="ja-JP"/>
        </w:rPr>
      </w:pPr>
      <w:r>
        <w:rPr>
          <w:lang w:eastAsia="ja-JP"/>
        </w:rPr>
        <w:br w:type="page"/>
      </w:r>
    </w:p>
    <w:p w14:paraId="3456ACCB" w14:textId="77777777" w:rsidR="00FD1A64" w:rsidRPr="001C2A15" w:rsidRDefault="00CB4212" w:rsidP="00A53208">
      <w:pPr>
        <w:pStyle w:val="Heading2"/>
      </w:pPr>
      <w:bookmarkStart w:id="3" w:name="_Toc241826706"/>
      <w:r w:rsidRPr="001C2A15">
        <w:t>Contents</w:t>
      </w:r>
      <w:bookmarkEnd w:id="3"/>
    </w:p>
    <w:bookmarkEnd w:id="0"/>
    <w:p w14:paraId="2EBA6579" w14:textId="375D583A" w:rsidR="00EB1047" w:rsidRDefault="00C2758C" w:rsidP="00EB1047">
      <w:pPr>
        <w:pStyle w:val="TOC2"/>
        <w:spacing w:line="288" w:lineRule="auto"/>
        <w:rPr>
          <w:rFonts w:asciiTheme="minorHAnsi" w:eastAsiaTheme="minorEastAsia" w:hAnsiTheme="minorHAnsi" w:cstheme="minorBidi"/>
          <w:noProof/>
          <w:kern w:val="2"/>
          <w:lang w:eastAsia="en-AU"/>
          <w14:ligatures w14:val="standardContextual"/>
        </w:rPr>
      </w:pPr>
      <w:r>
        <w:rPr>
          <w:b/>
          <w:noProof/>
        </w:rPr>
        <w:fldChar w:fldCharType="begin"/>
      </w:r>
      <w:r>
        <w:rPr>
          <w:b/>
          <w:noProof/>
        </w:rPr>
        <w:instrText xml:space="preserve"> TOC \f \t "Heading 2,1,Heading 3,2,Contents,2" </w:instrText>
      </w:r>
      <w:r>
        <w:rPr>
          <w:b/>
          <w:noProof/>
        </w:rPr>
        <w:fldChar w:fldCharType="separate"/>
      </w:r>
      <w:r w:rsidR="00EB1047">
        <w:rPr>
          <w:noProof/>
          <w:lang w:eastAsia="ja-JP"/>
        </w:rPr>
        <w:t>About this report</w:t>
      </w:r>
      <w:r w:rsidR="00EB1047">
        <w:rPr>
          <w:noProof/>
        </w:rPr>
        <w:tab/>
      </w:r>
      <w:r w:rsidR="00EB1047">
        <w:rPr>
          <w:noProof/>
        </w:rPr>
        <w:fldChar w:fldCharType="begin"/>
      </w:r>
      <w:r w:rsidR="00EB1047">
        <w:rPr>
          <w:noProof/>
        </w:rPr>
        <w:instrText xml:space="preserve"> PAGEREF _Toc241826705 \h </w:instrText>
      </w:r>
      <w:r w:rsidR="00EB1047">
        <w:rPr>
          <w:noProof/>
        </w:rPr>
      </w:r>
      <w:r w:rsidR="00EB1047">
        <w:rPr>
          <w:noProof/>
        </w:rPr>
        <w:fldChar w:fldCharType="separate"/>
      </w:r>
      <w:r w:rsidR="0021625A">
        <w:rPr>
          <w:noProof/>
        </w:rPr>
        <w:t>2</w:t>
      </w:r>
      <w:r w:rsidR="00EB1047">
        <w:rPr>
          <w:noProof/>
        </w:rPr>
        <w:fldChar w:fldCharType="end"/>
      </w:r>
    </w:p>
    <w:p w14:paraId="3FD3A933" w14:textId="2ACD23D7" w:rsidR="00EB1047" w:rsidRDefault="00EB1047" w:rsidP="00EB1047">
      <w:pPr>
        <w:pStyle w:val="TOC1"/>
        <w:spacing w:line="288" w:lineRule="auto"/>
        <w:rPr>
          <w:rFonts w:asciiTheme="minorHAnsi" w:eastAsiaTheme="minorEastAsia" w:hAnsiTheme="minorHAnsi" w:cstheme="minorBidi"/>
          <w:kern w:val="2"/>
          <w:lang w:eastAsia="en-AU"/>
          <w14:ligatures w14:val="standardContextual"/>
        </w:rPr>
      </w:pPr>
      <w:r>
        <w:t>Contents</w:t>
      </w:r>
      <w:r>
        <w:tab/>
      </w:r>
      <w:r>
        <w:fldChar w:fldCharType="begin"/>
      </w:r>
      <w:r>
        <w:instrText xml:space="preserve"> PAGEREF _Toc241826706 \h </w:instrText>
      </w:r>
      <w:r>
        <w:fldChar w:fldCharType="separate"/>
      </w:r>
      <w:r w:rsidR="0021625A">
        <w:t>4</w:t>
      </w:r>
      <w:r>
        <w:fldChar w:fldCharType="end"/>
      </w:r>
    </w:p>
    <w:p w14:paraId="360EE5FD" w14:textId="54D88AC7"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Acknowledgement of Country</w:t>
      </w:r>
      <w:r>
        <w:rPr>
          <w:noProof/>
        </w:rPr>
        <w:tab/>
      </w:r>
      <w:r>
        <w:rPr>
          <w:noProof/>
        </w:rPr>
        <w:fldChar w:fldCharType="begin"/>
      </w:r>
      <w:r>
        <w:rPr>
          <w:noProof/>
        </w:rPr>
        <w:instrText xml:space="preserve"> PAGEREF _Toc241826707 \h </w:instrText>
      </w:r>
      <w:r>
        <w:rPr>
          <w:noProof/>
        </w:rPr>
      </w:r>
      <w:r>
        <w:rPr>
          <w:noProof/>
        </w:rPr>
        <w:fldChar w:fldCharType="separate"/>
      </w:r>
      <w:r w:rsidR="0021625A">
        <w:rPr>
          <w:noProof/>
        </w:rPr>
        <w:t>6</w:t>
      </w:r>
      <w:r>
        <w:rPr>
          <w:noProof/>
        </w:rPr>
        <w:fldChar w:fldCharType="end"/>
      </w:r>
    </w:p>
    <w:p w14:paraId="7499FA4A" w14:textId="40B043A5"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Letter of transmittal</w:t>
      </w:r>
      <w:r>
        <w:rPr>
          <w:noProof/>
        </w:rPr>
        <w:tab/>
      </w:r>
      <w:r>
        <w:rPr>
          <w:noProof/>
        </w:rPr>
        <w:fldChar w:fldCharType="begin"/>
      </w:r>
      <w:r>
        <w:rPr>
          <w:noProof/>
        </w:rPr>
        <w:instrText xml:space="preserve"> PAGEREF _Toc241826708 \h </w:instrText>
      </w:r>
      <w:r>
        <w:rPr>
          <w:noProof/>
        </w:rPr>
      </w:r>
      <w:r>
        <w:rPr>
          <w:noProof/>
        </w:rPr>
        <w:fldChar w:fldCharType="separate"/>
      </w:r>
      <w:r w:rsidR="0021625A">
        <w:rPr>
          <w:noProof/>
        </w:rPr>
        <w:t>7</w:t>
      </w:r>
      <w:r>
        <w:rPr>
          <w:noProof/>
        </w:rPr>
        <w:fldChar w:fldCharType="end"/>
      </w:r>
    </w:p>
    <w:p w14:paraId="5223F1DA" w14:textId="74790C95" w:rsidR="00EB1047" w:rsidRDefault="00EB1047" w:rsidP="00EB1047">
      <w:pPr>
        <w:pStyle w:val="TOC1"/>
        <w:spacing w:line="288" w:lineRule="auto"/>
        <w:rPr>
          <w:rFonts w:asciiTheme="minorHAnsi" w:eastAsiaTheme="minorEastAsia" w:hAnsiTheme="minorHAnsi" w:cstheme="minorBidi"/>
          <w:kern w:val="2"/>
          <w:lang w:eastAsia="en-AU"/>
          <w14:ligatures w14:val="standardContextual"/>
        </w:rPr>
      </w:pPr>
      <w:r>
        <w:t>Section 1: Introduction and overview</w:t>
      </w:r>
      <w:r>
        <w:tab/>
      </w:r>
      <w:r>
        <w:fldChar w:fldCharType="begin"/>
      </w:r>
      <w:r>
        <w:instrText xml:space="preserve"> PAGEREF _Toc241826709 \h </w:instrText>
      </w:r>
      <w:r>
        <w:fldChar w:fldCharType="separate"/>
      </w:r>
      <w:r w:rsidR="0021625A">
        <w:t>9</w:t>
      </w:r>
      <w:r>
        <w:fldChar w:fldCharType="end"/>
      </w:r>
    </w:p>
    <w:p w14:paraId="48021388" w14:textId="7B78712C"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Acknowledgement of people with disability</w:t>
      </w:r>
      <w:r>
        <w:rPr>
          <w:noProof/>
        </w:rPr>
        <w:tab/>
      </w:r>
      <w:r>
        <w:rPr>
          <w:noProof/>
        </w:rPr>
        <w:fldChar w:fldCharType="begin"/>
      </w:r>
      <w:r>
        <w:rPr>
          <w:noProof/>
        </w:rPr>
        <w:instrText xml:space="preserve"> PAGEREF _Toc241826710 \h </w:instrText>
      </w:r>
      <w:r>
        <w:rPr>
          <w:noProof/>
        </w:rPr>
      </w:r>
      <w:r>
        <w:rPr>
          <w:noProof/>
        </w:rPr>
        <w:fldChar w:fldCharType="separate"/>
      </w:r>
      <w:r w:rsidR="0021625A">
        <w:rPr>
          <w:noProof/>
        </w:rPr>
        <w:t>10</w:t>
      </w:r>
      <w:r>
        <w:rPr>
          <w:noProof/>
        </w:rPr>
        <w:fldChar w:fldCharType="end"/>
      </w:r>
    </w:p>
    <w:p w14:paraId="12B4325C" w14:textId="05BD1464"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1.1 Year in focus</w:t>
      </w:r>
      <w:r>
        <w:rPr>
          <w:noProof/>
        </w:rPr>
        <w:tab/>
      </w:r>
      <w:r>
        <w:rPr>
          <w:noProof/>
        </w:rPr>
        <w:fldChar w:fldCharType="begin"/>
      </w:r>
      <w:r>
        <w:rPr>
          <w:noProof/>
        </w:rPr>
        <w:instrText xml:space="preserve"> PAGEREF _Toc241826711 \h </w:instrText>
      </w:r>
      <w:r>
        <w:rPr>
          <w:noProof/>
        </w:rPr>
      </w:r>
      <w:r>
        <w:rPr>
          <w:noProof/>
        </w:rPr>
        <w:fldChar w:fldCharType="separate"/>
      </w:r>
      <w:r w:rsidR="0021625A">
        <w:rPr>
          <w:noProof/>
        </w:rPr>
        <w:t>10</w:t>
      </w:r>
      <w:r>
        <w:rPr>
          <w:noProof/>
        </w:rPr>
        <w:fldChar w:fldCharType="end"/>
      </w:r>
    </w:p>
    <w:p w14:paraId="25FCA0C1" w14:textId="1810791E"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1.2 A message from the NDIA Board Chair</w:t>
      </w:r>
      <w:r>
        <w:rPr>
          <w:noProof/>
        </w:rPr>
        <w:tab/>
      </w:r>
      <w:r>
        <w:rPr>
          <w:noProof/>
        </w:rPr>
        <w:fldChar w:fldCharType="begin"/>
      </w:r>
      <w:r>
        <w:rPr>
          <w:noProof/>
        </w:rPr>
        <w:instrText xml:space="preserve"> PAGEREF _Toc241826712 \h </w:instrText>
      </w:r>
      <w:r>
        <w:rPr>
          <w:noProof/>
        </w:rPr>
      </w:r>
      <w:r>
        <w:rPr>
          <w:noProof/>
        </w:rPr>
        <w:fldChar w:fldCharType="separate"/>
      </w:r>
      <w:r w:rsidR="0021625A">
        <w:rPr>
          <w:noProof/>
        </w:rPr>
        <w:t>13</w:t>
      </w:r>
      <w:r>
        <w:rPr>
          <w:noProof/>
        </w:rPr>
        <w:fldChar w:fldCharType="end"/>
      </w:r>
    </w:p>
    <w:p w14:paraId="67AFE1D4" w14:textId="57518E46"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1.3 A message from the NDIA Chief Executive Officer</w:t>
      </w:r>
      <w:r>
        <w:rPr>
          <w:noProof/>
        </w:rPr>
        <w:tab/>
      </w:r>
      <w:r>
        <w:rPr>
          <w:noProof/>
        </w:rPr>
        <w:fldChar w:fldCharType="begin"/>
      </w:r>
      <w:r>
        <w:rPr>
          <w:noProof/>
        </w:rPr>
        <w:instrText xml:space="preserve"> PAGEREF _Toc241826713 \h </w:instrText>
      </w:r>
      <w:r>
        <w:rPr>
          <w:noProof/>
        </w:rPr>
      </w:r>
      <w:r>
        <w:rPr>
          <w:noProof/>
        </w:rPr>
        <w:fldChar w:fldCharType="separate"/>
      </w:r>
      <w:r w:rsidR="0021625A">
        <w:rPr>
          <w:noProof/>
        </w:rPr>
        <w:t>15</w:t>
      </w:r>
      <w:r>
        <w:rPr>
          <w:noProof/>
        </w:rPr>
        <w:fldChar w:fldCharType="end"/>
      </w:r>
    </w:p>
    <w:p w14:paraId="61777A6C" w14:textId="20B35DBB"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1.4 The National Disability Insurance Agency</w:t>
      </w:r>
      <w:r>
        <w:rPr>
          <w:noProof/>
        </w:rPr>
        <w:tab/>
      </w:r>
      <w:r>
        <w:rPr>
          <w:noProof/>
        </w:rPr>
        <w:fldChar w:fldCharType="begin"/>
      </w:r>
      <w:r>
        <w:rPr>
          <w:noProof/>
        </w:rPr>
        <w:instrText xml:space="preserve"> PAGEREF _Toc241826714 \h </w:instrText>
      </w:r>
      <w:r>
        <w:rPr>
          <w:noProof/>
        </w:rPr>
      </w:r>
      <w:r>
        <w:rPr>
          <w:noProof/>
        </w:rPr>
        <w:fldChar w:fldCharType="separate"/>
      </w:r>
      <w:r w:rsidR="0021625A">
        <w:rPr>
          <w:noProof/>
        </w:rPr>
        <w:t>17</w:t>
      </w:r>
      <w:r>
        <w:rPr>
          <w:noProof/>
        </w:rPr>
        <w:fldChar w:fldCharType="end"/>
      </w:r>
    </w:p>
    <w:p w14:paraId="3FA07D77" w14:textId="03A65C1C"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1.5 The National Disability Insurance Scheme</w:t>
      </w:r>
      <w:r>
        <w:rPr>
          <w:noProof/>
        </w:rPr>
        <w:tab/>
      </w:r>
      <w:r>
        <w:rPr>
          <w:noProof/>
        </w:rPr>
        <w:fldChar w:fldCharType="begin"/>
      </w:r>
      <w:r>
        <w:rPr>
          <w:noProof/>
        </w:rPr>
        <w:instrText xml:space="preserve"> PAGEREF _Toc241826715 \h </w:instrText>
      </w:r>
      <w:r>
        <w:rPr>
          <w:noProof/>
        </w:rPr>
      </w:r>
      <w:r>
        <w:rPr>
          <w:noProof/>
        </w:rPr>
        <w:fldChar w:fldCharType="separate"/>
      </w:r>
      <w:r w:rsidR="0021625A">
        <w:rPr>
          <w:noProof/>
        </w:rPr>
        <w:t>20</w:t>
      </w:r>
      <w:r>
        <w:rPr>
          <w:noProof/>
        </w:rPr>
        <w:fldChar w:fldCharType="end"/>
      </w:r>
    </w:p>
    <w:p w14:paraId="0AFA1E38" w14:textId="43F9B430" w:rsidR="00EB1047" w:rsidRDefault="00EB1047" w:rsidP="00EB1047">
      <w:pPr>
        <w:pStyle w:val="TOC1"/>
        <w:spacing w:line="288" w:lineRule="auto"/>
        <w:rPr>
          <w:rFonts w:asciiTheme="minorHAnsi" w:eastAsiaTheme="minorEastAsia" w:hAnsiTheme="minorHAnsi" w:cstheme="minorBidi"/>
          <w:kern w:val="2"/>
          <w:lang w:eastAsia="en-AU"/>
          <w14:ligatures w14:val="standardContextual"/>
        </w:rPr>
      </w:pPr>
      <w:r>
        <w:t>Section 2: Annual performance statements</w:t>
      </w:r>
      <w:r>
        <w:tab/>
      </w:r>
      <w:r>
        <w:fldChar w:fldCharType="begin"/>
      </w:r>
      <w:r>
        <w:instrText xml:space="preserve"> PAGEREF _Toc241826716 \h </w:instrText>
      </w:r>
      <w:r>
        <w:fldChar w:fldCharType="separate"/>
      </w:r>
      <w:r w:rsidR="0021625A">
        <w:t>22</w:t>
      </w:r>
      <w:r>
        <w:fldChar w:fldCharType="end"/>
      </w:r>
    </w:p>
    <w:p w14:paraId="3865F19B" w14:textId="6DAF2296"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2.1 Statement of preparation</w:t>
      </w:r>
      <w:r>
        <w:rPr>
          <w:noProof/>
        </w:rPr>
        <w:tab/>
      </w:r>
      <w:r>
        <w:rPr>
          <w:noProof/>
        </w:rPr>
        <w:fldChar w:fldCharType="begin"/>
      </w:r>
      <w:r>
        <w:rPr>
          <w:noProof/>
        </w:rPr>
        <w:instrText xml:space="preserve"> PAGEREF _Toc241826717 \h </w:instrText>
      </w:r>
      <w:r>
        <w:rPr>
          <w:noProof/>
        </w:rPr>
      </w:r>
      <w:r>
        <w:rPr>
          <w:noProof/>
        </w:rPr>
        <w:fldChar w:fldCharType="separate"/>
      </w:r>
      <w:r w:rsidR="0021625A">
        <w:rPr>
          <w:noProof/>
        </w:rPr>
        <w:t>23</w:t>
      </w:r>
      <w:r>
        <w:rPr>
          <w:noProof/>
        </w:rPr>
        <w:fldChar w:fldCharType="end"/>
      </w:r>
    </w:p>
    <w:p w14:paraId="39F2A80B" w14:textId="01F6971B"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2.2 Performance framework</w:t>
      </w:r>
      <w:r>
        <w:rPr>
          <w:noProof/>
        </w:rPr>
        <w:tab/>
      </w:r>
      <w:r>
        <w:rPr>
          <w:noProof/>
        </w:rPr>
        <w:fldChar w:fldCharType="begin"/>
      </w:r>
      <w:r>
        <w:rPr>
          <w:noProof/>
        </w:rPr>
        <w:instrText xml:space="preserve"> PAGEREF _Toc241826718 \h </w:instrText>
      </w:r>
      <w:r>
        <w:rPr>
          <w:noProof/>
        </w:rPr>
      </w:r>
      <w:r>
        <w:rPr>
          <w:noProof/>
        </w:rPr>
        <w:fldChar w:fldCharType="separate"/>
      </w:r>
      <w:r w:rsidR="0021625A">
        <w:rPr>
          <w:noProof/>
        </w:rPr>
        <w:t>23</w:t>
      </w:r>
      <w:r>
        <w:rPr>
          <w:noProof/>
        </w:rPr>
        <w:fldChar w:fldCharType="end"/>
      </w:r>
    </w:p>
    <w:p w14:paraId="2D257494" w14:textId="2FAF9C66"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2.3 The NDIA annual performance statements</w:t>
      </w:r>
      <w:r>
        <w:rPr>
          <w:noProof/>
        </w:rPr>
        <w:tab/>
      </w:r>
      <w:r>
        <w:rPr>
          <w:noProof/>
        </w:rPr>
        <w:fldChar w:fldCharType="begin"/>
      </w:r>
      <w:r>
        <w:rPr>
          <w:noProof/>
        </w:rPr>
        <w:instrText xml:space="preserve"> PAGEREF _Toc241826719 \h </w:instrText>
      </w:r>
      <w:r>
        <w:rPr>
          <w:noProof/>
        </w:rPr>
      </w:r>
      <w:r>
        <w:rPr>
          <w:noProof/>
        </w:rPr>
        <w:fldChar w:fldCharType="separate"/>
      </w:r>
      <w:r w:rsidR="0021625A">
        <w:rPr>
          <w:noProof/>
        </w:rPr>
        <w:t>24</w:t>
      </w:r>
      <w:r>
        <w:rPr>
          <w:noProof/>
        </w:rPr>
        <w:fldChar w:fldCharType="end"/>
      </w:r>
    </w:p>
    <w:p w14:paraId="10F62FA7" w14:textId="1B7E4481" w:rsidR="00EB1047" w:rsidRDefault="00EB1047" w:rsidP="00EB1047">
      <w:pPr>
        <w:pStyle w:val="TOC1"/>
        <w:spacing w:line="288" w:lineRule="auto"/>
        <w:rPr>
          <w:rFonts w:asciiTheme="minorHAnsi" w:eastAsiaTheme="minorEastAsia" w:hAnsiTheme="minorHAnsi" w:cstheme="minorBidi"/>
          <w:kern w:val="2"/>
          <w:lang w:eastAsia="en-AU"/>
          <w14:ligatures w14:val="standardContextual"/>
        </w:rPr>
      </w:pPr>
      <w:r>
        <w:t>Section 3: Financial sustainability statements</w:t>
      </w:r>
      <w:r>
        <w:tab/>
      </w:r>
      <w:r>
        <w:fldChar w:fldCharType="begin"/>
      </w:r>
      <w:r>
        <w:instrText xml:space="preserve"> PAGEREF _Toc241826720 \h </w:instrText>
      </w:r>
      <w:r>
        <w:fldChar w:fldCharType="separate"/>
      </w:r>
      <w:r w:rsidR="0021625A">
        <w:t>52</w:t>
      </w:r>
      <w:r>
        <w:fldChar w:fldCharType="end"/>
      </w:r>
    </w:p>
    <w:p w14:paraId="4F8EE3FF" w14:textId="4509FBD3"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3.1 Introduction</w:t>
      </w:r>
      <w:r>
        <w:rPr>
          <w:noProof/>
        </w:rPr>
        <w:tab/>
      </w:r>
      <w:r>
        <w:rPr>
          <w:noProof/>
        </w:rPr>
        <w:fldChar w:fldCharType="begin"/>
      </w:r>
      <w:r>
        <w:rPr>
          <w:noProof/>
        </w:rPr>
        <w:instrText xml:space="preserve"> PAGEREF _Toc241826721 \h </w:instrText>
      </w:r>
      <w:r>
        <w:rPr>
          <w:noProof/>
        </w:rPr>
      </w:r>
      <w:r>
        <w:rPr>
          <w:noProof/>
        </w:rPr>
        <w:fldChar w:fldCharType="separate"/>
      </w:r>
      <w:r w:rsidR="0021625A">
        <w:rPr>
          <w:noProof/>
        </w:rPr>
        <w:t>53</w:t>
      </w:r>
      <w:r>
        <w:rPr>
          <w:noProof/>
        </w:rPr>
        <w:fldChar w:fldCharType="end"/>
      </w:r>
    </w:p>
    <w:p w14:paraId="37CD8EAB" w14:textId="6BA1256D"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3.2 Scheme reforms update</w:t>
      </w:r>
      <w:r>
        <w:rPr>
          <w:noProof/>
        </w:rPr>
        <w:tab/>
      </w:r>
      <w:r>
        <w:rPr>
          <w:noProof/>
        </w:rPr>
        <w:fldChar w:fldCharType="begin"/>
      </w:r>
      <w:r>
        <w:rPr>
          <w:noProof/>
        </w:rPr>
        <w:instrText xml:space="preserve"> PAGEREF _Toc241826722 \h </w:instrText>
      </w:r>
      <w:r>
        <w:rPr>
          <w:noProof/>
        </w:rPr>
      </w:r>
      <w:r>
        <w:rPr>
          <w:noProof/>
        </w:rPr>
        <w:fldChar w:fldCharType="separate"/>
      </w:r>
      <w:r w:rsidR="0021625A">
        <w:rPr>
          <w:noProof/>
        </w:rPr>
        <w:t>53</w:t>
      </w:r>
      <w:r>
        <w:rPr>
          <w:noProof/>
        </w:rPr>
        <w:fldChar w:fldCharType="end"/>
      </w:r>
    </w:p>
    <w:p w14:paraId="63E71893" w14:textId="6312062F"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3.3 June 2026 projection of Scheme expenses</w:t>
      </w:r>
      <w:r>
        <w:rPr>
          <w:noProof/>
        </w:rPr>
        <w:tab/>
      </w:r>
      <w:r>
        <w:rPr>
          <w:noProof/>
        </w:rPr>
        <w:fldChar w:fldCharType="begin"/>
      </w:r>
      <w:r>
        <w:rPr>
          <w:noProof/>
        </w:rPr>
        <w:instrText xml:space="preserve"> PAGEREF _Toc241826723 \h </w:instrText>
      </w:r>
      <w:r>
        <w:rPr>
          <w:noProof/>
        </w:rPr>
      </w:r>
      <w:r>
        <w:rPr>
          <w:noProof/>
        </w:rPr>
        <w:fldChar w:fldCharType="separate"/>
      </w:r>
      <w:r w:rsidR="0021625A">
        <w:rPr>
          <w:noProof/>
        </w:rPr>
        <w:t>54</w:t>
      </w:r>
      <w:r>
        <w:rPr>
          <w:noProof/>
        </w:rPr>
        <w:fldChar w:fldCharType="end"/>
      </w:r>
    </w:p>
    <w:p w14:paraId="33A6B32B" w14:textId="7B45D998"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3.4 Risks and uncertainty</w:t>
      </w:r>
      <w:r>
        <w:rPr>
          <w:noProof/>
        </w:rPr>
        <w:tab/>
      </w:r>
      <w:r>
        <w:rPr>
          <w:noProof/>
        </w:rPr>
        <w:fldChar w:fldCharType="begin"/>
      </w:r>
      <w:r>
        <w:rPr>
          <w:noProof/>
        </w:rPr>
        <w:instrText xml:space="preserve"> PAGEREF _Toc241826724 \h </w:instrText>
      </w:r>
      <w:r>
        <w:rPr>
          <w:noProof/>
        </w:rPr>
      </w:r>
      <w:r>
        <w:rPr>
          <w:noProof/>
        </w:rPr>
        <w:fldChar w:fldCharType="separate"/>
      </w:r>
      <w:r w:rsidR="0021625A">
        <w:rPr>
          <w:noProof/>
        </w:rPr>
        <w:t>56</w:t>
      </w:r>
      <w:r>
        <w:rPr>
          <w:noProof/>
        </w:rPr>
        <w:fldChar w:fldCharType="end"/>
      </w:r>
    </w:p>
    <w:p w14:paraId="1D344473" w14:textId="06262A44"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3.5 Letter from independent actuary</w:t>
      </w:r>
      <w:r>
        <w:rPr>
          <w:noProof/>
        </w:rPr>
        <w:tab/>
      </w:r>
      <w:r>
        <w:rPr>
          <w:noProof/>
        </w:rPr>
        <w:fldChar w:fldCharType="begin"/>
      </w:r>
      <w:r>
        <w:rPr>
          <w:noProof/>
        </w:rPr>
        <w:instrText xml:space="preserve"> PAGEREF _Toc241826725 \h </w:instrText>
      </w:r>
      <w:r>
        <w:rPr>
          <w:noProof/>
        </w:rPr>
      </w:r>
      <w:r>
        <w:rPr>
          <w:noProof/>
        </w:rPr>
        <w:fldChar w:fldCharType="separate"/>
      </w:r>
      <w:r w:rsidR="0021625A">
        <w:rPr>
          <w:noProof/>
        </w:rPr>
        <w:t>58</w:t>
      </w:r>
      <w:r>
        <w:rPr>
          <w:noProof/>
        </w:rPr>
        <w:fldChar w:fldCharType="end"/>
      </w:r>
    </w:p>
    <w:p w14:paraId="7932C2B8" w14:textId="238B065C" w:rsidR="00EB1047" w:rsidRDefault="00EB1047" w:rsidP="00EB1047">
      <w:pPr>
        <w:pStyle w:val="TOC1"/>
        <w:spacing w:line="288" w:lineRule="auto"/>
        <w:rPr>
          <w:rFonts w:asciiTheme="minorHAnsi" w:eastAsiaTheme="minorEastAsia" w:hAnsiTheme="minorHAnsi" w:cstheme="minorBidi"/>
          <w:kern w:val="2"/>
          <w:lang w:eastAsia="en-AU"/>
          <w14:ligatures w14:val="standardContextual"/>
        </w:rPr>
      </w:pPr>
      <w:r>
        <w:t>Section 4: Management and accountability</w:t>
      </w:r>
      <w:r>
        <w:tab/>
      </w:r>
      <w:r>
        <w:fldChar w:fldCharType="begin"/>
      </w:r>
      <w:r>
        <w:instrText xml:space="preserve"> PAGEREF _Toc241826726 \h </w:instrText>
      </w:r>
      <w:r>
        <w:fldChar w:fldCharType="separate"/>
      </w:r>
      <w:r w:rsidR="0021625A">
        <w:t>64</w:t>
      </w:r>
      <w:r>
        <w:fldChar w:fldCharType="end"/>
      </w:r>
    </w:p>
    <w:p w14:paraId="2B650FF8" w14:textId="277FACEC"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4.1 Corporate governance</w:t>
      </w:r>
      <w:r>
        <w:rPr>
          <w:noProof/>
        </w:rPr>
        <w:tab/>
      </w:r>
      <w:r>
        <w:rPr>
          <w:noProof/>
        </w:rPr>
        <w:fldChar w:fldCharType="begin"/>
      </w:r>
      <w:r>
        <w:rPr>
          <w:noProof/>
        </w:rPr>
        <w:instrText xml:space="preserve"> PAGEREF _Toc241826727 \h </w:instrText>
      </w:r>
      <w:r>
        <w:rPr>
          <w:noProof/>
        </w:rPr>
      </w:r>
      <w:r>
        <w:rPr>
          <w:noProof/>
        </w:rPr>
        <w:fldChar w:fldCharType="separate"/>
      </w:r>
      <w:r w:rsidR="0021625A">
        <w:rPr>
          <w:noProof/>
        </w:rPr>
        <w:t>65</w:t>
      </w:r>
      <w:r>
        <w:rPr>
          <w:noProof/>
        </w:rPr>
        <w:fldChar w:fldCharType="end"/>
      </w:r>
    </w:p>
    <w:p w14:paraId="5F227223" w14:textId="6819A7BC"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4.2 Internal governance</w:t>
      </w:r>
      <w:r>
        <w:rPr>
          <w:noProof/>
        </w:rPr>
        <w:tab/>
      </w:r>
      <w:r>
        <w:rPr>
          <w:noProof/>
        </w:rPr>
        <w:fldChar w:fldCharType="begin"/>
      </w:r>
      <w:r>
        <w:rPr>
          <w:noProof/>
        </w:rPr>
        <w:instrText xml:space="preserve"> PAGEREF _Toc241826728 \h </w:instrText>
      </w:r>
      <w:r>
        <w:rPr>
          <w:noProof/>
        </w:rPr>
      </w:r>
      <w:r>
        <w:rPr>
          <w:noProof/>
        </w:rPr>
        <w:fldChar w:fldCharType="separate"/>
      </w:r>
      <w:r w:rsidR="0021625A">
        <w:rPr>
          <w:noProof/>
        </w:rPr>
        <w:t>87</w:t>
      </w:r>
      <w:r>
        <w:rPr>
          <w:noProof/>
        </w:rPr>
        <w:fldChar w:fldCharType="end"/>
      </w:r>
    </w:p>
    <w:p w14:paraId="478188C6" w14:textId="3B44B482"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4.3 Risk</w:t>
      </w:r>
      <w:r>
        <w:rPr>
          <w:noProof/>
        </w:rPr>
        <w:tab/>
      </w:r>
      <w:r>
        <w:rPr>
          <w:noProof/>
        </w:rPr>
        <w:fldChar w:fldCharType="begin"/>
      </w:r>
      <w:r>
        <w:rPr>
          <w:noProof/>
        </w:rPr>
        <w:instrText xml:space="preserve"> PAGEREF _Toc241826729 \h </w:instrText>
      </w:r>
      <w:r>
        <w:rPr>
          <w:noProof/>
        </w:rPr>
      </w:r>
      <w:r>
        <w:rPr>
          <w:noProof/>
        </w:rPr>
        <w:fldChar w:fldCharType="separate"/>
      </w:r>
      <w:r w:rsidR="0021625A">
        <w:rPr>
          <w:noProof/>
        </w:rPr>
        <w:t>87</w:t>
      </w:r>
      <w:r>
        <w:rPr>
          <w:noProof/>
        </w:rPr>
        <w:fldChar w:fldCharType="end"/>
      </w:r>
    </w:p>
    <w:p w14:paraId="4F68E886" w14:textId="55CDB791"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4.4 Ensuring the integrity of the NDIS</w:t>
      </w:r>
      <w:r>
        <w:rPr>
          <w:noProof/>
        </w:rPr>
        <w:tab/>
      </w:r>
      <w:r>
        <w:rPr>
          <w:noProof/>
        </w:rPr>
        <w:fldChar w:fldCharType="begin"/>
      </w:r>
      <w:r>
        <w:rPr>
          <w:noProof/>
        </w:rPr>
        <w:instrText xml:space="preserve"> PAGEREF _Toc241826730 \h </w:instrText>
      </w:r>
      <w:r>
        <w:rPr>
          <w:noProof/>
        </w:rPr>
      </w:r>
      <w:r>
        <w:rPr>
          <w:noProof/>
        </w:rPr>
        <w:fldChar w:fldCharType="separate"/>
      </w:r>
      <w:r w:rsidR="0021625A">
        <w:rPr>
          <w:noProof/>
        </w:rPr>
        <w:t>89</w:t>
      </w:r>
      <w:r>
        <w:rPr>
          <w:noProof/>
        </w:rPr>
        <w:fldChar w:fldCharType="end"/>
      </w:r>
    </w:p>
    <w:p w14:paraId="06AD394B" w14:textId="5008156F" w:rsidR="00EB1047" w:rsidRDefault="00EB1047" w:rsidP="00EB1047">
      <w:pPr>
        <w:pStyle w:val="TOC1"/>
        <w:spacing w:line="288" w:lineRule="auto"/>
        <w:rPr>
          <w:rFonts w:asciiTheme="minorHAnsi" w:eastAsiaTheme="minorEastAsia" w:hAnsiTheme="minorHAnsi" w:cstheme="minorBidi"/>
          <w:kern w:val="2"/>
          <w:lang w:eastAsia="en-AU"/>
          <w14:ligatures w14:val="standardContextual"/>
        </w:rPr>
      </w:pPr>
      <w:r>
        <w:t>Section 5: People</w:t>
      </w:r>
      <w:r>
        <w:tab/>
      </w:r>
      <w:r>
        <w:fldChar w:fldCharType="begin"/>
      </w:r>
      <w:r>
        <w:instrText xml:space="preserve"> PAGEREF _Toc241826731 \h </w:instrText>
      </w:r>
      <w:r>
        <w:fldChar w:fldCharType="separate"/>
      </w:r>
      <w:r w:rsidR="0021625A">
        <w:t>94</w:t>
      </w:r>
      <w:r>
        <w:fldChar w:fldCharType="end"/>
      </w:r>
    </w:p>
    <w:p w14:paraId="3E7BB934" w14:textId="612B2268"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5.1 Workforce profile</w:t>
      </w:r>
      <w:r>
        <w:rPr>
          <w:noProof/>
        </w:rPr>
        <w:tab/>
      </w:r>
      <w:r>
        <w:rPr>
          <w:noProof/>
        </w:rPr>
        <w:fldChar w:fldCharType="begin"/>
      </w:r>
      <w:r>
        <w:rPr>
          <w:noProof/>
        </w:rPr>
        <w:instrText xml:space="preserve"> PAGEREF _Toc241826732 \h </w:instrText>
      </w:r>
      <w:r>
        <w:rPr>
          <w:noProof/>
        </w:rPr>
      </w:r>
      <w:r>
        <w:rPr>
          <w:noProof/>
        </w:rPr>
        <w:fldChar w:fldCharType="separate"/>
      </w:r>
      <w:r w:rsidR="0021625A">
        <w:rPr>
          <w:noProof/>
        </w:rPr>
        <w:t>95</w:t>
      </w:r>
      <w:r>
        <w:rPr>
          <w:noProof/>
        </w:rPr>
        <w:fldChar w:fldCharType="end"/>
      </w:r>
    </w:p>
    <w:p w14:paraId="2B7CDA41" w14:textId="4ED3DCE0"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5.2 Strategic Commissioning Framework</w:t>
      </w:r>
      <w:r>
        <w:rPr>
          <w:noProof/>
        </w:rPr>
        <w:tab/>
      </w:r>
      <w:r>
        <w:rPr>
          <w:noProof/>
        </w:rPr>
        <w:fldChar w:fldCharType="begin"/>
      </w:r>
      <w:r>
        <w:rPr>
          <w:noProof/>
        </w:rPr>
        <w:instrText xml:space="preserve"> PAGEREF _Toc241826733 \h </w:instrText>
      </w:r>
      <w:r>
        <w:rPr>
          <w:noProof/>
        </w:rPr>
      </w:r>
      <w:r>
        <w:rPr>
          <w:noProof/>
        </w:rPr>
        <w:fldChar w:fldCharType="separate"/>
      </w:r>
      <w:r w:rsidR="0021625A">
        <w:rPr>
          <w:noProof/>
        </w:rPr>
        <w:t>95</w:t>
      </w:r>
      <w:r>
        <w:rPr>
          <w:noProof/>
        </w:rPr>
        <w:fldChar w:fldCharType="end"/>
      </w:r>
    </w:p>
    <w:p w14:paraId="6FCDCBB3" w14:textId="30CD6933"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5.3 Health, safety and wellbeing</w:t>
      </w:r>
      <w:r>
        <w:rPr>
          <w:noProof/>
        </w:rPr>
        <w:tab/>
      </w:r>
      <w:r>
        <w:rPr>
          <w:noProof/>
        </w:rPr>
        <w:fldChar w:fldCharType="begin"/>
      </w:r>
      <w:r>
        <w:rPr>
          <w:noProof/>
        </w:rPr>
        <w:instrText xml:space="preserve"> PAGEREF _Toc241826734 \h </w:instrText>
      </w:r>
      <w:r>
        <w:rPr>
          <w:noProof/>
        </w:rPr>
      </w:r>
      <w:r>
        <w:rPr>
          <w:noProof/>
        </w:rPr>
        <w:fldChar w:fldCharType="separate"/>
      </w:r>
      <w:r w:rsidR="0021625A">
        <w:rPr>
          <w:noProof/>
        </w:rPr>
        <w:t>95</w:t>
      </w:r>
      <w:r>
        <w:rPr>
          <w:noProof/>
        </w:rPr>
        <w:fldChar w:fldCharType="end"/>
      </w:r>
    </w:p>
    <w:p w14:paraId="450C74EF" w14:textId="53498B9D"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5.4 Disability and diversity</w:t>
      </w:r>
      <w:r>
        <w:rPr>
          <w:noProof/>
        </w:rPr>
        <w:tab/>
      </w:r>
      <w:r>
        <w:rPr>
          <w:noProof/>
        </w:rPr>
        <w:fldChar w:fldCharType="begin"/>
      </w:r>
      <w:r>
        <w:rPr>
          <w:noProof/>
        </w:rPr>
        <w:instrText xml:space="preserve"> PAGEREF _Toc241826735 \h </w:instrText>
      </w:r>
      <w:r>
        <w:rPr>
          <w:noProof/>
        </w:rPr>
      </w:r>
      <w:r>
        <w:rPr>
          <w:noProof/>
        </w:rPr>
        <w:fldChar w:fldCharType="separate"/>
      </w:r>
      <w:r w:rsidR="0021625A">
        <w:rPr>
          <w:noProof/>
        </w:rPr>
        <w:t>98</w:t>
      </w:r>
      <w:r>
        <w:rPr>
          <w:noProof/>
        </w:rPr>
        <w:fldChar w:fldCharType="end"/>
      </w:r>
    </w:p>
    <w:p w14:paraId="09EEC5AD" w14:textId="477DE7D1"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5.5 Partner organisations</w:t>
      </w:r>
      <w:r>
        <w:rPr>
          <w:noProof/>
        </w:rPr>
        <w:tab/>
      </w:r>
      <w:r>
        <w:rPr>
          <w:noProof/>
        </w:rPr>
        <w:fldChar w:fldCharType="begin"/>
      </w:r>
      <w:r>
        <w:rPr>
          <w:noProof/>
        </w:rPr>
        <w:instrText xml:space="preserve"> PAGEREF _Toc241826736 \h </w:instrText>
      </w:r>
      <w:r>
        <w:rPr>
          <w:noProof/>
        </w:rPr>
      </w:r>
      <w:r>
        <w:rPr>
          <w:noProof/>
        </w:rPr>
        <w:fldChar w:fldCharType="separate"/>
      </w:r>
      <w:r w:rsidR="0021625A">
        <w:rPr>
          <w:noProof/>
        </w:rPr>
        <w:t>100</w:t>
      </w:r>
      <w:r>
        <w:rPr>
          <w:noProof/>
        </w:rPr>
        <w:fldChar w:fldCharType="end"/>
      </w:r>
    </w:p>
    <w:p w14:paraId="282230F3" w14:textId="44331857"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5.6 Staff conduct policies</w:t>
      </w:r>
      <w:r>
        <w:rPr>
          <w:noProof/>
        </w:rPr>
        <w:tab/>
      </w:r>
      <w:r>
        <w:rPr>
          <w:noProof/>
        </w:rPr>
        <w:fldChar w:fldCharType="begin"/>
      </w:r>
      <w:r>
        <w:rPr>
          <w:noProof/>
        </w:rPr>
        <w:instrText xml:space="preserve"> PAGEREF _Toc241826737 \h </w:instrText>
      </w:r>
      <w:r>
        <w:rPr>
          <w:noProof/>
        </w:rPr>
      </w:r>
      <w:r>
        <w:rPr>
          <w:noProof/>
        </w:rPr>
        <w:fldChar w:fldCharType="separate"/>
      </w:r>
      <w:r w:rsidR="0021625A">
        <w:rPr>
          <w:noProof/>
        </w:rPr>
        <w:t>101</w:t>
      </w:r>
      <w:r>
        <w:rPr>
          <w:noProof/>
        </w:rPr>
        <w:fldChar w:fldCharType="end"/>
      </w:r>
    </w:p>
    <w:p w14:paraId="42BCAF79" w14:textId="77398C28"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5.7 Executive remuneration</w:t>
      </w:r>
      <w:r>
        <w:rPr>
          <w:noProof/>
        </w:rPr>
        <w:tab/>
      </w:r>
      <w:r>
        <w:rPr>
          <w:noProof/>
        </w:rPr>
        <w:fldChar w:fldCharType="begin"/>
      </w:r>
      <w:r>
        <w:rPr>
          <w:noProof/>
        </w:rPr>
        <w:instrText xml:space="preserve"> PAGEREF _Toc241826738 \h </w:instrText>
      </w:r>
      <w:r>
        <w:rPr>
          <w:noProof/>
        </w:rPr>
      </w:r>
      <w:r>
        <w:rPr>
          <w:noProof/>
        </w:rPr>
        <w:fldChar w:fldCharType="separate"/>
      </w:r>
      <w:r w:rsidR="0021625A">
        <w:rPr>
          <w:noProof/>
        </w:rPr>
        <w:t>103</w:t>
      </w:r>
      <w:r>
        <w:rPr>
          <w:noProof/>
        </w:rPr>
        <w:fldChar w:fldCharType="end"/>
      </w:r>
    </w:p>
    <w:p w14:paraId="5BA47C96" w14:textId="75C2D077" w:rsidR="00EB1047" w:rsidRDefault="00EB1047" w:rsidP="00EB1047">
      <w:pPr>
        <w:pStyle w:val="TOC1"/>
        <w:spacing w:line="288" w:lineRule="auto"/>
        <w:rPr>
          <w:rFonts w:asciiTheme="minorHAnsi" w:eastAsiaTheme="minorEastAsia" w:hAnsiTheme="minorHAnsi" w:cstheme="minorBidi"/>
          <w:kern w:val="2"/>
          <w:lang w:eastAsia="en-AU"/>
          <w14:ligatures w14:val="standardContextual"/>
        </w:rPr>
      </w:pPr>
      <w:r>
        <w:t>Section 6: Financial statements</w:t>
      </w:r>
      <w:r>
        <w:tab/>
      </w:r>
      <w:r>
        <w:fldChar w:fldCharType="begin"/>
      </w:r>
      <w:r>
        <w:instrText xml:space="preserve"> PAGEREF _Toc241826739 \h </w:instrText>
      </w:r>
      <w:r>
        <w:fldChar w:fldCharType="separate"/>
      </w:r>
      <w:r w:rsidR="0021625A">
        <w:t>104</w:t>
      </w:r>
      <w:r>
        <w:fldChar w:fldCharType="end"/>
      </w:r>
    </w:p>
    <w:p w14:paraId="504C7935" w14:textId="4DC461D6"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6.1 Independent audit report</w:t>
      </w:r>
      <w:r>
        <w:rPr>
          <w:noProof/>
        </w:rPr>
        <w:tab/>
      </w:r>
      <w:r>
        <w:rPr>
          <w:noProof/>
        </w:rPr>
        <w:fldChar w:fldCharType="begin"/>
      </w:r>
      <w:r>
        <w:rPr>
          <w:noProof/>
        </w:rPr>
        <w:instrText xml:space="preserve"> PAGEREF _Toc241826740 \h </w:instrText>
      </w:r>
      <w:r>
        <w:rPr>
          <w:noProof/>
        </w:rPr>
      </w:r>
      <w:r>
        <w:rPr>
          <w:noProof/>
        </w:rPr>
        <w:fldChar w:fldCharType="separate"/>
      </w:r>
      <w:r w:rsidR="0021625A">
        <w:rPr>
          <w:noProof/>
        </w:rPr>
        <w:t>105</w:t>
      </w:r>
      <w:r>
        <w:rPr>
          <w:noProof/>
        </w:rPr>
        <w:fldChar w:fldCharType="end"/>
      </w:r>
    </w:p>
    <w:p w14:paraId="20D2C39E" w14:textId="01EA2B48"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6.2 Financial statements</w:t>
      </w:r>
      <w:r>
        <w:rPr>
          <w:noProof/>
        </w:rPr>
        <w:tab/>
      </w:r>
      <w:r>
        <w:rPr>
          <w:noProof/>
        </w:rPr>
        <w:fldChar w:fldCharType="begin"/>
      </w:r>
      <w:r>
        <w:rPr>
          <w:noProof/>
        </w:rPr>
        <w:instrText xml:space="preserve"> PAGEREF _Toc241826741 \h </w:instrText>
      </w:r>
      <w:r>
        <w:rPr>
          <w:noProof/>
        </w:rPr>
      </w:r>
      <w:r>
        <w:rPr>
          <w:noProof/>
        </w:rPr>
        <w:fldChar w:fldCharType="separate"/>
      </w:r>
      <w:r w:rsidR="0021625A">
        <w:rPr>
          <w:noProof/>
        </w:rPr>
        <w:t>109</w:t>
      </w:r>
      <w:r>
        <w:rPr>
          <w:noProof/>
        </w:rPr>
        <w:fldChar w:fldCharType="end"/>
      </w:r>
    </w:p>
    <w:p w14:paraId="50A74450" w14:textId="0F8B2926" w:rsidR="00EB1047" w:rsidRDefault="00EB1047" w:rsidP="00EB1047">
      <w:pPr>
        <w:pStyle w:val="TOC1"/>
        <w:spacing w:line="288" w:lineRule="auto"/>
        <w:rPr>
          <w:rFonts w:asciiTheme="minorHAnsi" w:eastAsiaTheme="minorEastAsia" w:hAnsiTheme="minorHAnsi" w:cstheme="minorBidi"/>
          <w:kern w:val="2"/>
          <w:lang w:eastAsia="en-AU"/>
          <w14:ligatures w14:val="standardContextual"/>
        </w:rPr>
      </w:pPr>
      <w:r>
        <w:t>Section 7: Appendices</w:t>
      </w:r>
      <w:r>
        <w:tab/>
      </w:r>
      <w:r>
        <w:fldChar w:fldCharType="begin"/>
      </w:r>
      <w:r>
        <w:instrText xml:space="preserve"> PAGEREF _Toc241826742 \h </w:instrText>
      </w:r>
      <w:r>
        <w:fldChar w:fldCharType="separate"/>
      </w:r>
      <w:r w:rsidR="0021625A">
        <w:t>142</w:t>
      </w:r>
      <w:r>
        <w:fldChar w:fldCharType="end"/>
      </w:r>
    </w:p>
    <w:p w14:paraId="3BF48894" w14:textId="68B64EED"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7.1 Workforce demographics</w:t>
      </w:r>
      <w:r>
        <w:rPr>
          <w:noProof/>
        </w:rPr>
        <w:tab/>
      </w:r>
      <w:r>
        <w:rPr>
          <w:noProof/>
        </w:rPr>
        <w:fldChar w:fldCharType="begin"/>
      </w:r>
      <w:r>
        <w:rPr>
          <w:noProof/>
        </w:rPr>
        <w:instrText xml:space="preserve"> PAGEREF _Toc241826743 \h </w:instrText>
      </w:r>
      <w:r>
        <w:rPr>
          <w:noProof/>
        </w:rPr>
      </w:r>
      <w:r>
        <w:rPr>
          <w:noProof/>
        </w:rPr>
        <w:fldChar w:fldCharType="separate"/>
      </w:r>
      <w:r w:rsidR="0021625A">
        <w:rPr>
          <w:noProof/>
        </w:rPr>
        <w:t>143</w:t>
      </w:r>
      <w:r>
        <w:rPr>
          <w:noProof/>
        </w:rPr>
        <w:fldChar w:fldCharType="end"/>
      </w:r>
    </w:p>
    <w:p w14:paraId="2F28759A" w14:textId="34FECCD0"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7.2 Remuneration tables</w:t>
      </w:r>
      <w:r>
        <w:rPr>
          <w:noProof/>
        </w:rPr>
        <w:tab/>
      </w:r>
      <w:r>
        <w:rPr>
          <w:noProof/>
        </w:rPr>
        <w:fldChar w:fldCharType="begin"/>
      </w:r>
      <w:r>
        <w:rPr>
          <w:noProof/>
        </w:rPr>
        <w:instrText xml:space="preserve"> PAGEREF _Toc241826744 \h </w:instrText>
      </w:r>
      <w:r>
        <w:rPr>
          <w:noProof/>
        </w:rPr>
      </w:r>
      <w:r>
        <w:rPr>
          <w:noProof/>
        </w:rPr>
        <w:fldChar w:fldCharType="separate"/>
      </w:r>
      <w:r w:rsidR="0021625A">
        <w:rPr>
          <w:noProof/>
        </w:rPr>
        <w:t>147</w:t>
      </w:r>
      <w:r>
        <w:rPr>
          <w:noProof/>
        </w:rPr>
        <w:fldChar w:fldCharType="end"/>
      </w:r>
    </w:p>
    <w:p w14:paraId="3E3454A3" w14:textId="2E0424ED"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7.3 Judicial decisions and external reviews</w:t>
      </w:r>
      <w:r>
        <w:rPr>
          <w:noProof/>
        </w:rPr>
        <w:tab/>
      </w:r>
      <w:r>
        <w:rPr>
          <w:noProof/>
        </w:rPr>
        <w:fldChar w:fldCharType="begin"/>
      </w:r>
      <w:r>
        <w:rPr>
          <w:noProof/>
        </w:rPr>
        <w:instrText xml:space="preserve"> PAGEREF _Toc241826745 \h </w:instrText>
      </w:r>
      <w:r>
        <w:rPr>
          <w:noProof/>
        </w:rPr>
      </w:r>
      <w:r>
        <w:rPr>
          <w:noProof/>
        </w:rPr>
        <w:fldChar w:fldCharType="separate"/>
      </w:r>
      <w:r w:rsidR="0021625A">
        <w:rPr>
          <w:noProof/>
        </w:rPr>
        <w:t>154</w:t>
      </w:r>
      <w:r>
        <w:rPr>
          <w:noProof/>
        </w:rPr>
        <w:fldChar w:fldCharType="end"/>
      </w:r>
    </w:p>
    <w:p w14:paraId="789FB3D3" w14:textId="70095802"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7.4 Parliamentary committee inquiries</w:t>
      </w:r>
      <w:r>
        <w:rPr>
          <w:noProof/>
        </w:rPr>
        <w:tab/>
      </w:r>
      <w:r>
        <w:rPr>
          <w:noProof/>
        </w:rPr>
        <w:fldChar w:fldCharType="begin"/>
      </w:r>
      <w:r>
        <w:rPr>
          <w:noProof/>
        </w:rPr>
        <w:instrText xml:space="preserve"> PAGEREF _Toc241826746 \h </w:instrText>
      </w:r>
      <w:r>
        <w:rPr>
          <w:noProof/>
        </w:rPr>
      </w:r>
      <w:r>
        <w:rPr>
          <w:noProof/>
        </w:rPr>
        <w:fldChar w:fldCharType="separate"/>
      </w:r>
      <w:r w:rsidR="0021625A">
        <w:rPr>
          <w:noProof/>
        </w:rPr>
        <w:t>158</w:t>
      </w:r>
      <w:r>
        <w:rPr>
          <w:noProof/>
        </w:rPr>
        <w:fldChar w:fldCharType="end"/>
      </w:r>
    </w:p>
    <w:p w14:paraId="21C291DA" w14:textId="3182429B"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7.5 Advertising and market research</w:t>
      </w:r>
      <w:r>
        <w:rPr>
          <w:noProof/>
        </w:rPr>
        <w:tab/>
      </w:r>
      <w:r>
        <w:rPr>
          <w:noProof/>
        </w:rPr>
        <w:fldChar w:fldCharType="begin"/>
      </w:r>
      <w:r>
        <w:rPr>
          <w:noProof/>
        </w:rPr>
        <w:instrText xml:space="preserve"> PAGEREF _Toc241826747 \h </w:instrText>
      </w:r>
      <w:r>
        <w:rPr>
          <w:noProof/>
        </w:rPr>
      </w:r>
      <w:r>
        <w:rPr>
          <w:noProof/>
        </w:rPr>
        <w:fldChar w:fldCharType="separate"/>
      </w:r>
      <w:r w:rsidR="0021625A">
        <w:rPr>
          <w:noProof/>
        </w:rPr>
        <w:t>160</w:t>
      </w:r>
      <w:r>
        <w:rPr>
          <w:noProof/>
        </w:rPr>
        <w:fldChar w:fldCharType="end"/>
      </w:r>
    </w:p>
    <w:p w14:paraId="406216C3" w14:textId="6D421424"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7.6 Climate statement</w:t>
      </w:r>
      <w:r>
        <w:rPr>
          <w:noProof/>
        </w:rPr>
        <w:tab/>
      </w:r>
      <w:r>
        <w:rPr>
          <w:noProof/>
        </w:rPr>
        <w:fldChar w:fldCharType="begin"/>
      </w:r>
      <w:r>
        <w:rPr>
          <w:noProof/>
        </w:rPr>
        <w:instrText xml:space="preserve"> PAGEREF _Toc241826748 \h </w:instrText>
      </w:r>
      <w:r>
        <w:rPr>
          <w:noProof/>
        </w:rPr>
      </w:r>
      <w:r>
        <w:rPr>
          <w:noProof/>
        </w:rPr>
        <w:fldChar w:fldCharType="separate"/>
      </w:r>
      <w:r w:rsidR="0021625A">
        <w:rPr>
          <w:noProof/>
        </w:rPr>
        <w:t>162</w:t>
      </w:r>
      <w:r>
        <w:rPr>
          <w:noProof/>
        </w:rPr>
        <w:fldChar w:fldCharType="end"/>
      </w:r>
    </w:p>
    <w:p w14:paraId="0E100405" w14:textId="1B0B8F22"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7.7 Compliance with Carer Recognition Act</w:t>
      </w:r>
      <w:r>
        <w:rPr>
          <w:noProof/>
        </w:rPr>
        <w:tab/>
      </w:r>
      <w:r>
        <w:rPr>
          <w:noProof/>
        </w:rPr>
        <w:fldChar w:fldCharType="begin"/>
      </w:r>
      <w:r>
        <w:rPr>
          <w:noProof/>
        </w:rPr>
        <w:instrText xml:space="preserve"> PAGEREF _Toc241826749 \h </w:instrText>
      </w:r>
      <w:r>
        <w:rPr>
          <w:noProof/>
        </w:rPr>
      </w:r>
      <w:r>
        <w:rPr>
          <w:noProof/>
        </w:rPr>
        <w:fldChar w:fldCharType="separate"/>
      </w:r>
      <w:r w:rsidR="0021625A">
        <w:rPr>
          <w:noProof/>
        </w:rPr>
        <w:t>162</w:t>
      </w:r>
      <w:r>
        <w:rPr>
          <w:noProof/>
        </w:rPr>
        <w:fldChar w:fldCharType="end"/>
      </w:r>
    </w:p>
    <w:p w14:paraId="1776EABE" w14:textId="257ECE1D"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7.8 Privacy obligations</w:t>
      </w:r>
      <w:r>
        <w:rPr>
          <w:noProof/>
        </w:rPr>
        <w:tab/>
      </w:r>
      <w:r>
        <w:rPr>
          <w:noProof/>
        </w:rPr>
        <w:fldChar w:fldCharType="begin"/>
      </w:r>
      <w:r>
        <w:rPr>
          <w:noProof/>
        </w:rPr>
        <w:instrText xml:space="preserve"> PAGEREF _Toc241826750 \h </w:instrText>
      </w:r>
      <w:r>
        <w:rPr>
          <w:noProof/>
        </w:rPr>
      </w:r>
      <w:r>
        <w:rPr>
          <w:noProof/>
        </w:rPr>
        <w:fldChar w:fldCharType="separate"/>
      </w:r>
      <w:r w:rsidR="0021625A">
        <w:rPr>
          <w:noProof/>
        </w:rPr>
        <w:t>164</w:t>
      </w:r>
      <w:r>
        <w:rPr>
          <w:noProof/>
        </w:rPr>
        <w:fldChar w:fldCharType="end"/>
      </w:r>
    </w:p>
    <w:p w14:paraId="481833F8" w14:textId="0CB6024F"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7.9 Disclosures relating to procurements and grants</w:t>
      </w:r>
      <w:r>
        <w:rPr>
          <w:noProof/>
        </w:rPr>
        <w:tab/>
      </w:r>
      <w:r>
        <w:rPr>
          <w:noProof/>
        </w:rPr>
        <w:fldChar w:fldCharType="begin"/>
      </w:r>
      <w:r>
        <w:rPr>
          <w:noProof/>
        </w:rPr>
        <w:instrText xml:space="preserve"> PAGEREF _Toc241826751 \h </w:instrText>
      </w:r>
      <w:r>
        <w:rPr>
          <w:noProof/>
        </w:rPr>
      </w:r>
      <w:r>
        <w:rPr>
          <w:noProof/>
        </w:rPr>
        <w:fldChar w:fldCharType="separate"/>
      </w:r>
      <w:r w:rsidR="0021625A">
        <w:rPr>
          <w:noProof/>
        </w:rPr>
        <w:t>165</w:t>
      </w:r>
      <w:r>
        <w:rPr>
          <w:noProof/>
        </w:rPr>
        <w:fldChar w:fldCharType="end"/>
      </w:r>
    </w:p>
    <w:p w14:paraId="638E8CBB" w14:textId="3D834706"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7.10 Future Made in Australia Act 2024</w:t>
      </w:r>
      <w:r>
        <w:rPr>
          <w:noProof/>
        </w:rPr>
        <w:tab/>
      </w:r>
      <w:r>
        <w:rPr>
          <w:noProof/>
        </w:rPr>
        <w:fldChar w:fldCharType="begin"/>
      </w:r>
      <w:r>
        <w:rPr>
          <w:noProof/>
        </w:rPr>
        <w:instrText xml:space="preserve"> PAGEREF _Toc241826752 \h </w:instrText>
      </w:r>
      <w:r>
        <w:rPr>
          <w:noProof/>
        </w:rPr>
      </w:r>
      <w:r>
        <w:rPr>
          <w:noProof/>
        </w:rPr>
        <w:fldChar w:fldCharType="separate"/>
      </w:r>
      <w:r w:rsidR="0021625A">
        <w:rPr>
          <w:noProof/>
        </w:rPr>
        <w:t>165</w:t>
      </w:r>
      <w:r>
        <w:rPr>
          <w:noProof/>
        </w:rPr>
        <w:fldChar w:fldCharType="end"/>
      </w:r>
    </w:p>
    <w:p w14:paraId="6EB9C164" w14:textId="70487F1A"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7.11 Closing the Gap</w:t>
      </w:r>
      <w:r>
        <w:rPr>
          <w:noProof/>
        </w:rPr>
        <w:tab/>
      </w:r>
      <w:r>
        <w:rPr>
          <w:noProof/>
        </w:rPr>
        <w:fldChar w:fldCharType="begin"/>
      </w:r>
      <w:r>
        <w:rPr>
          <w:noProof/>
        </w:rPr>
        <w:instrText xml:space="preserve"> PAGEREF _Toc241826753 \h </w:instrText>
      </w:r>
      <w:r>
        <w:rPr>
          <w:noProof/>
        </w:rPr>
      </w:r>
      <w:r>
        <w:rPr>
          <w:noProof/>
        </w:rPr>
        <w:fldChar w:fldCharType="separate"/>
      </w:r>
      <w:r w:rsidR="0021625A">
        <w:rPr>
          <w:noProof/>
        </w:rPr>
        <w:t>165</w:t>
      </w:r>
      <w:r>
        <w:rPr>
          <w:noProof/>
        </w:rPr>
        <w:fldChar w:fldCharType="end"/>
      </w:r>
    </w:p>
    <w:p w14:paraId="673D02E6" w14:textId="2841050E"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7.12 Correction of material errors in NDIA Annual Report 2024–25</w:t>
      </w:r>
      <w:r>
        <w:rPr>
          <w:noProof/>
        </w:rPr>
        <w:tab/>
      </w:r>
      <w:r>
        <w:rPr>
          <w:noProof/>
        </w:rPr>
        <w:fldChar w:fldCharType="begin"/>
      </w:r>
      <w:r>
        <w:rPr>
          <w:noProof/>
        </w:rPr>
        <w:instrText xml:space="preserve"> PAGEREF _Toc241826754 \h </w:instrText>
      </w:r>
      <w:r>
        <w:rPr>
          <w:noProof/>
        </w:rPr>
      </w:r>
      <w:r>
        <w:rPr>
          <w:noProof/>
        </w:rPr>
        <w:fldChar w:fldCharType="separate"/>
      </w:r>
      <w:r w:rsidR="0021625A">
        <w:rPr>
          <w:noProof/>
        </w:rPr>
        <w:t>167</w:t>
      </w:r>
      <w:r>
        <w:rPr>
          <w:noProof/>
        </w:rPr>
        <w:fldChar w:fldCharType="end"/>
      </w:r>
    </w:p>
    <w:p w14:paraId="2AA52F36" w14:textId="616BA042"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7.13 Glossary</w:t>
      </w:r>
      <w:r>
        <w:rPr>
          <w:noProof/>
        </w:rPr>
        <w:tab/>
      </w:r>
      <w:r>
        <w:rPr>
          <w:noProof/>
        </w:rPr>
        <w:fldChar w:fldCharType="begin"/>
      </w:r>
      <w:r>
        <w:rPr>
          <w:noProof/>
        </w:rPr>
        <w:instrText xml:space="preserve"> PAGEREF _Toc241826755 \h </w:instrText>
      </w:r>
      <w:r>
        <w:rPr>
          <w:noProof/>
        </w:rPr>
      </w:r>
      <w:r>
        <w:rPr>
          <w:noProof/>
        </w:rPr>
        <w:fldChar w:fldCharType="separate"/>
      </w:r>
      <w:r w:rsidR="0021625A">
        <w:rPr>
          <w:noProof/>
        </w:rPr>
        <w:t>168</w:t>
      </w:r>
      <w:r>
        <w:rPr>
          <w:noProof/>
        </w:rPr>
        <w:fldChar w:fldCharType="end"/>
      </w:r>
    </w:p>
    <w:p w14:paraId="1E10F58C" w14:textId="78EFEA53" w:rsidR="00EB1047" w:rsidRDefault="00EB1047" w:rsidP="00EB1047">
      <w:pPr>
        <w:pStyle w:val="TOC1"/>
        <w:spacing w:line="288" w:lineRule="auto"/>
        <w:rPr>
          <w:rFonts w:asciiTheme="minorHAnsi" w:eastAsiaTheme="minorEastAsia" w:hAnsiTheme="minorHAnsi" w:cstheme="minorBidi"/>
          <w:kern w:val="2"/>
          <w:lang w:eastAsia="en-AU"/>
          <w14:ligatures w14:val="standardContextual"/>
        </w:rPr>
      </w:pPr>
      <w:r>
        <w:t>Section 8: Indexes</w:t>
      </w:r>
      <w:r>
        <w:tab/>
      </w:r>
      <w:r>
        <w:fldChar w:fldCharType="begin"/>
      </w:r>
      <w:r>
        <w:instrText xml:space="preserve"> PAGEREF _Toc241826756 \h </w:instrText>
      </w:r>
      <w:r>
        <w:fldChar w:fldCharType="separate"/>
      </w:r>
      <w:r w:rsidR="0021625A">
        <w:t>174</w:t>
      </w:r>
      <w:r>
        <w:fldChar w:fldCharType="end"/>
      </w:r>
    </w:p>
    <w:p w14:paraId="0BA8C7EA" w14:textId="26FD7701" w:rsidR="00EB1047" w:rsidRDefault="00EB1047" w:rsidP="00EB1047">
      <w:pPr>
        <w:pStyle w:val="TOC2"/>
        <w:spacing w:line="288" w:lineRule="auto"/>
        <w:rPr>
          <w:rFonts w:asciiTheme="minorHAnsi" w:eastAsiaTheme="minorEastAsia" w:hAnsiTheme="minorHAnsi" w:cstheme="minorBidi"/>
          <w:noProof/>
          <w:kern w:val="2"/>
          <w:lang w:eastAsia="en-AU"/>
          <w14:ligatures w14:val="standardContextual"/>
        </w:rPr>
      </w:pPr>
      <w:r>
        <w:rPr>
          <w:noProof/>
        </w:rPr>
        <w:t>8.1 Compliance indexes</w:t>
      </w:r>
      <w:r>
        <w:rPr>
          <w:noProof/>
        </w:rPr>
        <w:tab/>
      </w:r>
      <w:r>
        <w:rPr>
          <w:noProof/>
        </w:rPr>
        <w:fldChar w:fldCharType="begin"/>
      </w:r>
      <w:r>
        <w:rPr>
          <w:noProof/>
        </w:rPr>
        <w:instrText xml:space="preserve"> PAGEREF _Toc241826757 \h </w:instrText>
      </w:r>
      <w:r>
        <w:rPr>
          <w:noProof/>
        </w:rPr>
      </w:r>
      <w:r>
        <w:rPr>
          <w:noProof/>
        </w:rPr>
        <w:fldChar w:fldCharType="separate"/>
      </w:r>
      <w:r w:rsidR="0021625A">
        <w:rPr>
          <w:noProof/>
        </w:rPr>
        <w:t>175</w:t>
      </w:r>
      <w:r>
        <w:rPr>
          <w:noProof/>
        </w:rPr>
        <w:fldChar w:fldCharType="end"/>
      </w:r>
    </w:p>
    <w:p w14:paraId="099E078E" w14:textId="650A1D7E" w:rsidR="00104612" w:rsidRPr="00104612" w:rsidRDefault="00C2758C" w:rsidP="003A4C0A">
      <w:pPr>
        <w:pStyle w:val="Securityinformation"/>
        <w:spacing w:before="120"/>
        <w:sectPr w:rsidR="00104612" w:rsidRPr="00104612" w:rsidSect="00EB1047">
          <w:pgSz w:w="11906" w:h="16838" w:code="9"/>
          <w:pgMar w:top="1247" w:right="1361" w:bottom="1247" w:left="1361" w:header="567" w:footer="454" w:gutter="0"/>
          <w:cols w:space="708"/>
          <w:docGrid w:linePitch="360"/>
        </w:sectPr>
      </w:pPr>
      <w:r>
        <w:rPr>
          <w:b w:val="0"/>
          <w:noProof/>
          <w:color w:val="auto"/>
          <w:sz w:val="24"/>
          <w:szCs w:val="24"/>
        </w:rPr>
        <w:fldChar w:fldCharType="end"/>
      </w:r>
    </w:p>
    <w:p w14:paraId="0E9475A8" w14:textId="77777777" w:rsidR="002D30D7" w:rsidRPr="005671D9" w:rsidRDefault="002D30D7" w:rsidP="002D30D7">
      <w:pPr>
        <w:spacing w:before="120" w:line="288" w:lineRule="auto"/>
        <w:rPr>
          <w:lang w:eastAsia="ja-JP"/>
        </w:rPr>
      </w:pPr>
      <w:bookmarkStart w:id="4" w:name="_Toc223423305"/>
      <w:r>
        <w:rPr>
          <w:noProof/>
        </w:rPr>
        <w:drawing>
          <wp:inline distT="0" distB="0" distL="0" distR="0" wp14:anchorId="3274EC53" wp14:editId="4A9AF73B">
            <wp:extent cx="5731200" cy="939600"/>
            <wp:effectExtent l="0" t="0" r="0" b="635"/>
            <wp:docPr id="632085000" name="Picture 2" descr="Image of artwork ‘Belonging’ by Charmaine Mumbull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85000" name="Picture 2" descr="Image of artwork ‘Belonging’ by Charmaine Mumbulla.">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200" cy="939600"/>
                    </a:xfrm>
                    <a:prstGeom prst="rect">
                      <a:avLst/>
                    </a:prstGeom>
                  </pic:spPr>
                </pic:pic>
              </a:graphicData>
            </a:graphic>
          </wp:inline>
        </w:drawing>
      </w:r>
    </w:p>
    <w:p w14:paraId="707261CE" w14:textId="77777777" w:rsidR="002D30D7" w:rsidRPr="00293AE0" w:rsidRDefault="002D30D7" w:rsidP="00805349">
      <w:pPr>
        <w:pStyle w:val="Heading3"/>
      </w:pPr>
      <w:bookmarkStart w:id="5" w:name="_Toc223423304"/>
      <w:bookmarkStart w:id="6" w:name="_Toc226723897"/>
      <w:bookmarkStart w:id="7" w:name="_Toc241826707"/>
      <w:r w:rsidRPr="00293AE0">
        <w:t>Acknowledgement of Country</w:t>
      </w:r>
      <w:bookmarkEnd w:id="5"/>
      <w:bookmarkEnd w:id="6"/>
      <w:bookmarkEnd w:id="7"/>
    </w:p>
    <w:p w14:paraId="6F1F0961" w14:textId="5500EFCE" w:rsidR="002D30D7" w:rsidRPr="00293AE0" w:rsidRDefault="00033F93" w:rsidP="002D30D7">
      <w:pPr>
        <w:pStyle w:val="Title"/>
      </w:pPr>
      <w:r w:rsidRPr="00293AE0">
        <w:t>The NDIA acknowledges the Traditional Custodians of Country throughout Australia and their continuing connection to land, sea and community. We pay our respects to them and their cultures, and to Elders past, present and emerging.</w:t>
      </w:r>
    </w:p>
    <w:p w14:paraId="00313DEC" w14:textId="77777777" w:rsidR="0047475D" w:rsidRDefault="002D30D7" w:rsidP="00830288">
      <w:pPr>
        <w:pStyle w:val="Caption"/>
      </w:pPr>
      <w:r w:rsidRPr="00293AE0">
        <w:t>Artwork ‘Belonging’ by Charmaine Mumbulla.</w:t>
      </w:r>
    </w:p>
    <w:p w14:paraId="67F3B3C4" w14:textId="304C7500" w:rsidR="002D30D7" w:rsidRDefault="002D30D7" w:rsidP="00830288">
      <w:pPr>
        <w:pStyle w:val="Caption"/>
        <w:rPr>
          <w:b w:val="0"/>
          <w:bCs w:val="0"/>
        </w:rPr>
      </w:pPr>
      <w:r>
        <w:br w:type="page"/>
      </w:r>
    </w:p>
    <w:p w14:paraId="0B4448F6" w14:textId="77777777" w:rsidR="00FD1A64" w:rsidRDefault="00E3368B" w:rsidP="00BB0F42">
      <w:pPr>
        <w:pStyle w:val="Heading3"/>
      </w:pPr>
      <w:bookmarkStart w:id="8" w:name="_Toc226723898"/>
      <w:bookmarkStart w:id="9" w:name="_Toc241826708"/>
      <w:r w:rsidRPr="004C093A">
        <w:t>Letter of transmittal</w:t>
      </w:r>
      <w:bookmarkEnd w:id="4"/>
      <w:bookmarkEnd w:id="8"/>
      <w:r w:rsidR="00E22868" w:rsidRPr="004C093A">
        <w:rPr>
          <w:noProof/>
          <w:color w:val="FAA31A" w:themeColor="accent4"/>
        </w:rPr>
        <w:drawing>
          <wp:anchor distT="0" distB="0" distL="114300" distR="114300" simplePos="0" relativeHeight="251657728" behindDoc="0" locked="0" layoutInCell="1" allowOverlap="1" wp14:anchorId="020807DE" wp14:editId="434D5483">
            <wp:simplePos x="0" y="0"/>
            <wp:positionH relativeFrom="margin">
              <wp:align>right</wp:align>
            </wp:positionH>
            <wp:positionV relativeFrom="paragraph">
              <wp:posOffset>532765</wp:posOffset>
            </wp:positionV>
            <wp:extent cx="2887200" cy="720000"/>
            <wp:effectExtent l="0" t="0" r="0" b="4445"/>
            <wp:wrapTopAndBottom/>
            <wp:docPr id="2" name="Picture 5" descr="NDIS - delivered by the National Disability Insurance Agency"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6" cstate="print">
                      <a:extLst>
                        <a:ext uri="{28A0092B-C50C-407E-A947-70E740481C1C}">
                          <a14:useLocalDpi xmlns:a14="http://schemas.microsoft.com/office/drawing/2010/main" val="0"/>
                        </a:ext>
                      </a:extLst>
                    </a:blip>
                    <a:srcRect/>
                    <a:stretch/>
                  </pic:blipFill>
                  <pic:spPr>
                    <a:xfrm>
                      <a:off x="0" y="0"/>
                      <a:ext cx="2887200" cy="720000"/>
                    </a:xfrm>
                    <a:prstGeom prst="rect">
                      <a:avLst/>
                    </a:prstGeom>
                  </pic:spPr>
                </pic:pic>
              </a:graphicData>
            </a:graphic>
            <wp14:sizeRelH relativeFrom="margin">
              <wp14:pctWidth>0</wp14:pctWidth>
            </wp14:sizeRelH>
            <wp14:sizeRelV relativeFrom="margin">
              <wp14:pctHeight>0</wp14:pctHeight>
            </wp14:sizeRelV>
          </wp:anchor>
        </w:drawing>
      </w:r>
      <w:bookmarkEnd w:id="9"/>
    </w:p>
    <w:p w14:paraId="55AFC847" w14:textId="77777777" w:rsidR="001B6990" w:rsidRPr="007A3600" w:rsidRDefault="001B6990" w:rsidP="001B6990">
      <w:pPr>
        <w:spacing w:after="0"/>
        <w:jc w:val="right"/>
      </w:pPr>
      <w:r w:rsidRPr="007A3600">
        <w:t>GPO Box 700</w:t>
      </w:r>
    </w:p>
    <w:p w14:paraId="53A32D80" w14:textId="77777777" w:rsidR="001B6990" w:rsidRPr="007A3600" w:rsidRDefault="001B6990" w:rsidP="001B6990">
      <w:pPr>
        <w:spacing w:after="0"/>
        <w:jc w:val="right"/>
      </w:pPr>
      <w:r w:rsidRPr="007A3600">
        <w:t>Canberra ACT 2601</w:t>
      </w:r>
    </w:p>
    <w:p w14:paraId="36155BF2" w14:textId="77777777" w:rsidR="001B6990" w:rsidRPr="007A3600" w:rsidRDefault="001B6990" w:rsidP="001B6990">
      <w:pPr>
        <w:spacing w:after="0"/>
        <w:jc w:val="right"/>
      </w:pPr>
      <w:r w:rsidRPr="007A3600">
        <w:t>1800 800 110</w:t>
      </w:r>
    </w:p>
    <w:p w14:paraId="584395B7" w14:textId="0B71E4A4" w:rsidR="00D04C02" w:rsidRDefault="00D04C02" w:rsidP="00D04C02">
      <w:r>
        <w:t>The Hon Mark Butler MP</w:t>
      </w:r>
      <w:r>
        <w:br/>
        <w:t>Minister for Disability and the National Disability Insurance Scheme</w:t>
      </w:r>
      <w:r>
        <w:br/>
        <w:t>Parliament House</w:t>
      </w:r>
      <w:r>
        <w:br/>
        <w:t>Canberra ACT 2600</w:t>
      </w:r>
    </w:p>
    <w:p w14:paraId="0E026279" w14:textId="075DCEC2" w:rsidR="00D04C02" w:rsidRDefault="00D04C02" w:rsidP="00D04C02">
      <w:r>
        <w:t>Senator the Hon Jenny McAllister</w:t>
      </w:r>
      <w:r>
        <w:br/>
        <w:t>Minister for the National Disability Insurance Scheme</w:t>
      </w:r>
      <w:r>
        <w:br/>
        <w:t>Parliament House</w:t>
      </w:r>
      <w:r>
        <w:br/>
        <w:t>Canberra ACT 2600</w:t>
      </w:r>
    </w:p>
    <w:p w14:paraId="0C887282" w14:textId="77777777" w:rsidR="00D04C02" w:rsidRDefault="00D04C02" w:rsidP="00D04C02">
      <w:r>
        <w:t>Dear Ministers,</w:t>
      </w:r>
    </w:p>
    <w:p w14:paraId="11AB43C2" w14:textId="77777777" w:rsidR="00811C64" w:rsidRDefault="00811C64" w:rsidP="00811C64">
      <w:r>
        <w:t>On behalf of the National Disability Insurance Agency (NDIA), I present the 2025–26 annual report.</w:t>
      </w:r>
    </w:p>
    <w:p w14:paraId="72533573" w14:textId="4C58D491" w:rsidR="00811C64" w:rsidRDefault="00811C64" w:rsidP="00811C64">
      <w:r>
        <w:t>This report describes the NDIA</w:t>
      </w:r>
      <w:r w:rsidR="0013356D">
        <w:t>’</w:t>
      </w:r>
      <w:r>
        <w:t xml:space="preserve">s work and results during the year. The NDIA prepared the report under the </w:t>
      </w:r>
      <w:r w:rsidRPr="001E61BD">
        <w:rPr>
          <w:i/>
          <w:iCs/>
        </w:rPr>
        <w:t>Public Governance, Performance and Accountability Act 2013</w:t>
      </w:r>
      <w:r>
        <w:t xml:space="preserve"> (Cth) (PGPA Act) and the </w:t>
      </w:r>
      <w:r w:rsidRPr="001E61BD">
        <w:rPr>
          <w:i/>
          <w:iCs/>
        </w:rPr>
        <w:t>National Disability Insurance Scheme Act 2013</w:t>
      </w:r>
      <w:r>
        <w:t xml:space="preserve"> (Cth) (NDIS Act).</w:t>
      </w:r>
    </w:p>
    <w:p w14:paraId="7D368405" w14:textId="77777777" w:rsidR="00811C64" w:rsidRDefault="00811C64" w:rsidP="00811C64">
      <w:r>
        <w:t>As required by section 39 of the PGPA Act, the report explains how the NDIA achieved its purpose.</w:t>
      </w:r>
    </w:p>
    <w:p w14:paraId="2F73AEC6" w14:textId="4D8B735D" w:rsidR="00811C64" w:rsidRDefault="00811C64" w:rsidP="00811C64">
      <w:r>
        <w:t>The report includes the NDIA</w:t>
      </w:r>
      <w:r w:rsidR="0013356D">
        <w:t>’</w:t>
      </w:r>
      <w:r>
        <w:t>s annual financial statements and the Auditor-General</w:t>
      </w:r>
      <w:r w:rsidR="0013356D">
        <w:t>’</w:t>
      </w:r>
      <w:r>
        <w:t>s report, as required by subsection 43(4) of the PGPA Act.</w:t>
      </w:r>
    </w:p>
    <w:p w14:paraId="0404BE9F" w14:textId="103FA5A1" w:rsidR="00811C64" w:rsidRDefault="00811C64" w:rsidP="00811C64">
      <w:r>
        <w:t>The report also includes a summary of the Annual Financial Sustainability Report 2025–26 and the reviewing actuary</w:t>
      </w:r>
      <w:r w:rsidR="0013356D">
        <w:t>’</w:t>
      </w:r>
      <w:r>
        <w:t>s report. Together, these meet the NDIA</w:t>
      </w:r>
      <w:r w:rsidR="0013356D">
        <w:t>’</w:t>
      </w:r>
      <w:r>
        <w:t>s obligations under subsection 172(4) of the NDIS Act.</w:t>
      </w:r>
    </w:p>
    <w:p w14:paraId="4EADE06B" w14:textId="45118153" w:rsidR="00D04C02" w:rsidRDefault="00811C64" w:rsidP="00811C64">
      <w:r>
        <w:t xml:space="preserve">The Board of Directors approved the report on </w:t>
      </w:r>
      <w:r w:rsidRPr="003B4DB4">
        <w:t>17 September 2026</w:t>
      </w:r>
      <w:r>
        <w:t xml:space="preserve"> and is responsible for its preparation and content. The report is provided to you as the responsible minister under section 46 of the PGPA Act.</w:t>
      </w:r>
    </w:p>
    <w:p w14:paraId="76783694" w14:textId="77777777" w:rsidR="0049226B" w:rsidRDefault="002D40CE" w:rsidP="00830288">
      <w:r w:rsidRPr="002D40CE">
        <w:rPr>
          <w:noProof/>
        </w:rPr>
        <w:drawing>
          <wp:inline distT="0" distB="0" distL="0" distR="0" wp14:anchorId="13E18069" wp14:editId="65DBB732">
            <wp:extent cx="1638300" cy="1383904"/>
            <wp:effectExtent l="0" t="0" r="0" b="6985"/>
            <wp:docPr id="1028264872" name="Picture 1" descr="Signature block of Mr Kurt Fearnely, NDIA Board Chair, dated 17 Septemb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64872" name="Picture 1" descr="Signature block of Mr Kurt Fearnely, NDIA Board Chair, dated 17 September 2026"/>
                    <pic:cNvPicPr/>
                  </pic:nvPicPr>
                  <pic:blipFill>
                    <a:blip r:embed="rId17">
                      <a:extLst>
                        <a:ext uri="{BEBA8EAE-BF5A-486C-A8C5-ECC9F3942E4B}">
                          <a14:imgProps xmlns:a14="http://schemas.microsoft.com/office/drawing/2010/main">
                            <a14:imgLayer r:embed="rId18">
                              <a14:imgEffect>
                                <a14:sharpenSoften amount="100000"/>
                              </a14:imgEffect>
                            </a14:imgLayer>
                          </a14:imgProps>
                        </a:ext>
                        <a:ext uri="{28A0092B-C50C-407E-A947-70E740481C1C}">
                          <a14:useLocalDpi xmlns:a14="http://schemas.microsoft.com/office/drawing/2010/main" val="0"/>
                        </a:ext>
                      </a:extLst>
                    </a:blip>
                    <a:stretch>
                      <a:fillRect/>
                    </a:stretch>
                  </pic:blipFill>
                  <pic:spPr>
                    <a:xfrm>
                      <a:off x="0" y="0"/>
                      <a:ext cx="1683590" cy="1422162"/>
                    </a:xfrm>
                    <a:prstGeom prst="rect">
                      <a:avLst/>
                    </a:prstGeom>
                  </pic:spPr>
                </pic:pic>
              </a:graphicData>
            </a:graphic>
          </wp:inline>
        </w:drawing>
      </w:r>
    </w:p>
    <w:p w14:paraId="4C7CEDE1" w14:textId="12C04DE0" w:rsidR="00B7722D" w:rsidRDefault="000B4954" w:rsidP="00830288">
      <w:pPr>
        <w:sectPr w:rsidR="00B7722D" w:rsidSect="00EB1047">
          <w:headerReference w:type="default" r:id="rId19"/>
          <w:footerReference w:type="default" r:id="rId20"/>
          <w:headerReference w:type="first" r:id="rId21"/>
          <w:footerReference w:type="first" r:id="rId22"/>
          <w:pgSz w:w="11906" w:h="16838"/>
          <w:pgMar w:top="1247" w:right="1361" w:bottom="1247" w:left="1361" w:header="567" w:footer="454" w:gutter="0"/>
          <w:cols w:space="708"/>
          <w:docGrid w:linePitch="360"/>
        </w:sectPr>
      </w:pPr>
      <w:r>
        <w:br w:type="page"/>
      </w:r>
    </w:p>
    <w:p w14:paraId="321B2D6D" w14:textId="77777777" w:rsidR="006E2435" w:rsidRDefault="00F50E94" w:rsidP="00F15705">
      <w:pPr>
        <w:pStyle w:val="Heading2"/>
      </w:pPr>
      <w:bookmarkStart w:id="10" w:name="_Toc226723899"/>
      <w:bookmarkStart w:id="11" w:name="_Toc241826709"/>
      <w:r w:rsidRPr="002311B0">
        <w:t xml:space="preserve">Section 1: </w:t>
      </w:r>
      <w:r w:rsidR="008F61F7" w:rsidRPr="002311B0">
        <w:t>Introduction and overview</w:t>
      </w:r>
      <w:bookmarkEnd w:id="10"/>
      <w:bookmarkEnd w:id="11"/>
    </w:p>
    <w:p w14:paraId="79E28BC6" w14:textId="2C22120C" w:rsidR="00E131FF" w:rsidRPr="00720B8C" w:rsidRDefault="00E131FF" w:rsidP="006E2435">
      <w:r w:rsidRPr="00720B8C">
        <w:br w:type="page"/>
      </w:r>
    </w:p>
    <w:p w14:paraId="03191508" w14:textId="77777777" w:rsidR="00396432" w:rsidRPr="00DC00ED" w:rsidRDefault="00396432" w:rsidP="003E34C1">
      <w:pPr>
        <w:pStyle w:val="Heading3"/>
      </w:pPr>
      <w:bookmarkStart w:id="12" w:name="_Toc226723900"/>
      <w:bookmarkStart w:id="13" w:name="_Toc241826710"/>
      <w:r w:rsidRPr="00DC00ED">
        <w:t>Acknowledgement of people with disability</w:t>
      </w:r>
      <w:bookmarkEnd w:id="12"/>
      <w:bookmarkEnd w:id="13"/>
    </w:p>
    <w:p w14:paraId="240CFD61" w14:textId="3755775E" w:rsidR="00DF18B7" w:rsidRPr="00DC00ED" w:rsidRDefault="00DF18B7" w:rsidP="00DE1348">
      <w:r w:rsidRPr="00DC00ED">
        <w:t>The NDIA recognises the objectives of the United Nations Convention on the Rights of Persons with Disabilities – to promote, protect and ensure the full and equal enjoyment of all human rights and fundamental freedoms by all persons with disabilities, and to promote respect for their inherent dignity.</w:t>
      </w:r>
    </w:p>
    <w:p w14:paraId="74488F2C" w14:textId="2E611B95" w:rsidR="003D3B7F" w:rsidRDefault="00DF18B7" w:rsidP="00DE1348">
      <w:r w:rsidRPr="00DC00ED">
        <w:t xml:space="preserve">We acknowledge the lived experience of people with disability, their family members, carers and supporters and their ongoing contribution to the development of the NDIS through </w:t>
      </w:r>
      <w:r w:rsidRPr="0033284A">
        <w:t>co-design</w:t>
      </w:r>
      <w:r w:rsidRPr="00DC00ED">
        <w:t>.</w:t>
      </w:r>
    </w:p>
    <w:p w14:paraId="0B5B32CA" w14:textId="454C42B5" w:rsidR="000D1B02" w:rsidRDefault="00416A5D" w:rsidP="00D5005A">
      <w:pPr>
        <w:pStyle w:val="Heading3"/>
      </w:pPr>
      <w:bookmarkStart w:id="14" w:name="_Toc241826711"/>
      <w:bookmarkStart w:id="15" w:name="_Toc226723901"/>
      <w:r>
        <w:t xml:space="preserve">1.1 </w:t>
      </w:r>
      <w:r w:rsidR="00AD3799">
        <w:t>Year in focus</w:t>
      </w:r>
      <w:bookmarkEnd w:id="14"/>
    </w:p>
    <w:p w14:paraId="67A0960C" w14:textId="4993FF0E" w:rsidR="000F2B21" w:rsidRDefault="00D3201A" w:rsidP="00D77AFF">
      <w:pPr>
        <w:pStyle w:val="Heading4"/>
      </w:pPr>
      <w:r>
        <w:t>About</w:t>
      </w:r>
      <w:r w:rsidR="000F2B21" w:rsidRPr="003045E7">
        <w:t xml:space="preserve"> the National Disability Insurance Scheme</w:t>
      </w:r>
    </w:p>
    <w:p w14:paraId="71A29B61" w14:textId="6DE3AEC1" w:rsidR="007C4749" w:rsidRDefault="007C4749" w:rsidP="007C4749">
      <w:r>
        <w:t>The National Disability Insurance Scheme (NDIS) provides funding to eligible people with disability to help them pursue their goals, live more independently and improve their quality of life.</w:t>
      </w:r>
    </w:p>
    <w:p w14:paraId="19020B69" w14:textId="251D4BBA" w:rsidR="000F2B21" w:rsidRPr="000F2B21" w:rsidRDefault="007C4749" w:rsidP="002E02FC">
      <w:r>
        <w:t>The NDIS also helps people with disability connect with services and supports in their community</w:t>
      </w:r>
      <w:r w:rsidR="002E02FC">
        <w:t xml:space="preserve"> and </w:t>
      </w:r>
      <w:r>
        <w:t>provides information about disability supports and services available through state and territory governments.</w:t>
      </w:r>
    </w:p>
    <w:p w14:paraId="19A689E0" w14:textId="48EA8296" w:rsidR="007374C3" w:rsidRDefault="00D77AFF" w:rsidP="00D77AFF">
      <w:pPr>
        <w:pStyle w:val="Heading4"/>
      </w:pPr>
      <w:r>
        <w:t>Who we are</w:t>
      </w:r>
    </w:p>
    <w:p w14:paraId="13A24DFB" w14:textId="3DAA776D" w:rsidR="00D24339" w:rsidRDefault="00D24339" w:rsidP="00D24339">
      <w:r>
        <w:t xml:space="preserve">The National Disability Insurance Agency (NDIA) delivers the </w:t>
      </w:r>
      <w:r w:rsidR="00DB012C">
        <w:t>National Disability Insurance Scheme (</w:t>
      </w:r>
      <w:r>
        <w:t>NDIS</w:t>
      </w:r>
      <w:r w:rsidR="00DB012C">
        <w:t>)</w:t>
      </w:r>
      <w:r>
        <w:t>.</w:t>
      </w:r>
    </w:p>
    <w:p w14:paraId="54965F17" w14:textId="0BB0E373" w:rsidR="00D24339" w:rsidRDefault="7E52CE8A">
      <w:r>
        <w:t xml:space="preserve">The NDIA </w:t>
      </w:r>
      <w:r w:rsidR="00D76085">
        <w:t>works closely with</w:t>
      </w:r>
      <w:r>
        <w:t xml:space="preserve"> the Department of Health, Disability and Ageing (DHDA)</w:t>
      </w:r>
      <w:r w:rsidR="006F2A03">
        <w:t xml:space="preserve"> and the NDIS Quality and Safeguards Commission (NDIS Commission) </w:t>
      </w:r>
      <w:r w:rsidR="005C383C" w:rsidRPr="00412FFA">
        <w:t>within the Health, Disability and Ageing portfolio</w:t>
      </w:r>
      <w:r>
        <w:t xml:space="preserve">. The DHDA sets national disability policy and leads major reforms to the NDIS. The NDIA delivers the NDIS and works with people with disability and other stakeholders </w:t>
      </w:r>
      <w:r w:rsidR="12975A3C">
        <w:t>to de</w:t>
      </w:r>
      <w:r w:rsidR="168CAA51">
        <w:t>si</w:t>
      </w:r>
      <w:r w:rsidR="12975A3C">
        <w:t>gn and test implementation</w:t>
      </w:r>
      <w:r w:rsidR="005C383C">
        <w:t xml:space="preserve"> of Schem</w:t>
      </w:r>
      <w:r w:rsidR="0045224E">
        <w:t>e reform</w:t>
      </w:r>
      <w:r>
        <w:t>.</w:t>
      </w:r>
    </w:p>
    <w:p w14:paraId="3DDEF8D9" w14:textId="1C125818" w:rsidR="00A705C0" w:rsidRDefault="00D24339" w:rsidP="00D24339">
      <w:r>
        <w:t>Together, the DHDA</w:t>
      </w:r>
      <w:r w:rsidR="0045224E">
        <w:t>,</w:t>
      </w:r>
      <w:r>
        <w:t xml:space="preserve"> </w:t>
      </w:r>
      <w:r w:rsidR="0045224E">
        <w:t>the</w:t>
      </w:r>
      <w:r>
        <w:t xml:space="preserve"> NDIA</w:t>
      </w:r>
      <w:r w:rsidR="0045224E">
        <w:t xml:space="preserve"> </w:t>
      </w:r>
      <w:r w:rsidR="00996DA7">
        <w:t>and the NDIS Commission</w:t>
      </w:r>
      <w:r>
        <w:t xml:space="preserve"> help create a more connected and effective disability support system.</w:t>
      </w:r>
    </w:p>
    <w:p w14:paraId="17B7D8AA" w14:textId="31A35AD9" w:rsidR="00E72743" w:rsidRDefault="00E72743" w:rsidP="001F346A">
      <w:pPr>
        <w:pStyle w:val="Heading4"/>
      </w:pPr>
      <w:r>
        <w:t>Our values</w:t>
      </w:r>
    </w:p>
    <w:p w14:paraId="12728854" w14:textId="4F5382A0" w:rsidR="00566F82" w:rsidRDefault="006336C5" w:rsidP="00566F82">
      <w:r w:rsidRPr="006336C5">
        <w:t>The NDIA</w:t>
      </w:r>
      <w:r w:rsidR="009B51FD">
        <w:t>’</w:t>
      </w:r>
      <w:r w:rsidRPr="006336C5">
        <w:t>s 4 values guide how we work, make decisions and support the delivery of the NDIS.</w:t>
      </w:r>
    </w:p>
    <w:p w14:paraId="2C0EEA6C" w14:textId="4EE4A8D9" w:rsidR="00E46F09" w:rsidRDefault="00566F82" w:rsidP="00566F82">
      <w:r>
        <w:t>Our values are:</w:t>
      </w:r>
    </w:p>
    <w:p w14:paraId="5343F711" w14:textId="2C021A53" w:rsidR="00E46F09" w:rsidRDefault="00E46F09" w:rsidP="00727BF4">
      <w:pPr>
        <w:pStyle w:val="Number1"/>
        <w:numPr>
          <w:ilvl w:val="0"/>
          <w:numId w:val="0"/>
        </w:numPr>
        <w:ind w:left="357"/>
      </w:pPr>
      <w:r>
        <w:t>We value people.</w:t>
      </w:r>
    </w:p>
    <w:p w14:paraId="716A2C1A" w14:textId="41E4A089" w:rsidR="00E46F09" w:rsidRDefault="00E46F09" w:rsidP="00727BF4">
      <w:pPr>
        <w:pStyle w:val="Number1"/>
        <w:numPr>
          <w:ilvl w:val="0"/>
          <w:numId w:val="0"/>
        </w:numPr>
        <w:ind w:left="357"/>
      </w:pPr>
      <w:r>
        <w:t>We grow together.</w:t>
      </w:r>
    </w:p>
    <w:p w14:paraId="112AD4FD" w14:textId="19BEE7A0" w:rsidR="00E46F09" w:rsidRDefault="00E46F09" w:rsidP="00727BF4">
      <w:pPr>
        <w:pStyle w:val="Number1"/>
        <w:numPr>
          <w:ilvl w:val="0"/>
          <w:numId w:val="0"/>
        </w:numPr>
        <w:ind w:left="357"/>
      </w:pPr>
      <w:r>
        <w:t>We aim higher.</w:t>
      </w:r>
    </w:p>
    <w:p w14:paraId="3339A4FC" w14:textId="27D55209" w:rsidR="00E46F09" w:rsidRDefault="00E46F09" w:rsidP="00727BF4">
      <w:pPr>
        <w:pStyle w:val="Number1"/>
        <w:numPr>
          <w:ilvl w:val="0"/>
          <w:numId w:val="0"/>
        </w:numPr>
        <w:ind w:left="357"/>
      </w:pPr>
      <w:r>
        <w:t>We take care.</w:t>
      </w:r>
    </w:p>
    <w:p w14:paraId="6AA91D70" w14:textId="1BD60CD0" w:rsidR="00E72743" w:rsidRPr="00E72743" w:rsidRDefault="00D44BC6" w:rsidP="00E46F09">
      <w:r>
        <w:t xml:space="preserve">For more information, </w:t>
      </w:r>
      <w:r w:rsidR="006336C5">
        <w:t>visit</w:t>
      </w:r>
      <w:r>
        <w:t xml:space="preserve"> the NDIS website:</w:t>
      </w:r>
      <w:r w:rsidR="004A7A6A">
        <w:t xml:space="preserve"> </w:t>
      </w:r>
      <w:hyperlink r:id="rId23" w:history="1">
        <w:r w:rsidR="00493F95">
          <w:rPr>
            <w:rStyle w:val="Hyperlink"/>
          </w:rPr>
          <w:t>Our values</w:t>
        </w:r>
      </w:hyperlink>
      <w:r w:rsidR="00B04112">
        <w:t>.</w:t>
      </w:r>
    </w:p>
    <w:p w14:paraId="07641082" w14:textId="77777777" w:rsidR="001D5702" w:rsidRDefault="001D5702" w:rsidP="001D5702">
      <w:pPr>
        <w:pStyle w:val="Heading4"/>
      </w:pPr>
      <w:r>
        <w:t>2025–26 at a glance</w:t>
      </w:r>
    </w:p>
    <w:p w14:paraId="698A3C05" w14:textId="5A97C425" w:rsidR="00B30B6F" w:rsidRDefault="00B30B6F" w:rsidP="00450A24">
      <w:pPr>
        <w:pStyle w:val="Heading5"/>
      </w:pPr>
      <w:r>
        <w:t>High-level results</w:t>
      </w:r>
    </w:p>
    <w:p w14:paraId="1BF5EA0A" w14:textId="63D6BBE7" w:rsidR="00450A24" w:rsidRDefault="00450A24" w:rsidP="00B30B6F">
      <w:pPr>
        <w:pStyle w:val="Heading6"/>
      </w:pPr>
      <w:r>
        <w:t xml:space="preserve">Performance </w:t>
      </w:r>
      <w:r w:rsidR="00B30B6F">
        <w:t>against targets in the NDIA Corporate Plan 2025–26</w:t>
      </w:r>
    </w:p>
    <w:p w14:paraId="4E20B16A" w14:textId="5F2B8EFF" w:rsidR="00765CB0" w:rsidRDefault="00765CB0" w:rsidP="00765CB0">
      <w:r>
        <w:t>Overall, the NDIA performed strongly against several of its performance measures in 2025–26. Of the Agency</w:t>
      </w:r>
      <w:r w:rsidR="00B96A63">
        <w:t>’</w:t>
      </w:r>
      <w:r>
        <w:t>s 14 performance measures, 7 were achieved and 6 were not achieved. One measure, claim integrity checks, did not have a target in 2025–26 because a baseline was being established.</w:t>
      </w:r>
    </w:p>
    <w:p w14:paraId="57431E7A" w14:textId="44E08043" w:rsidR="00765CB0" w:rsidRDefault="00765CB0" w:rsidP="00765CB0">
      <w:r>
        <w:t>Strong results were achieved in employment outcomes for participants, workforce diversity, payment timeliness, first-contact resolution, reporting obligations and participants</w:t>
      </w:r>
      <w:r w:rsidR="00282D38">
        <w:t>’</w:t>
      </w:r>
      <w:r>
        <w:t xml:space="preserve"> connections to community and mainstream supports. The NDIA also delivered annual pricing arrangements and price </w:t>
      </w:r>
      <w:r w:rsidR="000C65D7">
        <w:t xml:space="preserve">guidance </w:t>
      </w:r>
      <w:r>
        <w:t>as planned.</w:t>
      </w:r>
    </w:p>
    <w:p w14:paraId="22DC8187" w14:textId="62B2EB0C" w:rsidR="00EB1047" w:rsidRPr="00EB1047" w:rsidRDefault="00765CB0" w:rsidP="00EB1047">
      <w:r>
        <w:t>Participant satisfaction, social and community engagement, progress towards participant goals, key service timeframes and Scheme expense growth remained below target. The NDIA will continue to focus on improving participant experience, service delivery and the long-term sustainability of the NDIS.</w:t>
      </w:r>
      <w:r w:rsidR="00EB1047" w:rsidRPr="00EB1047">
        <w:br w:type="page"/>
      </w:r>
    </w:p>
    <w:p w14:paraId="21081CDA" w14:textId="7E5F235C" w:rsidR="00450A24" w:rsidRDefault="00450A24" w:rsidP="00B30B6F">
      <w:pPr>
        <w:pStyle w:val="Heading6"/>
      </w:pPr>
      <w:r>
        <w:t xml:space="preserve">Financial </w:t>
      </w:r>
      <w:r w:rsidR="007F5F70">
        <w:t>performance</w:t>
      </w:r>
    </w:p>
    <w:p w14:paraId="56F9251A" w14:textId="0570A74D" w:rsidR="00450A24" w:rsidRDefault="00FA1558" w:rsidP="00450A24">
      <w:r w:rsidRPr="00FA1558">
        <w:t xml:space="preserve">The </w:t>
      </w:r>
      <w:r>
        <w:t>NDIA</w:t>
      </w:r>
      <w:r w:rsidR="00BE1FFB">
        <w:t>’</w:t>
      </w:r>
      <w:r w:rsidRPr="00FA1558">
        <w:t xml:space="preserve">s </w:t>
      </w:r>
      <w:r w:rsidR="005A1683">
        <w:t xml:space="preserve">2025–26 </w:t>
      </w:r>
      <w:r w:rsidRPr="00FA1558">
        <w:t>financial results reflect the continued growth of the NDIS, including higher participant support and operating costs. Increased revenue and government funding supported these costs.</w:t>
      </w:r>
    </w:p>
    <w:p w14:paraId="456BDA73" w14:textId="60633864" w:rsidR="00262B1C" w:rsidRDefault="00262B1C" w:rsidP="00262B1C">
      <w:pPr>
        <w:pStyle w:val="Heading6"/>
      </w:pPr>
      <w:r>
        <w:t>Financial sustainability</w:t>
      </w:r>
    </w:p>
    <w:p w14:paraId="1D16BB47" w14:textId="634ECECB" w:rsidR="00262B1C" w:rsidRPr="00262B1C" w:rsidRDefault="002A517F" w:rsidP="00262B1C">
      <w:r w:rsidRPr="002A517F">
        <w:t>The financial sustainability statements indicate that NDIS expenditure is expected to continue growing over the forward estimates. Planned reforms are intended to support the long-term sustainability of the Scheme and help moderate the rate of future cost growth.</w:t>
      </w:r>
    </w:p>
    <w:p w14:paraId="73696DE7" w14:textId="49F9712C" w:rsidR="00AA7905" w:rsidRDefault="007F5F70" w:rsidP="00AA7905">
      <w:pPr>
        <w:pStyle w:val="Heading5"/>
      </w:pPr>
      <w:r>
        <w:t xml:space="preserve">Our </w:t>
      </w:r>
      <w:r w:rsidR="009378A0">
        <w:t>governance and people</w:t>
      </w:r>
    </w:p>
    <w:p w14:paraId="3CD1555A" w14:textId="4E658E80" w:rsidR="00DC20A3" w:rsidRDefault="00DC20A3" w:rsidP="00DC20A3">
      <w:r>
        <w:t>The NDIA continued to strengthen its governance, risk management and integrity frameworks during a period of significant reform and organisational change. The Board and its committees provided oversight of the NDIA’s performance, financial sustainability and strategic priorities. Ongoing improvements to risk management, audit and business continuity arrangements supported effective decision-making and accountability. The NDIA also strengthened its integrity capabilities through investments in fraud prevention, payment assurance and system reforms.</w:t>
      </w:r>
    </w:p>
    <w:p w14:paraId="10A7F612" w14:textId="77777777" w:rsidR="00DC20A3" w:rsidRDefault="00DC20A3" w:rsidP="00DC20A3">
      <w:r>
        <w:t>The NDIA maintained a capable and diverse workforce to support participants and deliver reform. Workforce diversity targets were exceeded, with people with disability representing 24% of staff. The NDIA also continued to invest in staff safety, wellbeing, accessibility and inclusion through initiatives that support a safe, respectful and high-performing workplace.</w:t>
      </w:r>
    </w:p>
    <w:p w14:paraId="2F0367FB" w14:textId="653C488A" w:rsidR="00AA7905" w:rsidRDefault="004D718E" w:rsidP="00AA7905">
      <w:pPr>
        <w:pStyle w:val="Heading5"/>
      </w:pPr>
      <w:r>
        <w:t>Consultation</w:t>
      </w:r>
    </w:p>
    <w:p w14:paraId="7CE024D2" w14:textId="12B5C8CC" w:rsidR="00FE2D7E" w:rsidRDefault="00FE2D7E" w:rsidP="00FE2D7E">
      <w:r>
        <w:t>The NDIA continued to work closely with participants, people with disability and their families and carers, disability representative organisations, providers, partner organisations and governments to inform the design and delivery of the NDIS. Consultation</w:t>
      </w:r>
      <w:r w:rsidR="00A75728">
        <w:t xml:space="preserve">s with </w:t>
      </w:r>
      <w:r w:rsidR="00C00E17">
        <w:t>people with disability and other stakeholders</w:t>
      </w:r>
      <w:r>
        <w:t xml:space="preserve"> were central to </w:t>
      </w:r>
      <w:r w:rsidR="007A791A" w:rsidRPr="007A791A">
        <w:t>testing implementation of Scheme reform</w:t>
      </w:r>
      <w:r>
        <w:t>, supporting service improvements and strengthening participant outcomes. The NDIA engaged stakeholders through advisory groups, forums, reference groups and targeted consultation activities across a range of policy and operational priorities.</w:t>
      </w:r>
    </w:p>
    <w:p w14:paraId="3DF18393" w14:textId="77777777" w:rsidR="00FE2D7E" w:rsidRPr="00346CF6" w:rsidRDefault="00FE2D7E" w:rsidP="00FE2D7E">
      <w:r>
        <w:t xml:space="preserve">During 2025–26, consultation activities informed key initiatives including implementation of the NDIS First Nations Strategy 2025–30, development of market and pricing reforms, participant safeguarding initiatives, integrity reforms and future service models. </w:t>
      </w:r>
      <w:r w:rsidRPr="006B5AD8">
        <w:t>Ongoing engagement with participants, families, carers, providers and other stakeholders helped ensure their experiences and perspectives informed decision-making and contributed to a more accessible, sustainable and responsive NDIS</w:t>
      </w:r>
      <w:r>
        <w:t>.</w:t>
      </w:r>
    </w:p>
    <w:p w14:paraId="585DEFF6" w14:textId="420698C8" w:rsidR="001D5702" w:rsidRDefault="00457F13" w:rsidP="00A50F0B">
      <w:pPr>
        <w:pStyle w:val="Heading5"/>
      </w:pPr>
      <w:r>
        <w:t>Where you can find us</w:t>
      </w:r>
    </w:p>
    <w:p w14:paraId="26CB9CC1" w14:textId="49A48714" w:rsidR="001D5702" w:rsidRPr="00F269B1" w:rsidRDefault="001A7755" w:rsidP="001D5702">
      <w:r w:rsidRPr="001A7755">
        <w:t>As at 30 June 2026 NDIA delivered services from over 145 locations across Australia. Approximately 70</w:t>
      </w:r>
      <w:r w:rsidR="009B51FD">
        <w:t>%</w:t>
      </w:r>
      <w:r w:rsidRPr="001A7755">
        <w:t xml:space="preserve"> of sites were shared with other entities providing Australian Government services.</w:t>
      </w:r>
    </w:p>
    <w:p w14:paraId="1EA97ED4" w14:textId="4B5B4CB3" w:rsidR="00881055" w:rsidRDefault="00B55B48" w:rsidP="003E34C1">
      <w:pPr>
        <w:pStyle w:val="Heading3"/>
      </w:pPr>
      <w:bookmarkStart w:id="16" w:name="_Toc241826712"/>
      <w:r w:rsidRPr="00B55B48">
        <w:t>1.</w:t>
      </w:r>
      <w:r w:rsidR="000D1B02">
        <w:t>2</w:t>
      </w:r>
      <w:r w:rsidR="00416A5D">
        <w:t xml:space="preserve"> </w:t>
      </w:r>
      <w:r w:rsidRPr="00B55B48">
        <w:t>A message from the NDIA Board Chair</w:t>
      </w:r>
      <w:bookmarkEnd w:id="15"/>
      <w:bookmarkEnd w:id="16"/>
    </w:p>
    <w:p w14:paraId="3BB9818C" w14:textId="225E373E" w:rsidR="00B026EF" w:rsidRPr="00B026EF" w:rsidRDefault="009B6F13" w:rsidP="00B026EF">
      <w:pPr>
        <w:pStyle w:val="Title"/>
      </w:pPr>
      <w:r w:rsidRPr="009B6F13">
        <w:t>Kurt Fearnley AO</w:t>
      </w:r>
    </w:p>
    <w:p w14:paraId="10BD6DAC" w14:textId="589386DB" w:rsidR="00740D5C" w:rsidRDefault="00740D5C">
      <w:pPr>
        <w:spacing w:before="120" w:line="288" w:lineRule="auto"/>
      </w:pPr>
      <w:r w:rsidRPr="007A3600">
        <w:rPr>
          <w:noProof/>
        </w:rPr>
        <w:drawing>
          <wp:inline distT="0" distB="0" distL="0" distR="0" wp14:anchorId="2EA96829" wp14:editId="5532E0C3">
            <wp:extent cx="1358900" cy="1987550"/>
            <wp:effectExtent l="0" t="0" r="0" b="0"/>
            <wp:docPr id="1899918220" name="Picture 26" descr="Image of Mr Kurt Fearnley 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18220" name="Picture 26" descr="Image of Mr Kurt Fearnley A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58900" cy="1987550"/>
                    </a:xfrm>
                    <a:prstGeom prst="rect">
                      <a:avLst/>
                    </a:prstGeom>
                    <a:noFill/>
                    <a:ln>
                      <a:noFill/>
                    </a:ln>
                  </pic:spPr>
                </pic:pic>
              </a:graphicData>
            </a:graphic>
          </wp:inline>
        </w:drawing>
      </w:r>
    </w:p>
    <w:p w14:paraId="28014BA6" w14:textId="166E8424" w:rsidR="00626EC7" w:rsidRDefault="00626EC7" w:rsidP="00BF0F38">
      <w:pPr>
        <w:spacing w:before="120"/>
      </w:pPr>
      <w:r>
        <w:t xml:space="preserve">The </w:t>
      </w:r>
      <w:r w:rsidR="000253D1">
        <w:t>National Disability Insurance Scheme (</w:t>
      </w:r>
      <w:r>
        <w:t>NDIS</w:t>
      </w:r>
      <w:r w:rsidR="000253D1">
        <w:t>)</w:t>
      </w:r>
      <w:r>
        <w:t xml:space="preserve"> was established to support Australians with permanent and significant disability to live with greater independence, opportunity and quality of life. This purpose continues to guide the Board and remains at the heart of the Scheme.</w:t>
      </w:r>
    </w:p>
    <w:p w14:paraId="54BFE1FD" w14:textId="77777777" w:rsidR="00626EC7" w:rsidRDefault="00626EC7" w:rsidP="00BF0F38">
      <w:pPr>
        <w:spacing w:before="120"/>
      </w:pPr>
      <w:r>
        <w:t>The NDIS is now part of everyday life for hundreds of thousands of Australians with disability, their families and carers, and has an impact across communities, workplaces and the broader Australian community.</w:t>
      </w:r>
    </w:p>
    <w:p w14:paraId="604D9A13" w14:textId="14618D0E" w:rsidR="00626EC7" w:rsidRDefault="00626EC7" w:rsidP="00BF0F38">
      <w:pPr>
        <w:spacing w:before="120"/>
      </w:pPr>
      <w:r>
        <w:t xml:space="preserve">This year’s results show the impact the NDIS has in the lives of participants and their families. Individual experiences, such as those shared </w:t>
      </w:r>
      <w:r w:rsidR="00602A77">
        <w:t xml:space="preserve">in this report </w:t>
      </w:r>
      <w:r>
        <w:t>by John, Samah, Rawah and Sarah</w:t>
      </w:r>
      <w:r w:rsidR="00602A77">
        <w:t>,</w:t>
      </w:r>
      <w:r>
        <w:t xml:space="preserve"> reflect the real difference it is making in people’s lives. They share the personal impact of greater independence and what it means to have the security and freedom to complete studies and pursue their personal goals.</w:t>
      </w:r>
    </w:p>
    <w:p w14:paraId="1C1CABB6" w14:textId="60937D83" w:rsidR="00626EC7" w:rsidRDefault="00626EC7" w:rsidP="00BF0F38">
      <w:pPr>
        <w:spacing w:before="120"/>
      </w:pPr>
      <w:r>
        <w:t xml:space="preserve">The </w:t>
      </w:r>
      <w:r w:rsidR="00837841">
        <w:t>National Disability Insurance Agency (</w:t>
      </w:r>
      <w:r>
        <w:t>NDIA</w:t>
      </w:r>
      <w:r w:rsidR="00837841">
        <w:t>)</w:t>
      </w:r>
      <w:r>
        <w:t xml:space="preserve"> advanced its priorities in 2025</w:t>
      </w:r>
      <w:r w:rsidR="00C20E7C">
        <w:t>–</w:t>
      </w:r>
      <w:r>
        <w:t>26</w:t>
      </w:r>
      <w:r w:rsidR="003725FE">
        <w:t>,</w:t>
      </w:r>
      <w:r>
        <w:t xml:space="preserve"> while strengthening integrity and addressing challenges in participant experience and financial sustainability.</w:t>
      </w:r>
    </w:p>
    <w:p w14:paraId="12F432AC" w14:textId="6B35B430" w:rsidR="00626EC7" w:rsidRDefault="00626EC7" w:rsidP="00BF0F38">
      <w:pPr>
        <w:spacing w:before="120"/>
      </w:pPr>
      <w:r>
        <w:t xml:space="preserve">As </w:t>
      </w:r>
      <w:r w:rsidR="00116360">
        <w:t>at</w:t>
      </w:r>
      <w:r>
        <w:t xml:space="preserve"> 30 June 2026, the NDIA delivered services from over 145 locations across Australia. Overall, the NDIA is performing strongly in operational delivery, inclusion and integrity, while continuing to improve participant experience, service timeliness and sustainability.</w:t>
      </w:r>
    </w:p>
    <w:p w14:paraId="3D48A3E3" w14:textId="5E86912F" w:rsidR="00626EC7" w:rsidRDefault="00626EC7" w:rsidP="00BF0F38">
      <w:pPr>
        <w:spacing w:before="120"/>
      </w:pPr>
      <w:r>
        <w:t xml:space="preserve">The NDIA is operating during a period of major reform, working closely with </w:t>
      </w:r>
      <w:r w:rsidR="00C2602D">
        <w:t>the Australian G</w:t>
      </w:r>
      <w:r>
        <w:t>overnment and the Department of Health, Disability and Ageing to explain and deliver these changes.</w:t>
      </w:r>
    </w:p>
    <w:p w14:paraId="26C4062C" w14:textId="42DBED18" w:rsidR="00626EC7" w:rsidRDefault="00626EC7" w:rsidP="00BF0F38">
      <w:pPr>
        <w:spacing w:before="120"/>
      </w:pPr>
      <w:r>
        <w:t xml:space="preserve">Recent legislative changes strengthened NDIS integrity and safeguards, while supporting future improvements. The </w:t>
      </w:r>
      <w:r w:rsidRPr="00B96E16">
        <w:rPr>
          <w:i/>
          <w:iCs/>
        </w:rPr>
        <w:t>National Disability Insurance Scheme Amendment (Integrity and Safeguarding) Act 2026</w:t>
      </w:r>
      <w:r>
        <w:t xml:space="preserve"> strengthened participant protections and the NDIA’s ability to respond to fraud, exploitation and noncompliance.</w:t>
      </w:r>
    </w:p>
    <w:p w14:paraId="492D7D22" w14:textId="233DE629" w:rsidR="00626EC7" w:rsidRDefault="00626EC7" w:rsidP="00BF0F38">
      <w:pPr>
        <w:spacing w:before="120"/>
      </w:pPr>
      <w:r>
        <w:t xml:space="preserve">The Government also introduced the National Disability Insurance Scheme Amendment (Securing the NDIS for Future Generations) Bill 2026, now passed, to further support the integrity and sustainability of the NDIS. </w:t>
      </w:r>
    </w:p>
    <w:p w14:paraId="71264F33" w14:textId="77777777" w:rsidR="00626EC7" w:rsidRDefault="00626EC7" w:rsidP="00BF0F38">
      <w:pPr>
        <w:spacing w:before="120"/>
      </w:pPr>
      <w:r>
        <w:t>Reform will succeed only if people with disability have confidence in both the direction of change and how it is delivered. Participant voices and lived experience must remain central to the future of the NDIS, helping identify what is working, where improvement is needed and how decisions affect people.</w:t>
      </w:r>
    </w:p>
    <w:p w14:paraId="65B94D2A" w14:textId="5280E7FB" w:rsidR="00626EC7" w:rsidRDefault="00626EC7" w:rsidP="00BF0F38">
      <w:pPr>
        <w:spacing w:before="120"/>
      </w:pPr>
      <w:r>
        <w:t xml:space="preserve">I acknowledge the </w:t>
      </w:r>
      <w:r w:rsidR="00CE0872">
        <w:t>NDIA</w:t>
      </w:r>
      <w:r>
        <w:t xml:space="preserve"> CEO</w:t>
      </w:r>
      <w:r w:rsidR="003F140C">
        <w:t>,</w:t>
      </w:r>
      <w:r>
        <w:t xml:space="preserve"> Graeme Head AO, the Executive Leadership Team and NDIA staff for their work during this period. I also thank my fellow Board members for their leadership and contribution throughout the year.</w:t>
      </w:r>
    </w:p>
    <w:p w14:paraId="10D224FE" w14:textId="77777777" w:rsidR="00626EC7" w:rsidRDefault="00626EC7" w:rsidP="00BF0F38">
      <w:pPr>
        <w:spacing w:before="120"/>
      </w:pPr>
      <w:r>
        <w:t>I acknowledge the Independent Advisory Council, participants, families, carers, disability organisations, providers, governments and other partners who contributed their experience and expertise to our work.</w:t>
      </w:r>
    </w:p>
    <w:p w14:paraId="67734E86" w14:textId="68E1EADB" w:rsidR="00B55B48" w:rsidRDefault="00626EC7" w:rsidP="00BF0F38">
      <w:pPr>
        <w:spacing w:before="120"/>
      </w:pPr>
      <w:r>
        <w:t>The NDIS will continue to support people with disability to exercise greater independence, opportunity and choice. These outcomes remain central to the NDIS and to the Board’s stewardship.</w:t>
      </w:r>
    </w:p>
    <w:p w14:paraId="4D985DC5" w14:textId="26AD9F72" w:rsidR="00881055" w:rsidRDefault="00114488" w:rsidP="003E34C1">
      <w:pPr>
        <w:pStyle w:val="Heading3"/>
      </w:pPr>
      <w:bookmarkStart w:id="17" w:name="_Toc226723902"/>
      <w:bookmarkStart w:id="18" w:name="_Toc241826713"/>
      <w:r w:rsidRPr="00B55B48">
        <w:t>1.</w:t>
      </w:r>
      <w:r w:rsidR="000D1B02">
        <w:t>3</w:t>
      </w:r>
      <w:r w:rsidR="00416A5D">
        <w:t xml:space="preserve"> </w:t>
      </w:r>
      <w:r w:rsidRPr="00114488">
        <w:t>A message from the NDIA Chief Executive Officer</w:t>
      </w:r>
      <w:bookmarkEnd w:id="17"/>
      <w:bookmarkEnd w:id="18"/>
    </w:p>
    <w:p w14:paraId="77B12225" w14:textId="4CFD8417" w:rsidR="00445CFD" w:rsidRPr="00445CFD" w:rsidRDefault="00445CFD" w:rsidP="00445CFD">
      <w:pPr>
        <w:pStyle w:val="Title"/>
        <w:keepNext/>
      </w:pPr>
      <w:r>
        <w:t>Graeme Head AO</w:t>
      </w:r>
    </w:p>
    <w:p w14:paraId="3BEDA263" w14:textId="761FFA0C" w:rsidR="000E7AD2" w:rsidRDefault="000E7AD2">
      <w:pPr>
        <w:spacing w:before="120" w:line="288" w:lineRule="auto"/>
      </w:pPr>
      <w:r>
        <w:rPr>
          <w:noProof/>
        </w:rPr>
        <w:drawing>
          <wp:inline distT="0" distB="0" distL="0" distR="0" wp14:anchorId="43C8951F" wp14:editId="48830821">
            <wp:extent cx="1800000" cy="1473786"/>
            <wp:effectExtent l="0" t="0" r="0" b="0"/>
            <wp:docPr id="901816436" name="Picture 25" descr="Image of Mr Graeme Head 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16436" name="Picture 25" descr="Image of Mr Graeme Head AO"/>
                    <pic:cNvPicPr/>
                  </pic:nvPicPr>
                  <pic:blipFill rotWithShape="1">
                    <a:blip r:embed="rId25" cstate="print">
                      <a:extLst>
                        <a:ext uri="{28A0092B-C50C-407E-A947-70E740481C1C}">
                          <a14:useLocalDpi xmlns:a14="http://schemas.microsoft.com/office/drawing/2010/main" val="0"/>
                        </a:ext>
                      </a:extLst>
                    </a:blip>
                    <a:srcRect/>
                    <a:stretch>
                      <a:fillRect/>
                    </a:stretch>
                  </pic:blipFill>
                  <pic:spPr bwMode="auto">
                    <a:xfrm>
                      <a:off x="0" y="0"/>
                      <a:ext cx="1800000" cy="1473786"/>
                    </a:xfrm>
                    <a:prstGeom prst="rect">
                      <a:avLst/>
                    </a:prstGeom>
                    <a:ln>
                      <a:noFill/>
                    </a:ln>
                    <a:extLst>
                      <a:ext uri="{53640926-AAD7-44D8-BBD7-CCE9431645EC}">
                        <a14:shadowObscured xmlns:a14="http://schemas.microsoft.com/office/drawing/2010/main"/>
                      </a:ext>
                    </a:extLst>
                  </pic:spPr>
                </pic:pic>
              </a:graphicData>
            </a:graphic>
          </wp:inline>
        </w:drawing>
      </w:r>
    </w:p>
    <w:p w14:paraId="11D7736E" w14:textId="06EE8B70" w:rsidR="003F19DC" w:rsidRDefault="003F19DC" w:rsidP="00BF0F38">
      <w:pPr>
        <w:spacing w:before="120"/>
      </w:pPr>
      <w:r>
        <w:t>The NDIS now supports more than 780,000 people with permanent and significant disability. Behind every plan, payment and service interaction is a person working towards their goals, independence and community connection.</w:t>
      </w:r>
    </w:p>
    <w:p w14:paraId="11740D85" w14:textId="08BC1470" w:rsidR="003F19DC" w:rsidRDefault="003F19DC" w:rsidP="00BF0F38">
      <w:pPr>
        <w:spacing w:before="120"/>
      </w:pPr>
      <w:r>
        <w:t>I joined the NDIA as CEO in late 2025 and it is a privilege to lead the Agency at this important time. I thank NDIA staff and partners for their professionalism, care and commitment through a year of significant reform.</w:t>
      </w:r>
    </w:p>
    <w:p w14:paraId="2C375087" w14:textId="760CC056" w:rsidR="003F19DC" w:rsidRDefault="003F19DC" w:rsidP="00BF0F38">
      <w:pPr>
        <w:spacing w:before="120"/>
      </w:pPr>
      <w:r>
        <w:t>During 2025</w:t>
      </w:r>
      <w:r w:rsidR="00F316EB">
        <w:t>–</w:t>
      </w:r>
      <w:r>
        <w:t>26, the NDIA delivered strong results in participant employment, workforce diversity, payment timeliness, first contact resolution, reporting obligations and connections to community and mainstream supports.</w:t>
      </w:r>
    </w:p>
    <w:p w14:paraId="61192122" w14:textId="0B3BE012" w:rsidR="003F19DC" w:rsidRDefault="003F19DC" w:rsidP="00BF0F38">
      <w:pPr>
        <w:spacing w:before="120"/>
      </w:pPr>
      <w:r>
        <w:t>Participant employment exceeded targets, rising to 23.9</w:t>
      </w:r>
      <w:r w:rsidR="00026EA0">
        <w:t>%</w:t>
      </w:r>
      <w:r>
        <w:t xml:space="preserve"> by the fourth quarter of 2025</w:t>
      </w:r>
      <w:r w:rsidR="00F316EB">
        <w:t>–</w:t>
      </w:r>
      <w:r>
        <w:t>26. More than 96</w:t>
      </w:r>
      <w:r w:rsidR="00026EA0">
        <w:t xml:space="preserve">% </w:t>
      </w:r>
      <w:r>
        <w:t>of first plans were approved within agreed timeframes, 98.5</w:t>
      </w:r>
      <w:r w:rsidR="00026EA0">
        <w:t xml:space="preserve">% </w:t>
      </w:r>
      <w:r>
        <w:t xml:space="preserve">of payments were made within </w:t>
      </w:r>
      <w:r w:rsidR="00615F71">
        <w:t>3</w:t>
      </w:r>
      <w:r>
        <w:t xml:space="preserve"> business days, and 86.6</w:t>
      </w:r>
      <w:r w:rsidR="00026EA0">
        <w:t>%</w:t>
      </w:r>
      <w:r>
        <w:t xml:space="preserve"> of National Contact Centre callers reported their enquiry was resolved at first contact.</w:t>
      </w:r>
    </w:p>
    <w:p w14:paraId="1C190A3E" w14:textId="17DD92A3" w:rsidR="003F19DC" w:rsidRDefault="003F19DC" w:rsidP="00BF0F38">
      <w:pPr>
        <w:spacing w:before="120"/>
      </w:pPr>
      <w:r>
        <w:t>These results show good progress</w:t>
      </w:r>
      <w:r w:rsidR="002478F2">
        <w:t>.</w:t>
      </w:r>
      <w:r>
        <w:t xml:space="preserve"> </w:t>
      </w:r>
      <w:r w:rsidR="002478F2">
        <w:t>H</w:t>
      </w:r>
      <w:r>
        <w:t>owever, there is more to do to support participants with clear information, timely decisions, and responsive service. Improving participant satisfaction is a high priority.</w:t>
      </w:r>
    </w:p>
    <w:p w14:paraId="07AAADCA" w14:textId="52A513FB" w:rsidR="003F19DC" w:rsidRDefault="003F19DC" w:rsidP="00BF0F38">
      <w:pPr>
        <w:spacing w:before="120"/>
      </w:pPr>
      <w:r>
        <w:t xml:space="preserve">As changes are introduced as part of the </w:t>
      </w:r>
      <w:r w:rsidR="00A872F9">
        <w:t>NDIS</w:t>
      </w:r>
      <w:r>
        <w:t xml:space="preserve"> reform program, our commitment is to test and learn, explain what is changing and why, and adjust our approach where needed.</w:t>
      </w:r>
    </w:p>
    <w:p w14:paraId="39D9D9E0" w14:textId="772CF36D" w:rsidR="003F19DC" w:rsidRDefault="003F19DC" w:rsidP="00BF0F38">
      <w:pPr>
        <w:spacing w:before="120"/>
      </w:pPr>
      <w:r>
        <w:t>The NDIA’s integrity work is delivering results, with the Fraud Fusion Taskforce disrupting more than 5,900 high-risk providers, including providers responsible for incorrect or non-compliant claims.</w:t>
      </w:r>
    </w:p>
    <w:p w14:paraId="758848C1" w14:textId="77777777" w:rsidR="003F19DC" w:rsidRDefault="003F19DC" w:rsidP="00BF0F38">
      <w:pPr>
        <w:spacing w:before="120"/>
      </w:pPr>
      <w:r>
        <w:t>Every dollar of NDIS funding should support people with disability. Our actions must protect participants, improve their experience, ensure funding is used as intended and secure the NDIS for people who need it, now and in the future.</w:t>
      </w:r>
    </w:p>
    <w:p w14:paraId="085C00EA" w14:textId="5729D505" w:rsidR="003F19DC" w:rsidRDefault="003F19DC" w:rsidP="00BF0F38">
      <w:pPr>
        <w:spacing w:before="120"/>
      </w:pPr>
      <w:r>
        <w:t>We will continue working with staff, participants, families, carers, providers and stakeholders so their perspectives help inform and shape the services delivered by the NDIS.</w:t>
      </w:r>
    </w:p>
    <w:p w14:paraId="4C9BBA98" w14:textId="65C1384C" w:rsidR="003F19DC" w:rsidRDefault="003F19DC" w:rsidP="00BF0F38">
      <w:pPr>
        <w:spacing w:before="120"/>
      </w:pPr>
      <w:r>
        <w:t>With almost a quarter of NDIA staff identifying as having a disability, their lived experience helps us to deliver more responsive, accessible and participant-centred services.</w:t>
      </w:r>
    </w:p>
    <w:p w14:paraId="0D522BCB" w14:textId="2062DB8B" w:rsidR="003F19DC" w:rsidRDefault="003F19DC" w:rsidP="00BF0F38">
      <w:pPr>
        <w:spacing w:before="120"/>
      </w:pPr>
      <w:r>
        <w:t xml:space="preserve">The NDIA is focused on strengthening workforce capability, accessibility, inclusion and safety. In the latest APS </w:t>
      </w:r>
      <w:r w:rsidR="001B0A12">
        <w:t xml:space="preserve">Employee </w:t>
      </w:r>
      <w:r>
        <w:t>Census, 86</w:t>
      </w:r>
      <w:r w:rsidR="00CF1E38">
        <w:t>%</w:t>
      </w:r>
      <w:r>
        <w:t xml:space="preserve"> of staff said the NDIA supports and actively promotes an inclusive workforce culture.</w:t>
      </w:r>
    </w:p>
    <w:p w14:paraId="2466C4AB" w14:textId="6378F0D0" w:rsidR="003F19DC" w:rsidRDefault="003F19DC" w:rsidP="00BF0F38">
      <w:pPr>
        <w:spacing w:before="120"/>
      </w:pPr>
      <w:r>
        <w:t>A great example is First Nations Connect, a new dedicated phone service established specifically for First Nations participants and their families. It supports more culturally informed and accessible engagement by connecting First Nations participants with staff who understand their communities, cultures and experiences.</w:t>
      </w:r>
    </w:p>
    <w:p w14:paraId="15939742" w14:textId="0AD36D5C" w:rsidR="003F19DC" w:rsidRDefault="003F19DC" w:rsidP="00BF0F38">
      <w:pPr>
        <w:spacing w:before="120"/>
      </w:pPr>
      <w:r>
        <w:t xml:space="preserve">I would like to thank participants, families, carers, the Board, </w:t>
      </w:r>
      <w:r w:rsidR="001B0A12">
        <w:t xml:space="preserve">the </w:t>
      </w:r>
      <w:r>
        <w:t xml:space="preserve">Independent Advisory Council and everyone who has shared their experience and expertise to support the work of the </w:t>
      </w:r>
      <w:r w:rsidR="001B0A12">
        <w:t>NDIA</w:t>
      </w:r>
      <w:r>
        <w:t xml:space="preserve"> over the </w:t>
      </w:r>
      <w:r w:rsidR="001B0A12">
        <w:t>p</w:t>
      </w:r>
      <w:r>
        <w:t>ast year. I also want to acknowledge and thank former CEO Rebecca Falkingham for her leadership and service to the NDIA during her term of office.</w:t>
      </w:r>
    </w:p>
    <w:p w14:paraId="69522867" w14:textId="5A1E8F39" w:rsidR="00114488" w:rsidRDefault="003F19DC" w:rsidP="00BF0F38">
      <w:pPr>
        <w:spacing w:before="120"/>
      </w:pPr>
      <w:r>
        <w:t>Our focus is clear: to continue to build a capable NDIA, improve participant outcomes and experiences, and transparently deliver reform informed by the people who rely on the NDIS.</w:t>
      </w:r>
    </w:p>
    <w:p w14:paraId="0FE4EF75" w14:textId="187C1412" w:rsidR="00114488" w:rsidRDefault="003A2934" w:rsidP="00DC00ED">
      <w:pPr>
        <w:pStyle w:val="Heading3"/>
      </w:pPr>
      <w:bookmarkStart w:id="19" w:name="_Toc226723903"/>
      <w:bookmarkStart w:id="20" w:name="_Toc241826714"/>
      <w:r w:rsidRPr="003A2934">
        <w:t>1.</w:t>
      </w:r>
      <w:r w:rsidR="000D1B02">
        <w:t>4</w:t>
      </w:r>
      <w:r w:rsidR="00416A5D">
        <w:t xml:space="preserve"> </w:t>
      </w:r>
      <w:r w:rsidRPr="003A2934">
        <w:t>The National Disability Insurance Agency</w:t>
      </w:r>
      <w:bookmarkEnd w:id="19"/>
      <w:bookmarkEnd w:id="20"/>
    </w:p>
    <w:p w14:paraId="3BB5B99A" w14:textId="77777777" w:rsidR="003B1333" w:rsidRPr="003B1333" w:rsidRDefault="003B1333" w:rsidP="00D5005A">
      <w:pPr>
        <w:pStyle w:val="Heading4"/>
      </w:pPr>
      <w:bookmarkStart w:id="21" w:name="_Toc226723904"/>
      <w:r w:rsidRPr="003B1333">
        <w:t>Our purpose</w:t>
      </w:r>
    </w:p>
    <w:p w14:paraId="459E124D" w14:textId="1E57B58E" w:rsidR="003B1333" w:rsidRPr="003B1333" w:rsidRDefault="003B1333" w:rsidP="003B1333">
      <w:r w:rsidRPr="003B1333">
        <w:t xml:space="preserve">Under the </w:t>
      </w:r>
      <w:r w:rsidR="00766DAA" w:rsidRPr="002D3A0D">
        <w:rPr>
          <w:i/>
          <w:iCs/>
        </w:rPr>
        <w:t>National Disability Insurance Scheme Act 2013</w:t>
      </w:r>
      <w:r w:rsidR="00766DAA">
        <w:t xml:space="preserve"> (Cth) (</w:t>
      </w:r>
      <w:r w:rsidRPr="003B1333">
        <w:t>NDIS Act</w:t>
      </w:r>
      <w:r w:rsidR="00766DAA">
        <w:t>)</w:t>
      </w:r>
      <w:r w:rsidRPr="003B1333">
        <w:t>, the NDIS provides:</w:t>
      </w:r>
    </w:p>
    <w:p w14:paraId="5C30E724" w14:textId="77777777" w:rsidR="003B1333" w:rsidRPr="0056302A" w:rsidRDefault="003B1333" w:rsidP="009419C2">
      <w:pPr>
        <w:pStyle w:val="Bullet1"/>
      </w:pPr>
      <w:r w:rsidRPr="0056302A">
        <w:t>funding for NDIS participant plans to provide NDIS supports</w:t>
      </w:r>
    </w:p>
    <w:p w14:paraId="5B2041BE" w14:textId="77777777" w:rsidR="003B1333" w:rsidRPr="0056302A" w:rsidRDefault="003B1333" w:rsidP="009419C2">
      <w:pPr>
        <w:pStyle w:val="Bullet1"/>
      </w:pPr>
      <w:r w:rsidRPr="0056302A">
        <w:t>the provision of general supports to NDIS participants and other people with disability</w:t>
      </w:r>
    </w:p>
    <w:p w14:paraId="7F8704EA" w14:textId="77777777" w:rsidR="003B1333" w:rsidRPr="0056302A" w:rsidRDefault="003B1333" w:rsidP="009419C2">
      <w:pPr>
        <w:pStyle w:val="Bullet1"/>
      </w:pPr>
      <w:r w:rsidRPr="0056302A">
        <w:t>funding for services that assist people with disability to participate in economic and social life.</w:t>
      </w:r>
    </w:p>
    <w:p w14:paraId="3ACD655F" w14:textId="77777777" w:rsidR="000E6F25" w:rsidRDefault="000E6F25" w:rsidP="000E6F25">
      <w:r>
        <w:t>To develop and implement the NDIS, the NDIA sets out its purpose through an outcome statement, functions and programs.</w:t>
      </w:r>
    </w:p>
    <w:p w14:paraId="79D47E9D" w14:textId="74B6B6DD" w:rsidR="003B1333" w:rsidRPr="003B1333" w:rsidRDefault="000E6F25" w:rsidP="000E6F25">
      <w:r>
        <w:t>We achieve our purpose through 3 key activities.</w:t>
      </w:r>
    </w:p>
    <w:p w14:paraId="680A45BE" w14:textId="77777777" w:rsidR="003B1333" w:rsidRPr="003B1333" w:rsidRDefault="003B1333" w:rsidP="00D5005A">
      <w:pPr>
        <w:pStyle w:val="Heading5"/>
      </w:pPr>
      <w:r w:rsidRPr="003B1333">
        <w:t>NDIA outcome statement</w:t>
      </w:r>
    </w:p>
    <w:p w14:paraId="6D227BD6" w14:textId="77777777" w:rsidR="003B1333" w:rsidRPr="003B1333" w:rsidRDefault="003B1333" w:rsidP="003B1333">
      <w:r w:rsidRPr="003B1333">
        <w:t>Improve the independence, and the social and economic participation, of eligible people with disability through the management of a financially sustainable National Disability Insurance Scheme with proper, efficient and effective use of resources.</w:t>
      </w:r>
    </w:p>
    <w:p w14:paraId="5EF5BD92" w14:textId="77777777" w:rsidR="003B1333" w:rsidRPr="003B1333" w:rsidRDefault="003B1333" w:rsidP="00D5005A">
      <w:pPr>
        <w:pStyle w:val="Heading5"/>
      </w:pPr>
      <w:r w:rsidRPr="003B1333">
        <w:t>NDIA functions</w:t>
      </w:r>
    </w:p>
    <w:p w14:paraId="258A0890" w14:textId="77777777" w:rsidR="00766333" w:rsidRPr="00766333" w:rsidRDefault="00766333" w:rsidP="00D5005A">
      <w:pPr>
        <w:pStyle w:val="Heading6"/>
      </w:pPr>
      <w:r w:rsidRPr="00766333">
        <w:t>Function 1</w:t>
      </w:r>
    </w:p>
    <w:p w14:paraId="3B7730CD" w14:textId="77777777" w:rsidR="00766333" w:rsidRPr="00766333" w:rsidRDefault="00766333" w:rsidP="00766333">
      <w:r w:rsidRPr="00766333">
        <w:t>Deliver the NDIS to:</w:t>
      </w:r>
    </w:p>
    <w:p w14:paraId="143074A1" w14:textId="77777777" w:rsidR="00D4047D" w:rsidRDefault="00D4047D" w:rsidP="00D4047D">
      <w:pPr>
        <w:pStyle w:val="Alpha2"/>
      </w:pPr>
      <w:r>
        <w:t>support the independence, and social and economic participation, of people with disability</w:t>
      </w:r>
    </w:p>
    <w:p w14:paraId="21F71377" w14:textId="77777777" w:rsidR="00D4047D" w:rsidRDefault="00D4047D" w:rsidP="00D4047D">
      <w:pPr>
        <w:pStyle w:val="Alpha2"/>
      </w:pPr>
      <w:r>
        <w:t>enable people with disability to exercise choice and control in the pursuit of their goals and the planning and delivery of their supports</w:t>
      </w:r>
    </w:p>
    <w:p w14:paraId="1EB280F1" w14:textId="77777777" w:rsidR="00D4047D" w:rsidRDefault="00D4047D" w:rsidP="00D4047D">
      <w:pPr>
        <w:pStyle w:val="Alpha2"/>
      </w:pPr>
      <w:r>
        <w:t>ensure that the decisions and preferences of people with disability are respected and given appropriate priority</w:t>
      </w:r>
    </w:p>
    <w:p w14:paraId="410966AE" w14:textId="77777777" w:rsidR="00D4047D" w:rsidRDefault="00D4047D" w:rsidP="00D4047D">
      <w:pPr>
        <w:pStyle w:val="Alpha2"/>
      </w:pPr>
      <w:r>
        <w:t>promote the provision of high quality and innovative supports that enable people with disability to maximise independent lifestyles and inclusion in the community</w:t>
      </w:r>
    </w:p>
    <w:p w14:paraId="20B505D8" w14:textId="77777777" w:rsidR="00D4047D" w:rsidRDefault="00D4047D" w:rsidP="00D4047D">
      <w:pPr>
        <w:pStyle w:val="Alpha2"/>
      </w:pPr>
      <w:r>
        <w:t>ensure that a reasonable balance is achieved between safety and the right of people with disability to choose to participate in activities involving risk.</w:t>
      </w:r>
    </w:p>
    <w:p w14:paraId="05CAF344" w14:textId="77777777" w:rsidR="00766333" w:rsidRPr="00766333" w:rsidRDefault="00766333" w:rsidP="00D5005A">
      <w:pPr>
        <w:pStyle w:val="Heading6"/>
      </w:pPr>
      <w:r w:rsidRPr="00766333">
        <w:t>Function 2</w:t>
      </w:r>
    </w:p>
    <w:p w14:paraId="55E33C30" w14:textId="77777777" w:rsidR="00766333" w:rsidRPr="00766333" w:rsidRDefault="00766333" w:rsidP="00766333">
      <w:r w:rsidRPr="00766333">
        <w:t>Manage, advise and report on the financial sustainability of the NDIS, including by:</w:t>
      </w:r>
    </w:p>
    <w:p w14:paraId="0988D808" w14:textId="77777777" w:rsidR="00766333" w:rsidRPr="00766333" w:rsidRDefault="00766333" w:rsidP="00766333">
      <w:pPr>
        <w:numPr>
          <w:ilvl w:val="0"/>
          <w:numId w:val="24"/>
        </w:numPr>
        <w:rPr>
          <w:lang w:eastAsia="en-GB"/>
        </w:rPr>
      </w:pPr>
      <w:r w:rsidRPr="00766333">
        <w:rPr>
          <w:lang w:eastAsia="en-GB"/>
        </w:rPr>
        <w:t>regularly making and assessing estimates of the current and future expenditure of the NDIS</w:t>
      </w:r>
    </w:p>
    <w:p w14:paraId="61D44F2B" w14:textId="77777777" w:rsidR="00766333" w:rsidRPr="00766333" w:rsidRDefault="00766333" w:rsidP="00766333">
      <w:pPr>
        <w:numPr>
          <w:ilvl w:val="0"/>
          <w:numId w:val="24"/>
        </w:numPr>
        <w:rPr>
          <w:lang w:eastAsia="en-GB"/>
        </w:rPr>
      </w:pPr>
      <w:r w:rsidRPr="00766333">
        <w:rPr>
          <w:lang w:eastAsia="en-GB"/>
        </w:rPr>
        <w:t>identifying and managing risks and issues relevant to the financial sustainability of the NDIS</w:t>
      </w:r>
    </w:p>
    <w:p w14:paraId="28EE2187" w14:textId="77777777" w:rsidR="00766333" w:rsidRPr="00766333" w:rsidRDefault="00766333" w:rsidP="00766333">
      <w:pPr>
        <w:numPr>
          <w:ilvl w:val="0"/>
          <w:numId w:val="24"/>
        </w:numPr>
        <w:rPr>
          <w:lang w:eastAsia="en-GB"/>
        </w:rPr>
      </w:pPr>
      <w:r w:rsidRPr="00766333">
        <w:rPr>
          <w:lang w:eastAsia="en-GB"/>
        </w:rPr>
        <w:t>considering actuarial advice, including advice from the Scheme actuary and the reviewing actuary.</w:t>
      </w:r>
    </w:p>
    <w:p w14:paraId="52890A04" w14:textId="77777777" w:rsidR="00766333" w:rsidRPr="00766333" w:rsidRDefault="00766333" w:rsidP="00D5005A">
      <w:pPr>
        <w:pStyle w:val="Heading6"/>
      </w:pPr>
      <w:r w:rsidRPr="00766333">
        <w:t>Function 3</w:t>
      </w:r>
    </w:p>
    <w:p w14:paraId="6E520A5A" w14:textId="77777777" w:rsidR="00766333" w:rsidRPr="00766333" w:rsidRDefault="00766333" w:rsidP="00766333">
      <w:r w:rsidRPr="00766333">
        <w:t>Prevent, detect, investigate and respond to misuse or abuse of, or criminal activity involving, the NDIS, where this relates to:</w:t>
      </w:r>
    </w:p>
    <w:p w14:paraId="5C6402CC" w14:textId="77777777" w:rsidR="00766333" w:rsidRPr="00766333" w:rsidRDefault="00766333" w:rsidP="00766333">
      <w:pPr>
        <w:numPr>
          <w:ilvl w:val="0"/>
          <w:numId w:val="25"/>
        </w:numPr>
        <w:rPr>
          <w:lang w:eastAsia="en-GB"/>
        </w:rPr>
      </w:pPr>
      <w:r w:rsidRPr="00766333">
        <w:rPr>
          <w:lang w:eastAsia="en-GB"/>
        </w:rPr>
        <w:t>claims for and payment of NDIS amounts, or the use of funding provided under the NDIS</w:t>
      </w:r>
    </w:p>
    <w:p w14:paraId="03CC3FBA" w14:textId="77777777" w:rsidR="00766333" w:rsidRPr="00766333" w:rsidRDefault="00766333" w:rsidP="00766333">
      <w:pPr>
        <w:numPr>
          <w:ilvl w:val="0"/>
          <w:numId w:val="25"/>
        </w:numPr>
        <w:rPr>
          <w:lang w:eastAsia="en-GB"/>
        </w:rPr>
      </w:pPr>
      <w:r w:rsidRPr="00766333">
        <w:rPr>
          <w:lang w:eastAsia="en-GB"/>
        </w:rPr>
        <w:t>information provided to the NDIA relating to a participant or prospective participant, including access requests; participant status; plan preparation, variation reassessment, or replacement; or the management of funding for supports under a participant’s plan</w:t>
      </w:r>
    </w:p>
    <w:p w14:paraId="4DB58076" w14:textId="77777777" w:rsidR="00766333" w:rsidRPr="00766333" w:rsidRDefault="00766333" w:rsidP="00766333">
      <w:pPr>
        <w:numPr>
          <w:ilvl w:val="0"/>
          <w:numId w:val="25"/>
        </w:numPr>
        <w:rPr>
          <w:lang w:eastAsia="en-GB"/>
        </w:rPr>
      </w:pPr>
      <w:r w:rsidRPr="00766333">
        <w:rPr>
          <w:lang w:eastAsia="en-GB"/>
        </w:rPr>
        <w:t>the management of funding of supports in a participant’s plan, or the duties or obligations of nominees, or a person appointed to act on behalf of a participant, including the appointment, suspension or cancellation of a nominee or appointed person.</w:t>
      </w:r>
    </w:p>
    <w:p w14:paraId="470E0A0E" w14:textId="77777777" w:rsidR="00766333" w:rsidRPr="00766333" w:rsidRDefault="00766333" w:rsidP="00D5005A">
      <w:pPr>
        <w:pStyle w:val="Heading6"/>
      </w:pPr>
      <w:r w:rsidRPr="00766333">
        <w:t>Function 4</w:t>
      </w:r>
    </w:p>
    <w:p w14:paraId="00A4971A" w14:textId="77777777" w:rsidR="00766333" w:rsidRPr="00766333" w:rsidRDefault="00766333" w:rsidP="00766333">
      <w:r w:rsidRPr="00766333">
        <w:t>Develop and enhance the disability sector, including by facilitating innovation, research and contemporary best practice in the sector.</w:t>
      </w:r>
    </w:p>
    <w:p w14:paraId="45457605" w14:textId="77777777" w:rsidR="00766333" w:rsidRPr="00766333" w:rsidRDefault="00766333" w:rsidP="00D5005A">
      <w:pPr>
        <w:pStyle w:val="Heading6"/>
      </w:pPr>
      <w:r w:rsidRPr="00766333">
        <w:t>Function 5</w:t>
      </w:r>
    </w:p>
    <w:p w14:paraId="14CD72CA" w14:textId="77777777" w:rsidR="00766333" w:rsidRPr="00766333" w:rsidRDefault="00766333" w:rsidP="00766333">
      <w:r w:rsidRPr="00766333">
        <w:t>Build community awareness of disabilities and the social contributors to disabilities.</w:t>
      </w:r>
    </w:p>
    <w:p w14:paraId="28B96D93" w14:textId="77777777" w:rsidR="00766333" w:rsidRPr="00766333" w:rsidRDefault="00766333" w:rsidP="00D5005A">
      <w:pPr>
        <w:pStyle w:val="Heading6"/>
      </w:pPr>
      <w:r w:rsidRPr="00766333">
        <w:t>Function 6</w:t>
      </w:r>
    </w:p>
    <w:p w14:paraId="6CAD7119" w14:textId="77777777" w:rsidR="00766333" w:rsidRPr="00766333" w:rsidRDefault="00766333" w:rsidP="00766333">
      <w:r w:rsidRPr="00766333">
        <w:t>Collect, analyse and exchange data about disabilities and the supports (including early intervention supports) for people with disability.</w:t>
      </w:r>
    </w:p>
    <w:p w14:paraId="54D8BDF9" w14:textId="77777777" w:rsidR="00766333" w:rsidRPr="00766333" w:rsidRDefault="00766333" w:rsidP="00D5005A">
      <w:pPr>
        <w:pStyle w:val="Heading6"/>
      </w:pPr>
      <w:r w:rsidRPr="00766333">
        <w:t>Function 7</w:t>
      </w:r>
    </w:p>
    <w:p w14:paraId="19FCD6E5" w14:textId="77777777" w:rsidR="00766333" w:rsidRPr="00766333" w:rsidRDefault="00766333" w:rsidP="00766333">
      <w:r w:rsidRPr="00766333">
        <w:t>Undertake research relating to disabilities, the supports (including early intervention supports) for people with disability, and the social contributors to disabilities.</w:t>
      </w:r>
    </w:p>
    <w:p w14:paraId="16C3D864" w14:textId="77777777" w:rsidR="003B1333" w:rsidRPr="003B1333" w:rsidRDefault="003B1333" w:rsidP="00FF4429">
      <w:pPr>
        <w:pStyle w:val="Heading4"/>
      </w:pPr>
      <w:r w:rsidRPr="003B1333">
        <w:t>Our programs</w:t>
      </w:r>
    </w:p>
    <w:p w14:paraId="7251300B" w14:textId="77777777" w:rsidR="003B1333" w:rsidRPr="00FF4429" w:rsidRDefault="003B1333" w:rsidP="00FF4429">
      <w:pPr>
        <w:pStyle w:val="Heading5"/>
      </w:pPr>
      <w:r w:rsidRPr="00FF4429">
        <w:t>Program 1.1 – Reasonable and necessary supports for participants</w:t>
      </w:r>
    </w:p>
    <w:p w14:paraId="2FAD0D49" w14:textId="77777777" w:rsidR="003B1333" w:rsidRPr="003B1333" w:rsidRDefault="003B1333" w:rsidP="003B1333">
      <w:r w:rsidRPr="003B1333">
        <w:t>The objective of this program is to provide funding for reasonable and necessary supports, including early intervention supports, to eligible people with disability, ensuring participants have flexibility, choice and control to pursue their goals of improved independence and social and economic participation.</w:t>
      </w:r>
    </w:p>
    <w:p w14:paraId="1CE36397" w14:textId="77777777" w:rsidR="003B1333" w:rsidRPr="003B1333" w:rsidRDefault="003B1333" w:rsidP="007A5C71">
      <w:pPr>
        <w:pStyle w:val="Heading5"/>
      </w:pPr>
      <w:r w:rsidRPr="003B1333">
        <w:t>Program 1.2 – NDIA and general supports</w:t>
      </w:r>
    </w:p>
    <w:p w14:paraId="5A7068ED" w14:textId="77777777" w:rsidR="003B1333" w:rsidRPr="003B1333" w:rsidRDefault="003B1333" w:rsidP="003B1333">
      <w:r w:rsidRPr="003B1333">
        <w:t>The objective of this program is to fulfil the functions of the NDIA and deliver a financially sustainable NDIS to Australians, in line with the NDIS Act.</w:t>
      </w:r>
    </w:p>
    <w:p w14:paraId="25763A78" w14:textId="77777777" w:rsidR="003B1333" w:rsidRPr="003B1333" w:rsidRDefault="003B1333" w:rsidP="003B1333">
      <w:pPr>
        <w:keepNext/>
        <w:spacing w:before="400" w:after="240" w:line="312" w:lineRule="auto"/>
        <w:outlineLvl w:val="3"/>
        <w:rPr>
          <w:b/>
          <w:color w:val="6B2976" w:themeColor="text1"/>
          <w:sz w:val="32"/>
          <w:szCs w:val="28"/>
        </w:rPr>
      </w:pPr>
      <w:r w:rsidRPr="003B1333">
        <w:rPr>
          <w:b/>
          <w:color w:val="6B2976" w:themeColor="text1"/>
          <w:sz w:val="32"/>
          <w:szCs w:val="28"/>
        </w:rPr>
        <w:t>Our key activities</w:t>
      </w:r>
    </w:p>
    <w:p w14:paraId="43ADD66D" w14:textId="734ADC62" w:rsidR="003B1333" w:rsidRPr="003B1333" w:rsidRDefault="003045E7" w:rsidP="003B1333">
      <w:r w:rsidRPr="002D3A0D">
        <w:t>To achieve our purpose</w:t>
      </w:r>
      <w:r w:rsidRPr="003045E7">
        <w:t>, w</w:t>
      </w:r>
      <w:r w:rsidR="003B1333" w:rsidRPr="003045E7">
        <w:t>e undertake 3 key activities linked to our 2 programs.</w:t>
      </w:r>
    </w:p>
    <w:p w14:paraId="7F07DC59" w14:textId="77777777" w:rsidR="003B1333" w:rsidRPr="003B1333" w:rsidRDefault="003B1333" w:rsidP="00FF4429">
      <w:pPr>
        <w:pStyle w:val="Heading5"/>
      </w:pPr>
      <w:r w:rsidRPr="003B1333">
        <w:t>Key activity 1</w:t>
      </w:r>
    </w:p>
    <w:p w14:paraId="6B9D50D8" w14:textId="77777777" w:rsidR="003B1333" w:rsidRPr="003B1333" w:rsidRDefault="003B1333" w:rsidP="003B1333">
      <w:r w:rsidRPr="003B1333">
        <w:t xml:space="preserve">Improve participant experience and outcomes with a financially </w:t>
      </w:r>
      <w:r w:rsidRPr="00616F16">
        <w:t>sustainable Scheme.</w:t>
      </w:r>
      <w:r w:rsidRPr="003B1333">
        <w:t xml:space="preserve"> This activity is linked to program 1.1.</w:t>
      </w:r>
    </w:p>
    <w:p w14:paraId="0D335AE5" w14:textId="77777777" w:rsidR="003B1333" w:rsidRPr="003B1333" w:rsidRDefault="003B1333" w:rsidP="00FF4429">
      <w:pPr>
        <w:pStyle w:val="Heading5"/>
      </w:pPr>
      <w:r w:rsidRPr="003B1333">
        <w:t>Key activity 2</w:t>
      </w:r>
    </w:p>
    <w:p w14:paraId="0632B061" w14:textId="1A8C3A99" w:rsidR="003B1333" w:rsidRPr="003B1333" w:rsidRDefault="003B1333" w:rsidP="003B1333">
      <w:r w:rsidRPr="003B1333">
        <w:t>Develop a high-performing NDIA for participants. This activity is linked to program</w:t>
      </w:r>
      <w:r w:rsidR="00C95BFB">
        <w:t> </w:t>
      </w:r>
      <w:r w:rsidRPr="003B1333">
        <w:t>1.2.</w:t>
      </w:r>
    </w:p>
    <w:p w14:paraId="61A51AA8" w14:textId="77777777" w:rsidR="003B1333" w:rsidRPr="003B1333" w:rsidRDefault="003B1333" w:rsidP="00FF4429">
      <w:pPr>
        <w:pStyle w:val="Heading5"/>
      </w:pPr>
      <w:r w:rsidRPr="003B1333">
        <w:t>Key activity 3</w:t>
      </w:r>
    </w:p>
    <w:p w14:paraId="15FC7953" w14:textId="77777777" w:rsidR="003B1333" w:rsidRPr="003B1333" w:rsidRDefault="003B1333" w:rsidP="003B1333">
      <w:r w:rsidRPr="003B1333">
        <w:t>Facilitate NDIS markets to deliver accessible and innovative supports to people with disability. This activity is linked to program 1.2.</w:t>
      </w:r>
    </w:p>
    <w:p w14:paraId="031F7311" w14:textId="6FF80888" w:rsidR="00E40105" w:rsidRDefault="00232C15" w:rsidP="005D6030">
      <w:pPr>
        <w:pStyle w:val="Heading3"/>
      </w:pPr>
      <w:bookmarkStart w:id="22" w:name="_Toc241826715"/>
      <w:r w:rsidRPr="008F1F51">
        <w:t>1.</w:t>
      </w:r>
      <w:r w:rsidR="000D1B02" w:rsidRPr="008F1F51">
        <w:t>5</w:t>
      </w:r>
      <w:r w:rsidR="00416A5D">
        <w:t xml:space="preserve"> </w:t>
      </w:r>
      <w:r w:rsidRPr="008F1F51">
        <w:t>The National Disability Insurance Scheme</w:t>
      </w:r>
      <w:bookmarkEnd w:id="21"/>
      <w:bookmarkEnd w:id="22"/>
    </w:p>
    <w:p w14:paraId="0AC29884" w14:textId="77777777" w:rsidR="006915BA" w:rsidRDefault="006915BA" w:rsidP="006915BA">
      <w:r>
        <w:t>The NDIS is based on the guiding principles that people with disability:</w:t>
      </w:r>
    </w:p>
    <w:p w14:paraId="6661ABA2" w14:textId="77777777" w:rsidR="006915BA" w:rsidRDefault="006915BA" w:rsidP="006915BA">
      <w:pPr>
        <w:pStyle w:val="Bullet1"/>
      </w:pPr>
      <w:r>
        <w:t>have the same rights as all Australians to realise their potential for physical, social, emotional and intellectual development</w:t>
      </w:r>
    </w:p>
    <w:p w14:paraId="4C026215" w14:textId="77777777" w:rsidR="006915BA" w:rsidRDefault="006915BA" w:rsidP="006915BA">
      <w:pPr>
        <w:pStyle w:val="Bullet1"/>
      </w:pPr>
      <w:r>
        <w:t>are supported to participate in and contribute to social and economic life to the full extent of their ability.</w:t>
      </w:r>
    </w:p>
    <w:p w14:paraId="7B5A7D7E" w14:textId="2DBA2961" w:rsidR="00CD29BC" w:rsidRDefault="00CD29BC" w:rsidP="00CD29BC">
      <w:r>
        <w:t>Under the NDIS Act, the NDIS:</w:t>
      </w:r>
    </w:p>
    <w:p w14:paraId="1E5F551A" w14:textId="1FD6DB8C" w:rsidR="00CD29BC" w:rsidRDefault="00912700" w:rsidP="00CD29BC">
      <w:pPr>
        <w:pStyle w:val="Bullet1"/>
      </w:pPr>
      <w:r>
        <w:t>funds</w:t>
      </w:r>
      <w:r w:rsidR="00CD29BC">
        <w:t xml:space="preserve"> participant plans and supports</w:t>
      </w:r>
    </w:p>
    <w:p w14:paraId="4A5086E2" w14:textId="77777777" w:rsidR="00CD29BC" w:rsidRDefault="00CD29BC" w:rsidP="00CD29BC">
      <w:pPr>
        <w:pStyle w:val="Bullet1"/>
      </w:pPr>
      <w:r>
        <w:t>provides general supports for NDIS participants and other people with disability</w:t>
      </w:r>
    </w:p>
    <w:p w14:paraId="0E536E09" w14:textId="77777777" w:rsidR="00CD29BC" w:rsidRDefault="00CD29BC" w:rsidP="00CD29BC">
      <w:pPr>
        <w:pStyle w:val="Bullet1"/>
      </w:pPr>
      <w:r>
        <w:t>funds services that help people with disability participate in economic and social life.</w:t>
      </w:r>
    </w:p>
    <w:p w14:paraId="12799F9D" w14:textId="0029611F" w:rsidR="006915BA" w:rsidRPr="00194A5A" w:rsidRDefault="00B926AF" w:rsidP="00CD29BC">
      <w:r w:rsidRPr="00B926AF">
        <w:t>The NDIS provides funding to eligible people with disability. It aims to improve social and economic outcomes by supporting people with disability to access reasonable and necessary supports. The NDIS also helps connect people to mainstream and community services. We work closely with state and territory governments to assist people to access the supports they need</w:t>
      </w:r>
      <w:r w:rsidR="00912700">
        <w:t>.</w:t>
      </w:r>
    </w:p>
    <w:p w14:paraId="2E25E960" w14:textId="77777777" w:rsidR="005C1972" w:rsidRPr="00DC00ED" w:rsidRDefault="005C1972" w:rsidP="00257BD4">
      <w:pPr>
        <w:pStyle w:val="Heading4"/>
      </w:pPr>
      <w:r w:rsidRPr="00DC00ED">
        <w:t>Enabling legislation</w:t>
      </w:r>
    </w:p>
    <w:p w14:paraId="23335A3F" w14:textId="2EDB8F55" w:rsidR="00EF6EFC" w:rsidRPr="00DC00ED" w:rsidRDefault="00EF6EFC" w:rsidP="00DE1348">
      <w:pPr>
        <w:rPr>
          <w:rFonts w:eastAsia="Aptos" w:cs="Arial"/>
          <w:kern w:val="2"/>
          <w:lang w:bidi="th-TH"/>
          <w14:ligatures w14:val="standardContextual"/>
        </w:rPr>
      </w:pPr>
      <w:r w:rsidRPr="00DC00ED">
        <w:rPr>
          <w:rFonts w:eastAsia="Aptos" w:cs="Arial"/>
          <w:kern w:val="2"/>
          <w:lang w:bidi="th-TH"/>
          <w14:ligatures w14:val="standardContextual"/>
        </w:rPr>
        <w:t xml:space="preserve">The NDIS Act establishes the NDIS and, in conjunction with other laws, it gives effect to Australia’s obligations under the </w:t>
      </w:r>
      <w:r w:rsidR="0013356D" w:rsidRPr="00DC00ED">
        <w:rPr>
          <w:rFonts w:eastAsia="Aptos" w:cs="Arial"/>
          <w:kern w:val="2"/>
          <w:lang w:bidi="th-TH"/>
          <w14:ligatures w14:val="standardContextual"/>
        </w:rPr>
        <w:t xml:space="preserve">United Nations </w:t>
      </w:r>
      <w:r w:rsidRPr="00DC00ED">
        <w:rPr>
          <w:rFonts w:eastAsia="Aptos" w:cs="Arial"/>
          <w:kern w:val="2"/>
          <w:lang w:bidi="th-TH"/>
          <w14:ligatures w14:val="standardContextual"/>
        </w:rPr>
        <w:t>Convention on the Rights of Persons with Disabilities. The NDIS Act’s objectives include:</w:t>
      </w:r>
    </w:p>
    <w:p w14:paraId="0419DE3C" w14:textId="77777777" w:rsidR="00EF6EFC" w:rsidRPr="00DC00ED" w:rsidRDefault="00EF6EFC" w:rsidP="00DE1348">
      <w:pPr>
        <w:numPr>
          <w:ilvl w:val="0"/>
          <w:numId w:val="46"/>
        </w:numPr>
        <w:ind w:left="714" w:hanging="357"/>
        <w:rPr>
          <w:rFonts w:eastAsia="Aptos" w:cs="Arial"/>
          <w:kern w:val="2"/>
          <w:lang w:bidi="th-TH"/>
          <w14:ligatures w14:val="standardContextual"/>
        </w:rPr>
      </w:pPr>
      <w:r w:rsidRPr="00DC00ED">
        <w:rPr>
          <w:rFonts w:eastAsia="Aptos" w:cs="Arial"/>
          <w:kern w:val="2"/>
          <w:lang w:bidi="th-TH"/>
          <w14:ligatures w14:val="standardContextual"/>
        </w:rPr>
        <w:t>supporting the independence and social and economic participation of people with disability</w:t>
      </w:r>
    </w:p>
    <w:p w14:paraId="6F6F51E0" w14:textId="77777777" w:rsidR="00EF6EFC" w:rsidRPr="00DC00ED" w:rsidRDefault="00EF6EFC" w:rsidP="00DE1348">
      <w:pPr>
        <w:numPr>
          <w:ilvl w:val="0"/>
          <w:numId w:val="46"/>
        </w:numPr>
        <w:ind w:left="714" w:hanging="357"/>
        <w:rPr>
          <w:rFonts w:eastAsia="Aptos" w:cs="Arial"/>
          <w:kern w:val="2"/>
          <w:lang w:bidi="th-TH"/>
          <w14:ligatures w14:val="standardContextual"/>
        </w:rPr>
      </w:pPr>
      <w:r w:rsidRPr="00DC00ED">
        <w:rPr>
          <w:rFonts w:eastAsia="Aptos" w:cs="Arial"/>
          <w:kern w:val="2"/>
          <w:lang w:bidi="th-TH"/>
          <w14:ligatures w14:val="standardContextual"/>
        </w:rPr>
        <w:t>providing reasonable and necessary supports, including early intervention supports, for participants in the NDIS</w:t>
      </w:r>
    </w:p>
    <w:p w14:paraId="1CA4F36A" w14:textId="77777777" w:rsidR="00EF6EFC" w:rsidRPr="00DC00ED" w:rsidRDefault="00EF6EFC" w:rsidP="00DE1348">
      <w:pPr>
        <w:numPr>
          <w:ilvl w:val="0"/>
          <w:numId w:val="46"/>
        </w:numPr>
        <w:ind w:left="714" w:hanging="357"/>
        <w:rPr>
          <w:rFonts w:eastAsia="Aptos" w:cs="Arial"/>
          <w:kern w:val="2"/>
          <w:lang w:bidi="th-TH"/>
          <w14:ligatures w14:val="standardContextual"/>
        </w:rPr>
      </w:pPr>
      <w:r w:rsidRPr="00DC00ED">
        <w:rPr>
          <w:rFonts w:eastAsia="Aptos" w:cs="Arial"/>
          <w:kern w:val="2"/>
          <w:lang w:bidi="th-TH"/>
          <w14:ligatures w14:val="standardContextual"/>
        </w:rPr>
        <w:t>enabling people with disability to exercise choice and control in the pursuit of their goals and the planning and delivery of their supports</w:t>
      </w:r>
    </w:p>
    <w:p w14:paraId="7F1AF8DA" w14:textId="77777777" w:rsidR="00EF6EFC" w:rsidRPr="00DC00ED" w:rsidRDefault="00EF6EFC" w:rsidP="00DE1348">
      <w:pPr>
        <w:numPr>
          <w:ilvl w:val="0"/>
          <w:numId w:val="46"/>
        </w:numPr>
        <w:ind w:left="714" w:hanging="357"/>
        <w:rPr>
          <w:rFonts w:eastAsia="Aptos" w:cs="Arial"/>
          <w:kern w:val="2"/>
          <w:lang w:bidi="th-TH"/>
          <w14:ligatures w14:val="standardContextual"/>
        </w:rPr>
      </w:pPr>
      <w:r w:rsidRPr="00DC00ED">
        <w:rPr>
          <w:rFonts w:eastAsia="Aptos" w:cs="Arial"/>
          <w:kern w:val="2"/>
          <w:lang w:bidi="th-TH"/>
          <w14:ligatures w14:val="standardContextual"/>
        </w:rPr>
        <w:t>raising community awareness of the issues that affect the social and economic participation of people with disability and facilitate greater community inclusion of people with disability.</w:t>
      </w:r>
    </w:p>
    <w:p w14:paraId="48C9D11C" w14:textId="04E7D800" w:rsidR="00EF6EFC" w:rsidRPr="00DC00ED" w:rsidRDefault="00EF6EFC" w:rsidP="00DE1348">
      <w:pPr>
        <w:rPr>
          <w:rFonts w:eastAsia="Aptos" w:cs="Arial"/>
          <w:b/>
          <w:bCs/>
          <w:kern w:val="2"/>
          <w:lang w:bidi="th-TH"/>
          <w14:ligatures w14:val="standardContextual"/>
        </w:rPr>
      </w:pPr>
      <w:r w:rsidRPr="00DC00ED">
        <w:rPr>
          <w:rFonts w:eastAsia="Aptos" w:cs="Arial"/>
          <w:kern w:val="2"/>
          <w:lang w:bidi="th-TH"/>
          <w14:ligatures w14:val="standardContextual"/>
        </w:rPr>
        <w:t>On 1 April 2026 the Australian Parliament passed the National Disability Insurance Scheme Amendment (</w:t>
      </w:r>
      <w:r w:rsidR="00700492" w:rsidRPr="00DC00ED">
        <w:rPr>
          <w:rFonts w:eastAsia="Aptos" w:cs="Arial"/>
          <w:kern w:val="2"/>
          <w:lang w:bidi="th-TH"/>
          <w14:ligatures w14:val="standardContextual"/>
        </w:rPr>
        <w:t xml:space="preserve">Integrity </w:t>
      </w:r>
      <w:r w:rsidRPr="00DC00ED">
        <w:rPr>
          <w:rFonts w:eastAsia="Aptos" w:cs="Arial"/>
          <w:kern w:val="2"/>
          <w:lang w:bidi="th-TH"/>
          <w14:ligatures w14:val="standardContextual"/>
        </w:rPr>
        <w:t>and</w:t>
      </w:r>
      <w:r w:rsidR="00700492" w:rsidRPr="00DC00ED">
        <w:rPr>
          <w:rFonts w:eastAsia="Aptos" w:cs="Arial"/>
          <w:kern w:val="2"/>
          <w:lang w:bidi="th-TH"/>
          <w14:ligatures w14:val="standardContextual"/>
        </w:rPr>
        <w:t xml:space="preserve"> Safeguarding</w:t>
      </w:r>
      <w:r w:rsidRPr="00DC00ED">
        <w:rPr>
          <w:rFonts w:eastAsia="Aptos" w:cs="Arial"/>
          <w:kern w:val="2"/>
          <w:lang w:bidi="th-TH"/>
          <w14:ligatures w14:val="standardContextual"/>
        </w:rPr>
        <w:t>) Bill 2026</w:t>
      </w:r>
      <w:r w:rsidR="00766DAA" w:rsidRPr="00DC00ED">
        <w:rPr>
          <w:rFonts w:eastAsia="Aptos" w:cs="Arial"/>
          <w:i/>
          <w:iCs/>
          <w:kern w:val="2"/>
          <w:lang w:bidi="th-TH"/>
          <w14:ligatures w14:val="standardContextual"/>
        </w:rPr>
        <w:t xml:space="preserve"> </w:t>
      </w:r>
      <w:r w:rsidR="00766DAA" w:rsidRPr="00DC00ED">
        <w:rPr>
          <w:rFonts w:ascii="Symbol" w:eastAsia="Symbol" w:hAnsi="Symbol" w:cs="Symbol"/>
          <w:i/>
          <w:iCs/>
          <w:kern w:val="2"/>
          <w:lang w:bidi="th-TH"/>
          <w14:ligatures w14:val="standardContextual"/>
        </w:rPr>
        <w:t>-</w:t>
      </w:r>
      <w:r w:rsidR="00766DAA" w:rsidRPr="00DC00ED">
        <w:rPr>
          <w:rFonts w:eastAsia="Aptos" w:cs="Arial"/>
          <w:i/>
          <w:iCs/>
          <w:kern w:val="2"/>
          <w:lang w:bidi="th-TH"/>
          <w14:ligatures w14:val="standardContextual"/>
        </w:rPr>
        <w:t xml:space="preserve"> </w:t>
      </w:r>
      <w:r w:rsidRPr="00DC00ED">
        <w:rPr>
          <w:rFonts w:eastAsia="Aptos" w:cs="Arial"/>
          <w:kern w:val="2"/>
          <w:lang w:bidi="th-TH"/>
          <w14:ligatures w14:val="standardContextual"/>
        </w:rPr>
        <w:t xml:space="preserve">a Bill amending the NDIS Act. The </w:t>
      </w:r>
      <w:r w:rsidRPr="00DC00ED">
        <w:rPr>
          <w:rFonts w:eastAsia="Aptos" w:cs="Arial"/>
          <w:i/>
          <w:iCs/>
          <w:kern w:val="2"/>
          <w:lang w:bidi="th-TH"/>
          <w14:ligatures w14:val="standardContextual"/>
        </w:rPr>
        <w:t>National Disability Insurance Scheme Amendment (Integrity and Safeguarding) Act 2026</w:t>
      </w:r>
      <w:r w:rsidRPr="00DC00ED">
        <w:rPr>
          <w:rFonts w:eastAsia="Aptos" w:cs="Arial"/>
          <w:kern w:val="2"/>
          <w:lang w:bidi="th-TH"/>
          <w14:ligatures w14:val="standardContextual"/>
        </w:rPr>
        <w:t xml:space="preserve"> </w:t>
      </w:r>
      <w:r w:rsidR="00A06D2E" w:rsidRPr="00DC00ED">
        <w:rPr>
          <w:rFonts w:eastAsia="Aptos" w:cs="Arial"/>
          <w:kern w:val="2"/>
          <w:lang w:bidi="th-TH"/>
          <w14:ligatures w14:val="standardContextual"/>
        </w:rPr>
        <w:t xml:space="preserve">(Cth) </w:t>
      </w:r>
      <w:r w:rsidRPr="00DC00ED">
        <w:rPr>
          <w:rFonts w:eastAsia="Aptos" w:cs="Arial"/>
          <w:kern w:val="2"/>
          <w:lang w:bidi="th-TH"/>
          <w14:ligatures w14:val="standardContextual"/>
        </w:rPr>
        <w:t xml:space="preserve">received </w:t>
      </w:r>
      <w:r w:rsidR="00766DAA" w:rsidRPr="00DC00ED">
        <w:rPr>
          <w:rFonts w:eastAsia="Aptos" w:cs="Arial"/>
          <w:kern w:val="2"/>
          <w:lang w:bidi="th-TH"/>
          <w14:ligatures w14:val="standardContextual"/>
        </w:rPr>
        <w:t>r</w:t>
      </w:r>
      <w:r w:rsidRPr="00DC00ED">
        <w:rPr>
          <w:rFonts w:eastAsia="Aptos" w:cs="Arial"/>
          <w:kern w:val="2"/>
          <w:lang w:bidi="th-TH"/>
          <w14:ligatures w14:val="standardContextual"/>
        </w:rPr>
        <w:t xml:space="preserve">oyal </w:t>
      </w:r>
      <w:r w:rsidR="00766DAA" w:rsidRPr="00DC00ED">
        <w:rPr>
          <w:rFonts w:eastAsia="Aptos" w:cs="Arial"/>
          <w:kern w:val="2"/>
          <w:lang w:bidi="th-TH"/>
          <w14:ligatures w14:val="standardContextual"/>
        </w:rPr>
        <w:t>a</w:t>
      </w:r>
      <w:r w:rsidRPr="00DC00ED">
        <w:rPr>
          <w:rFonts w:eastAsia="Aptos" w:cs="Arial"/>
          <w:kern w:val="2"/>
          <w:lang w:bidi="th-TH"/>
          <w14:ligatures w14:val="standardContextual"/>
        </w:rPr>
        <w:t>ssent and became law on 8 April 2026.</w:t>
      </w:r>
    </w:p>
    <w:p w14:paraId="0167FA37" w14:textId="285B69A6" w:rsidR="00EF6EFC" w:rsidRPr="00DC00ED" w:rsidRDefault="00EF6EFC" w:rsidP="00DE1348">
      <w:pPr>
        <w:rPr>
          <w:rFonts w:eastAsia="Aptos" w:cs="Arial"/>
          <w:kern w:val="2"/>
          <w:lang w:bidi="th-TH"/>
          <w14:ligatures w14:val="standardContextual"/>
        </w:rPr>
      </w:pPr>
      <w:r w:rsidRPr="00DC00ED">
        <w:rPr>
          <w:rFonts w:eastAsia="Aptos" w:cs="Arial"/>
          <w:kern w:val="2"/>
          <w:lang w:bidi="th-TH"/>
          <w14:ligatures w14:val="standardContextual"/>
        </w:rPr>
        <w:t xml:space="preserve">The amendments to the </w:t>
      </w:r>
      <w:r w:rsidR="00766DAA" w:rsidRPr="00DC00ED">
        <w:rPr>
          <w:rFonts w:eastAsia="Aptos" w:cs="Arial"/>
          <w:kern w:val="2"/>
          <w:lang w:bidi="th-TH"/>
          <w14:ligatures w14:val="standardContextual"/>
        </w:rPr>
        <w:t xml:space="preserve">NDIS </w:t>
      </w:r>
      <w:r w:rsidRPr="00DC00ED">
        <w:rPr>
          <w:rFonts w:eastAsia="Aptos" w:cs="Arial"/>
          <w:kern w:val="2"/>
          <w:lang w:bidi="th-TH"/>
          <w14:ligatures w14:val="standardContextual"/>
        </w:rPr>
        <w:t>Act included:</w:t>
      </w:r>
    </w:p>
    <w:p w14:paraId="0CF6B7B2" w14:textId="7D6D1461" w:rsidR="00EF6EFC" w:rsidRPr="00DC00ED" w:rsidRDefault="00766DAA" w:rsidP="00DE1348">
      <w:pPr>
        <w:numPr>
          <w:ilvl w:val="0"/>
          <w:numId w:val="45"/>
        </w:numPr>
        <w:shd w:val="clear" w:color="auto" w:fill="FFFFFF"/>
        <w:rPr>
          <w:rFonts w:eastAsia="Times New Roman" w:cs="Arial"/>
          <w:color w:val="222222"/>
          <w:lang w:bidi="th-TH"/>
        </w:rPr>
      </w:pPr>
      <w:r w:rsidRPr="00DC00ED">
        <w:rPr>
          <w:rFonts w:eastAsia="Times New Roman" w:cs="Arial"/>
          <w:color w:val="222222"/>
          <w:lang w:bidi="th-TH"/>
        </w:rPr>
        <w:t>e</w:t>
      </w:r>
      <w:r w:rsidR="00EF6EFC" w:rsidRPr="00DC00ED">
        <w:rPr>
          <w:rFonts w:eastAsia="Times New Roman" w:cs="Arial"/>
          <w:color w:val="222222"/>
          <w:lang w:bidi="th-TH"/>
        </w:rPr>
        <w:t>xpanding the NDIS Quality and Safeguards Commission’s powers to detect, prevent and respond to breaches of</w:t>
      </w:r>
      <w:r w:rsidR="00EF6EFC" w:rsidRPr="00DC00ED">
        <w:rPr>
          <w:rFonts w:eastAsia="Times New Roman" w:cs="Arial"/>
          <w:color w:val="222222"/>
          <w:kern w:val="2"/>
          <w:lang w:bidi="th-TH"/>
          <w14:ligatures w14:val="standardContextual"/>
        </w:rPr>
        <w:t xml:space="preserve"> obligations under the Act</w:t>
      </w:r>
      <w:r w:rsidR="00A06D2E" w:rsidRPr="00DC00ED">
        <w:rPr>
          <w:rFonts w:eastAsia="Times New Roman" w:cs="Arial"/>
          <w:color w:val="222222"/>
          <w:kern w:val="2"/>
          <w:lang w:bidi="th-TH"/>
          <w14:ligatures w14:val="standardContextual"/>
        </w:rPr>
        <w:t xml:space="preserve"> </w:t>
      </w:r>
      <w:r w:rsidR="00A06D2E" w:rsidRPr="00DC00ED">
        <w:rPr>
          <w:rFonts w:ascii="Symbol" w:eastAsia="Symbol" w:hAnsi="Symbol" w:cs="Symbol"/>
          <w:color w:val="222222"/>
          <w:kern w:val="2"/>
          <w:lang w:bidi="th-TH"/>
          <w14:ligatures w14:val="standardContextual"/>
        </w:rPr>
        <w:t>-</w:t>
      </w:r>
      <w:r w:rsidR="00A06D2E" w:rsidRPr="00DC00ED">
        <w:rPr>
          <w:rFonts w:eastAsia="Times New Roman" w:cs="Arial"/>
          <w:color w:val="222222"/>
          <w:kern w:val="2"/>
          <w:lang w:bidi="th-TH"/>
          <w14:ligatures w14:val="standardContextual"/>
        </w:rPr>
        <w:t xml:space="preserve"> </w:t>
      </w:r>
      <w:r w:rsidR="00EF6EFC" w:rsidRPr="00DC00ED">
        <w:rPr>
          <w:rFonts w:eastAsia="Times New Roman" w:cs="Arial"/>
          <w:color w:val="222222"/>
          <w:kern w:val="2"/>
          <w:lang w:bidi="th-TH"/>
          <w14:ligatures w14:val="standardContextual"/>
        </w:rPr>
        <w:t>for example</w:t>
      </w:r>
      <w:r w:rsidR="00A06D2E" w:rsidRPr="00DC00ED">
        <w:rPr>
          <w:rFonts w:eastAsia="Times New Roman" w:cs="Arial"/>
          <w:color w:val="222222"/>
          <w:kern w:val="2"/>
          <w:lang w:bidi="th-TH"/>
          <w14:ligatures w14:val="standardContextual"/>
        </w:rPr>
        <w:t>,</w:t>
      </w:r>
      <w:r w:rsidR="00EF6EFC" w:rsidRPr="00DC00ED">
        <w:rPr>
          <w:rFonts w:eastAsia="Times New Roman" w:cs="Arial"/>
          <w:color w:val="222222"/>
          <w:kern w:val="2"/>
          <w:lang w:bidi="th-TH"/>
          <w14:ligatures w14:val="standardContextual"/>
        </w:rPr>
        <w:t xml:space="preserve"> greater whistleblower protections and new civil penalty provisions</w:t>
      </w:r>
    </w:p>
    <w:p w14:paraId="6FF1E57A" w14:textId="5CB3CDAA" w:rsidR="00EF6EFC" w:rsidRPr="00DC00ED" w:rsidRDefault="00EF6EFC" w:rsidP="00DE1348">
      <w:pPr>
        <w:numPr>
          <w:ilvl w:val="0"/>
          <w:numId w:val="45"/>
        </w:numPr>
        <w:shd w:val="clear" w:color="auto" w:fill="FFFFFF"/>
        <w:rPr>
          <w:rFonts w:eastAsia="Times New Roman" w:cs="Arial"/>
          <w:color w:val="222222"/>
          <w:lang w:bidi="th-TH"/>
        </w:rPr>
      </w:pPr>
      <w:r w:rsidRPr="00DC00ED">
        <w:rPr>
          <w:rFonts w:eastAsia="Times New Roman" w:cs="Arial"/>
          <w:color w:val="222222"/>
          <w:kern w:val="2"/>
          <w:lang w:bidi="th-TH"/>
          <w14:ligatures w14:val="standardContextual"/>
        </w:rPr>
        <w:t>providing participants wishing to leave the NDIS with additional safeguards and communication options</w:t>
      </w:r>
    </w:p>
    <w:p w14:paraId="2DFD7F68" w14:textId="77777777" w:rsidR="00EF6EFC" w:rsidRPr="00DC00ED" w:rsidRDefault="00EF6EFC" w:rsidP="00DE1348">
      <w:pPr>
        <w:numPr>
          <w:ilvl w:val="0"/>
          <w:numId w:val="45"/>
        </w:numPr>
        <w:shd w:val="clear" w:color="auto" w:fill="FFFFFF"/>
        <w:rPr>
          <w:rFonts w:eastAsia="Times New Roman" w:cs="Arial"/>
          <w:color w:val="222222"/>
          <w:lang w:bidi="th-TH"/>
        </w:rPr>
      </w:pPr>
      <w:r w:rsidRPr="00DC00ED">
        <w:rPr>
          <w:rFonts w:eastAsia="Times New Roman" w:cs="Arial"/>
          <w:color w:val="222222"/>
          <w:lang w:bidi="th-TH"/>
        </w:rPr>
        <w:t>enabling the NDIA to move to an entirely electronic claiming system for NDIS providers</w:t>
      </w:r>
    </w:p>
    <w:p w14:paraId="710D813C" w14:textId="6DCDFD7C" w:rsidR="00EF6EFC" w:rsidRPr="00DC00ED" w:rsidRDefault="00EF6EFC" w:rsidP="00DE1348">
      <w:pPr>
        <w:numPr>
          <w:ilvl w:val="0"/>
          <w:numId w:val="45"/>
        </w:numPr>
        <w:shd w:val="clear" w:color="auto" w:fill="FFFFFF"/>
        <w:rPr>
          <w:rFonts w:eastAsia="Times New Roman" w:cs="Arial"/>
          <w:color w:val="222222"/>
          <w:lang w:bidi="th-TH"/>
        </w:rPr>
      </w:pPr>
      <w:r w:rsidRPr="00DC00ED">
        <w:rPr>
          <w:rFonts w:eastAsia="Times New Roman" w:cs="Arial"/>
          <w:color w:val="222222"/>
          <w:lang w:bidi="th-TH"/>
        </w:rPr>
        <w:t>a necessary technical amendment making sure plan variations can include an increase or decrease of the total funding amounts in participants</w:t>
      </w:r>
      <w:r w:rsidR="002A5C79" w:rsidRPr="00DC00ED">
        <w:rPr>
          <w:rFonts w:eastAsia="Times New Roman" w:cs="Arial"/>
          <w:color w:val="222222"/>
          <w:lang w:bidi="th-TH"/>
        </w:rPr>
        <w:t>’</w:t>
      </w:r>
      <w:r w:rsidRPr="00DC00ED">
        <w:rPr>
          <w:rFonts w:eastAsia="Times New Roman" w:cs="Arial"/>
          <w:color w:val="222222"/>
          <w:lang w:bidi="th-TH"/>
        </w:rPr>
        <w:t xml:space="preserve"> plans.</w:t>
      </w:r>
    </w:p>
    <w:p w14:paraId="7F76CF81" w14:textId="78E5D97B" w:rsidR="00257BD4" w:rsidRPr="00DC00ED" w:rsidRDefault="00EF6EFC" w:rsidP="00DE1348">
      <w:pPr>
        <w:rPr>
          <w:rFonts w:eastAsia="Aptos" w:cs="Arial"/>
          <w:kern w:val="2"/>
          <w:lang w:bidi="th-TH"/>
          <w14:ligatures w14:val="standardContextual"/>
        </w:rPr>
      </w:pPr>
      <w:r w:rsidRPr="00DC00ED">
        <w:rPr>
          <w:rFonts w:eastAsia="Aptos" w:cs="Arial"/>
          <w:kern w:val="2"/>
          <w:lang w:bidi="th-TH"/>
          <w14:ligatures w14:val="standardContextual"/>
        </w:rPr>
        <w:t xml:space="preserve">For more information about these amendments, see the NDIS website: </w:t>
      </w:r>
      <w:hyperlink r:id="rId26">
        <w:r w:rsidRPr="00DC00ED">
          <w:rPr>
            <w:rFonts w:eastAsia="Aptos" w:cs="Arial"/>
            <w:color w:val="0000FF"/>
            <w:kern w:val="2"/>
            <w:u w:val="single"/>
            <w:lang w:bidi="th-TH"/>
            <w14:ligatures w14:val="standardContextual"/>
          </w:rPr>
          <w:t>Integrity and safeguarding</w:t>
        </w:r>
      </w:hyperlink>
      <w:r w:rsidR="00A06D2E" w:rsidRPr="00DC00ED">
        <w:t>.</w:t>
      </w:r>
    </w:p>
    <w:p w14:paraId="0C037A95" w14:textId="77777777" w:rsidR="00232C15" w:rsidRPr="00DC00ED" w:rsidRDefault="005C1972" w:rsidP="00257BD4">
      <w:pPr>
        <w:pStyle w:val="Heading4"/>
      </w:pPr>
      <w:r w:rsidRPr="00DC00ED">
        <w:t>NDIS Act reportable items</w:t>
      </w:r>
    </w:p>
    <w:p w14:paraId="3DBCA76F" w14:textId="77777777" w:rsidR="007D7AC5" w:rsidRDefault="001221B1" w:rsidP="00720B8C">
      <w:pPr>
        <w:rPr>
          <w:rFonts w:eastAsia="Arial" w:cs="Arial"/>
          <w:kern w:val="2"/>
          <w:lang w:val="en-US" w:bidi="th-TH"/>
          <w14:ligatures w14:val="standardContextual"/>
        </w:rPr>
      </w:pPr>
      <w:r w:rsidRPr="00DC00ED">
        <w:rPr>
          <w:rFonts w:eastAsia="Arial" w:cs="Arial"/>
          <w:kern w:val="2"/>
          <w:lang w:val="en-US" w:bidi="th-TH"/>
          <w14:ligatures w14:val="standardContextual"/>
        </w:rPr>
        <w:t>The NDIS Act requires the NDIA Annual Report to include details of any directions given under section 121 (Minister may give directions to the NDIA) and any statements given under section 125 (Minister may give the Board a statement setting out strategic guidance for the NDIA). There ha</w:t>
      </w:r>
      <w:r w:rsidR="00C17CD3">
        <w:rPr>
          <w:rFonts w:eastAsia="Arial" w:cs="Arial"/>
          <w:kern w:val="2"/>
          <w:lang w:val="en-US" w:bidi="th-TH"/>
          <w14:ligatures w14:val="standardContextual"/>
        </w:rPr>
        <w:t>ve</w:t>
      </w:r>
      <w:r w:rsidRPr="00DC00ED">
        <w:rPr>
          <w:rFonts w:eastAsia="Arial" w:cs="Arial"/>
          <w:kern w:val="2"/>
          <w:lang w:val="en-US" w:bidi="th-TH"/>
          <w14:ligatures w14:val="standardContextual"/>
        </w:rPr>
        <w:t xml:space="preserve"> been no direction</w:t>
      </w:r>
      <w:r w:rsidR="00C33FF4" w:rsidRPr="00DC00ED">
        <w:rPr>
          <w:rFonts w:eastAsia="Arial" w:cs="Arial"/>
          <w:kern w:val="2"/>
          <w:lang w:val="en-US" w:bidi="th-TH"/>
          <w14:ligatures w14:val="standardContextual"/>
        </w:rPr>
        <w:t>s</w:t>
      </w:r>
      <w:r w:rsidRPr="00DC00ED">
        <w:rPr>
          <w:rFonts w:eastAsia="Arial" w:cs="Arial"/>
          <w:kern w:val="2"/>
          <w:lang w:val="en-US" w:bidi="th-TH"/>
          <w14:ligatures w14:val="standardContextual"/>
        </w:rPr>
        <w:t xml:space="preserve"> made under section 121 and no statement made to the Board under section 125 for the reporting period.</w:t>
      </w:r>
    </w:p>
    <w:p w14:paraId="61C41961" w14:textId="05378381" w:rsidR="00720B8C" w:rsidRDefault="00535F2A" w:rsidP="00720B8C">
      <w:pPr>
        <w:sectPr w:rsidR="00720B8C" w:rsidSect="00EB1047">
          <w:type w:val="continuous"/>
          <w:pgSz w:w="11906" w:h="16838"/>
          <w:pgMar w:top="1247" w:right="1361" w:bottom="1247" w:left="1361" w:header="567" w:footer="454" w:gutter="0"/>
          <w:cols w:space="708"/>
          <w:docGrid w:linePitch="360"/>
        </w:sectPr>
      </w:pPr>
      <w:r>
        <w:br w:type="page"/>
      </w:r>
    </w:p>
    <w:p w14:paraId="69C08306" w14:textId="77777777" w:rsidR="00AC07F3" w:rsidRDefault="002722A5" w:rsidP="0089322F">
      <w:pPr>
        <w:pStyle w:val="Heading2"/>
      </w:pPr>
      <w:bookmarkStart w:id="23" w:name="_Toc226723905"/>
      <w:bookmarkStart w:id="24" w:name="_Toc241826716"/>
      <w:r w:rsidRPr="002722A5">
        <w:t xml:space="preserve">Section 2: </w:t>
      </w:r>
      <w:r w:rsidRPr="002311B0">
        <w:t>Annual</w:t>
      </w:r>
      <w:r w:rsidRPr="002722A5">
        <w:t xml:space="preserve"> performance statements</w:t>
      </w:r>
      <w:bookmarkEnd w:id="23"/>
      <w:bookmarkEnd w:id="24"/>
    </w:p>
    <w:p w14:paraId="632D3179" w14:textId="1384D3DD" w:rsidR="003A3EED" w:rsidRDefault="003A3EED" w:rsidP="00AC07F3">
      <w:r>
        <w:br w:type="page"/>
      </w:r>
    </w:p>
    <w:p w14:paraId="6C2C5C00" w14:textId="77777777" w:rsidR="00E228A7" w:rsidRPr="00D7790E" w:rsidRDefault="00E228A7" w:rsidP="00E228A7">
      <w:pPr>
        <w:pStyle w:val="Heading3"/>
      </w:pPr>
      <w:bookmarkStart w:id="25" w:name="_Toc226723906"/>
      <w:bookmarkStart w:id="26" w:name="_Toc231466317"/>
      <w:bookmarkStart w:id="27" w:name="_Toc241826717"/>
      <w:r w:rsidRPr="00D7790E">
        <w:t>2.1 Statement of preparation</w:t>
      </w:r>
      <w:bookmarkEnd w:id="25"/>
      <w:bookmarkEnd w:id="26"/>
      <w:bookmarkEnd w:id="27"/>
    </w:p>
    <w:p w14:paraId="162E9F0E" w14:textId="7D9AE87C" w:rsidR="00ED3AB7" w:rsidRPr="00D7790E" w:rsidRDefault="00ED3AB7" w:rsidP="00ED3AB7">
      <w:r w:rsidRPr="00D7790E">
        <w:t>I, Kurt Fearnley, as the Chair of the National Disability Insurance Agency Board, the</w:t>
      </w:r>
      <w:r w:rsidR="00CA59B3">
        <w:t xml:space="preserve"> </w:t>
      </w:r>
      <w:r w:rsidRPr="00D7790E">
        <w:t>accountable</w:t>
      </w:r>
      <w:r w:rsidR="00CA59B3">
        <w:t xml:space="preserve"> </w:t>
      </w:r>
      <w:r w:rsidRPr="00D7790E">
        <w:t>authority of the National Disability Insurance Agency (NDIA), present the NDIA annual performance statements for the 2025–26 reporting period, as required under paragraph 39(1)(a) of the</w:t>
      </w:r>
      <w:r w:rsidR="00CA59B3">
        <w:t xml:space="preserve"> </w:t>
      </w:r>
      <w:r w:rsidRPr="00D7790E">
        <w:rPr>
          <w:i/>
          <w:iCs/>
        </w:rPr>
        <w:t>Public Governance, Performance and Accountability Act 2013</w:t>
      </w:r>
      <w:r w:rsidR="00CA59B3">
        <w:t xml:space="preserve"> </w:t>
      </w:r>
      <w:r w:rsidRPr="00D7790E">
        <w:t>(Cth)</w:t>
      </w:r>
      <w:r w:rsidR="00CA59B3">
        <w:t xml:space="preserve"> </w:t>
      </w:r>
      <w:r w:rsidRPr="00D7790E">
        <w:t>(PGPA Act).</w:t>
      </w:r>
    </w:p>
    <w:p w14:paraId="28FB6007" w14:textId="77777777" w:rsidR="00C271E3" w:rsidRDefault="00ED3AB7" w:rsidP="00C271E3">
      <w:r w:rsidRPr="00D7790E">
        <w:t>In the opinion of the Board, these annual performance statements accurately</w:t>
      </w:r>
      <w:r w:rsidR="00CA59B3">
        <w:t xml:space="preserve"> </w:t>
      </w:r>
      <w:r w:rsidRPr="00D7790E">
        <w:t>represent</w:t>
      </w:r>
      <w:r w:rsidR="00CA59B3">
        <w:t xml:space="preserve"> </w:t>
      </w:r>
      <w:r w:rsidRPr="00D7790E">
        <w:t>the performance of the NDIA in the reporting period and</w:t>
      </w:r>
      <w:r w:rsidR="00CA59B3">
        <w:t xml:space="preserve"> </w:t>
      </w:r>
      <w:r w:rsidRPr="00D7790E">
        <w:t>comply with</w:t>
      </w:r>
      <w:r w:rsidR="00CA59B3">
        <w:t xml:space="preserve"> </w:t>
      </w:r>
      <w:r w:rsidRPr="00D7790E">
        <w:t>subsection 39(2) of the PGPA Act and section 16F of the Public Governance, Performance and Accountability Rule 2014.</w:t>
      </w:r>
      <w:bookmarkStart w:id="28" w:name="_Toc226723907"/>
      <w:bookmarkStart w:id="29" w:name="_Toc231466318"/>
    </w:p>
    <w:p w14:paraId="5295AF83" w14:textId="580B9F8B" w:rsidR="007C66F7" w:rsidRPr="00C271E3" w:rsidRDefault="00291DBE" w:rsidP="00C271E3">
      <w:r w:rsidRPr="00291DBE">
        <w:rPr>
          <w:noProof/>
        </w:rPr>
        <w:drawing>
          <wp:inline distT="0" distB="0" distL="0" distR="0" wp14:anchorId="7CFF5E44" wp14:editId="2E7EB73B">
            <wp:extent cx="4122420" cy="1531544"/>
            <wp:effectExtent l="0" t="0" r="0" b="0"/>
            <wp:docPr id="2007002069" name="Picture 1" descr="Signatures of Kurt Fearnley AO, NDIA Board Chair and Graeme Head AO, Chief Executive Officer, dated 17 Septemb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02069" name="Picture 1" descr="Signatures of Kurt Fearnley AO, NDIA Board Chair and Graeme Head AO, Chief Executive Officer, dated 17 September 2026"/>
                    <pic:cNvPicPr/>
                  </pic:nvPicPr>
                  <pic:blipFill>
                    <a:blip r:embed="rId27">
                      <a:extLst>
                        <a:ext uri="{BEBA8EAE-BF5A-486C-A8C5-ECC9F3942E4B}">
                          <a14:imgProps xmlns:a14="http://schemas.microsoft.com/office/drawing/2010/main">
                            <a14:imgLayer r:embed="rId28">
                              <a14:imgEffect>
                                <a14:sharpenSoften amount="100000"/>
                              </a14:imgEffect>
                            </a14:imgLayer>
                          </a14:imgProps>
                        </a:ext>
                        <a:ext uri="{28A0092B-C50C-407E-A947-70E740481C1C}">
                          <a14:useLocalDpi xmlns:a14="http://schemas.microsoft.com/office/drawing/2010/main" val="0"/>
                        </a:ext>
                      </a:extLst>
                    </a:blip>
                    <a:stretch>
                      <a:fillRect/>
                    </a:stretch>
                  </pic:blipFill>
                  <pic:spPr>
                    <a:xfrm>
                      <a:off x="0" y="0"/>
                      <a:ext cx="4141446" cy="1538613"/>
                    </a:xfrm>
                    <a:prstGeom prst="rect">
                      <a:avLst/>
                    </a:prstGeom>
                  </pic:spPr>
                </pic:pic>
              </a:graphicData>
            </a:graphic>
          </wp:inline>
        </w:drawing>
      </w:r>
    </w:p>
    <w:p w14:paraId="2C889B81" w14:textId="79627E56" w:rsidR="00E228A7" w:rsidRPr="00D7790E" w:rsidRDefault="00E228A7" w:rsidP="00E228A7">
      <w:pPr>
        <w:pStyle w:val="Heading3"/>
      </w:pPr>
      <w:bookmarkStart w:id="30" w:name="_Toc241826718"/>
      <w:r w:rsidRPr="00D7790E">
        <w:t>2.2 Performance framework</w:t>
      </w:r>
      <w:bookmarkEnd w:id="28"/>
      <w:bookmarkEnd w:id="29"/>
      <w:bookmarkEnd w:id="30"/>
    </w:p>
    <w:p w14:paraId="78F75D01" w14:textId="1C2D55A9" w:rsidR="006464D7" w:rsidRPr="00D7790E" w:rsidRDefault="006464D7" w:rsidP="006464D7">
      <w:r w:rsidRPr="00D7790E">
        <w:t>The NDIA conducts performance planning and reporting in line with</w:t>
      </w:r>
      <w:r w:rsidR="00953D06">
        <w:t xml:space="preserve"> </w:t>
      </w:r>
      <w:r w:rsidRPr="00D7790E">
        <w:t>Commonwealth Performance Framework</w:t>
      </w:r>
      <w:r w:rsidR="00953D06">
        <w:t xml:space="preserve"> </w:t>
      </w:r>
      <w:r w:rsidRPr="00D7790E">
        <w:t>requirements and</w:t>
      </w:r>
      <w:r w:rsidR="00953D06">
        <w:t xml:space="preserve"> </w:t>
      </w:r>
      <w:r w:rsidRPr="00D7790E">
        <w:t>the</w:t>
      </w:r>
      <w:r w:rsidR="00953D06">
        <w:t xml:space="preserve"> </w:t>
      </w:r>
      <w:r w:rsidRPr="00D7790E">
        <w:t>NDIS Act. </w:t>
      </w:r>
    </w:p>
    <w:p w14:paraId="44B7F2F0" w14:textId="17446E15" w:rsidR="006464D7" w:rsidRPr="00D7790E" w:rsidRDefault="006464D7" w:rsidP="006464D7">
      <w:r w:rsidRPr="00D7790E">
        <w:t>We prepare</w:t>
      </w:r>
      <w:r w:rsidR="00953D06">
        <w:t xml:space="preserve"> </w:t>
      </w:r>
      <w:r w:rsidRPr="00D7790E">
        <w:t>the</w:t>
      </w:r>
      <w:r w:rsidR="00953D06">
        <w:t xml:space="preserve"> </w:t>
      </w:r>
      <w:r w:rsidRPr="00D7790E">
        <w:t>3</w:t>
      </w:r>
      <w:r w:rsidR="00953D06">
        <w:t xml:space="preserve"> </w:t>
      </w:r>
      <w:r w:rsidRPr="00D7790E">
        <w:t>key</w:t>
      </w:r>
      <w:r w:rsidR="00953D06">
        <w:t xml:space="preserve"> </w:t>
      </w:r>
      <w:r w:rsidRPr="00D7790E">
        <w:t>components</w:t>
      </w:r>
      <w:r w:rsidR="00953D06">
        <w:t xml:space="preserve"> </w:t>
      </w:r>
      <w:r w:rsidRPr="00D7790E">
        <w:t>of the Commonwealth Performance Framework:</w:t>
      </w:r>
    </w:p>
    <w:p w14:paraId="5FEFB987" w14:textId="705656DC" w:rsidR="006464D7" w:rsidRPr="00D7790E" w:rsidRDefault="006464D7" w:rsidP="006464D7">
      <w:pPr>
        <w:numPr>
          <w:ilvl w:val="0"/>
          <w:numId w:val="49"/>
        </w:numPr>
      </w:pPr>
      <w:r w:rsidRPr="00D7790E">
        <w:t>portfolio</w:t>
      </w:r>
      <w:r w:rsidR="00953D06">
        <w:t xml:space="preserve"> </w:t>
      </w:r>
      <w:r w:rsidRPr="00D7790E">
        <w:t>budget</w:t>
      </w:r>
      <w:r w:rsidR="00953D06">
        <w:t xml:space="preserve"> </w:t>
      </w:r>
      <w:r w:rsidRPr="00D7790E">
        <w:t>statements – outline the funding for the NDIA</w:t>
      </w:r>
    </w:p>
    <w:p w14:paraId="0AAD4FCE" w14:textId="3B4F2677" w:rsidR="006464D7" w:rsidRPr="00D7790E" w:rsidRDefault="006464D7" w:rsidP="006464D7">
      <w:pPr>
        <w:numPr>
          <w:ilvl w:val="0"/>
          <w:numId w:val="50"/>
        </w:numPr>
      </w:pPr>
      <w:r w:rsidRPr="00D7790E">
        <w:t>corporate</w:t>
      </w:r>
      <w:r w:rsidR="00953D06">
        <w:t xml:space="preserve"> </w:t>
      </w:r>
      <w:r w:rsidRPr="00D7790E">
        <w:t>plan – sets the strategic direction and key activities to achieve the NDIA’s purpose</w:t>
      </w:r>
    </w:p>
    <w:p w14:paraId="35DB4A8F" w14:textId="5C0F2B1B" w:rsidR="006464D7" w:rsidRPr="00D7790E" w:rsidRDefault="006464D7" w:rsidP="006464D7">
      <w:pPr>
        <w:numPr>
          <w:ilvl w:val="0"/>
          <w:numId w:val="51"/>
        </w:numPr>
      </w:pPr>
      <w:r w:rsidRPr="00D7790E">
        <w:t>annual</w:t>
      </w:r>
      <w:r w:rsidR="00953D06">
        <w:t xml:space="preserve"> </w:t>
      </w:r>
      <w:r w:rsidRPr="00D7790E">
        <w:t>performance</w:t>
      </w:r>
      <w:r w:rsidR="00953D06">
        <w:t xml:space="preserve"> </w:t>
      </w:r>
      <w:r w:rsidRPr="00D7790E">
        <w:t>statements – assess the extent to which the NDIA has achieved its</w:t>
      </w:r>
      <w:r w:rsidR="00953D06">
        <w:t xml:space="preserve"> </w:t>
      </w:r>
      <w:r w:rsidRPr="00D7790E">
        <w:t>functions.</w:t>
      </w:r>
    </w:p>
    <w:p w14:paraId="0FC260EF" w14:textId="6DF17159" w:rsidR="00E228A7" w:rsidRPr="00D7790E" w:rsidRDefault="006464D7" w:rsidP="00E228A7">
      <w:r w:rsidRPr="00D7790E">
        <w:t>The Australian National Audit Office</w:t>
      </w:r>
      <w:r w:rsidR="00953D06">
        <w:t xml:space="preserve"> </w:t>
      </w:r>
      <w:r w:rsidRPr="00D7790E">
        <w:t>(ANAO)</w:t>
      </w:r>
      <w:r w:rsidR="00953D06">
        <w:t xml:space="preserve"> </w:t>
      </w:r>
      <w:r w:rsidRPr="00D7790E">
        <w:t>conducted an audit of</w:t>
      </w:r>
      <w:r w:rsidR="00953D06">
        <w:t xml:space="preserve"> </w:t>
      </w:r>
      <w:r w:rsidRPr="00D7790E">
        <w:t>the</w:t>
      </w:r>
      <w:r w:rsidR="00953D06">
        <w:t xml:space="preserve"> </w:t>
      </w:r>
      <w:r w:rsidRPr="00D7790E">
        <w:t>NDIA’s annual performance statements</w:t>
      </w:r>
      <w:r w:rsidR="00953D06">
        <w:t xml:space="preserve"> </w:t>
      </w:r>
      <w:r w:rsidRPr="00D7790E">
        <w:t>for the</w:t>
      </w:r>
      <w:r w:rsidR="00953D06">
        <w:t xml:space="preserve"> </w:t>
      </w:r>
      <w:r w:rsidRPr="00D7790E">
        <w:t>2025–26</w:t>
      </w:r>
      <w:r w:rsidR="00953D06">
        <w:t xml:space="preserve"> </w:t>
      </w:r>
      <w:r w:rsidRPr="00D7790E">
        <w:t>financial year.</w:t>
      </w:r>
    </w:p>
    <w:p w14:paraId="2F0D65BA" w14:textId="77777777" w:rsidR="00E228A7" w:rsidRPr="00D7790E" w:rsidRDefault="00E228A7" w:rsidP="00E228A7">
      <w:pPr>
        <w:pStyle w:val="Heading3"/>
      </w:pPr>
      <w:bookmarkStart w:id="31" w:name="_Toc226723908"/>
      <w:bookmarkStart w:id="32" w:name="_Toc231466319"/>
      <w:bookmarkStart w:id="33" w:name="_Toc241826719"/>
      <w:r w:rsidRPr="00D7790E">
        <w:t>2.3 The NDIA annual performance statements</w:t>
      </w:r>
      <w:bookmarkEnd w:id="31"/>
      <w:bookmarkEnd w:id="32"/>
      <w:bookmarkEnd w:id="33"/>
    </w:p>
    <w:p w14:paraId="1BBC37F5" w14:textId="6AA8671D" w:rsidR="009B2AF8" w:rsidRPr="00C606BB" w:rsidRDefault="009B2AF8" w:rsidP="00C606BB">
      <w:r w:rsidRPr="00C606BB">
        <w:t>The annual performance statements</w:t>
      </w:r>
      <w:r w:rsidR="00953D06">
        <w:t xml:space="preserve"> </w:t>
      </w:r>
      <w:r w:rsidRPr="00C606BB">
        <w:t>aim to</w:t>
      </w:r>
      <w:r w:rsidR="00953D06">
        <w:t xml:space="preserve"> </w:t>
      </w:r>
      <w:r w:rsidRPr="00C606BB">
        <w:t>provide</w:t>
      </w:r>
      <w:r w:rsidR="00953D06">
        <w:t xml:space="preserve"> </w:t>
      </w:r>
      <w:r w:rsidRPr="00C606BB">
        <w:t>clear</w:t>
      </w:r>
      <w:r w:rsidR="00953D06">
        <w:t xml:space="preserve"> </w:t>
      </w:r>
      <w:r w:rsidRPr="00C606BB">
        <w:t>performance information to the Australian public on how</w:t>
      </w:r>
      <w:r w:rsidR="00953D06">
        <w:t xml:space="preserve"> </w:t>
      </w:r>
      <w:r w:rsidRPr="00C606BB">
        <w:t>the NDIA is</w:t>
      </w:r>
      <w:r w:rsidR="00953D06">
        <w:t xml:space="preserve"> </w:t>
      </w:r>
      <w:r w:rsidRPr="00C606BB">
        <w:t>delivering the</w:t>
      </w:r>
      <w:r w:rsidR="00953D06">
        <w:t xml:space="preserve"> </w:t>
      </w:r>
      <w:r w:rsidRPr="00C606BB">
        <w:t>NDIS. The</w:t>
      </w:r>
      <w:r w:rsidR="00953D06">
        <w:t xml:space="preserve"> </w:t>
      </w:r>
      <w:r w:rsidRPr="00C606BB">
        <w:t>performance</w:t>
      </w:r>
      <w:r w:rsidR="00953D06">
        <w:t xml:space="preserve"> </w:t>
      </w:r>
      <w:r w:rsidRPr="00C606BB">
        <w:t>statements</w:t>
      </w:r>
      <w:r w:rsidR="00953D06">
        <w:t xml:space="preserve"> </w:t>
      </w:r>
      <w:r w:rsidRPr="00C606BB">
        <w:t>outline</w:t>
      </w:r>
      <w:r w:rsidR="00953D06">
        <w:t xml:space="preserve"> </w:t>
      </w:r>
      <w:r w:rsidRPr="00C606BB">
        <w:t>our achievements</w:t>
      </w:r>
      <w:r w:rsidR="00C95BFB">
        <w:t xml:space="preserve"> </w:t>
      </w:r>
      <w:r w:rsidRPr="00C606BB">
        <w:t>in</w:t>
      </w:r>
      <w:r w:rsidR="00C95BFB">
        <w:t xml:space="preserve"> </w:t>
      </w:r>
      <w:r w:rsidRPr="00C606BB">
        <w:t>the</w:t>
      </w:r>
      <w:r w:rsidR="00C95BFB">
        <w:t xml:space="preserve"> </w:t>
      </w:r>
      <w:r w:rsidRPr="00C606BB">
        <w:t>past 12</w:t>
      </w:r>
      <w:r w:rsidR="006E02BF" w:rsidRPr="00C606BB">
        <w:t> </w:t>
      </w:r>
      <w:r w:rsidRPr="00C606BB">
        <w:t>months</w:t>
      </w:r>
      <w:r w:rsidR="00C95BFB">
        <w:t xml:space="preserve"> </w:t>
      </w:r>
      <w:r w:rsidRPr="00C606BB">
        <w:t>towards</w:t>
      </w:r>
      <w:r w:rsidR="00C95BFB">
        <w:t xml:space="preserve"> </w:t>
      </w:r>
      <w:r w:rsidRPr="00C606BB">
        <w:t>the</w:t>
      </w:r>
      <w:r w:rsidR="00C95BFB">
        <w:t xml:space="preserve"> </w:t>
      </w:r>
      <w:r w:rsidRPr="00C606BB">
        <w:t>strategic direction</w:t>
      </w:r>
      <w:r w:rsidR="00C95BFB">
        <w:t xml:space="preserve"> </w:t>
      </w:r>
      <w:r w:rsidRPr="00C606BB">
        <w:t>set out in the</w:t>
      </w:r>
      <w:r w:rsidR="00C95BFB">
        <w:t xml:space="preserve"> </w:t>
      </w:r>
      <w:r w:rsidRPr="00C606BB">
        <w:t>NDIA Corporate Plan 2025–26.</w:t>
      </w:r>
    </w:p>
    <w:p w14:paraId="167E8DDE" w14:textId="7BCCF7A0" w:rsidR="009B2AF8" w:rsidRPr="00C606BB" w:rsidRDefault="009B2AF8" w:rsidP="00C606BB">
      <w:r w:rsidRPr="00C606BB">
        <w:t>The annual performance statements assess performance against</w:t>
      </w:r>
      <w:r w:rsidR="00953D06">
        <w:t xml:space="preserve"> </w:t>
      </w:r>
      <w:r w:rsidRPr="00C606BB">
        <w:t>3</w:t>
      </w:r>
      <w:r w:rsidR="00953D06">
        <w:t xml:space="preserve"> </w:t>
      </w:r>
      <w:r w:rsidRPr="00C606BB">
        <w:t>key activities</w:t>
      </w:r>
      <w:r w:rsidR="00953D06">
        <w:t xml:space="preserve"> </w:t>
      </w:r>
      <w:r w:rsidRPr="00C606BB">
        <w:t>that</w:t>
      </w:r>
      <w:r w:rsidR="00953D06">
        <w:t xml:space="preserve"> </w:t>
      </w:r>
      <w:r w:rsidRPr="00C606BB">
        <w:t>support the achievement of the NDIA’s</w:t>
      </w:r>
      <w:r w:rsidR="00953D06">
        <w:t xml:space="preserve"> </w:t>
      </w:r>
      <w:r w:rsidRPr="00C606BB">
        <w:t>legislated functions.</w:t>
      </w:r>
      <w:r w:rsidR="00953D06">
        <w:t xml:space="preserve"> </w:t>
      </w:r>
      <w:r w:rsidRPr="00C606BB">
        <w:t>These functions,</w:t>
      </w:r>
      <w:r w:rsidR="00953D06">
        <w:t xml:space="preserve"> </w:t>
      </w:r>
      <w:r w:rsidRPr="00C606BB">
        <w:t>together</w:t>
      </w:r>
      <w:r w:rsidR="00953D06">
        <w:t xml:space="preserve"> </w:t>
      </w:r>
      <w:r w:rsidRPr="00C606BB">
        <w:t>with associated</w:t>
      </w:r>
      <w:r w:rsidR="00953D06">
        <w:t xml:space="preserve"> </w:t>
      </w:r>
      <w:r w:rsidRPr="00C606BB">
        <w:t>programs and key activities,</w:t>
      </w:r>
      <w:r w:rsidR="00953D06">
        <w:t xml:space="preserve"> </w:t>
      </w:r>
      <w:r w:rsidRPr="00C606BB">
        <w:t xml:space="preserve">are </w:t>
      </w:r>
      <w:r w:rsidR="002840AE" w:rsidRPr="00C606BB">
        <w:t xml:space="preserve">set out </w:t>
      </w:r>
      <w:r w:rsidR="00DB697A">
        <w:t xml:space="preserve">in </w:t>
      </w:r>
      <w:r w:rsidR="00135E07">
        <w:t>s</w:t>
      </w:r>
      <w:r w:rsidR="00DB697A">
        <w:t>ection 1.4</w:t>
      </w:r>
      <w:r w:rsidR="008F2301">
        <w:t>,</w:t>
      </w:r>
      <w:r w:rsidR="00DB697A">
        <w:t xml:space="preserve"> </w:t>
      </w:r>
      <w:r w:rsidR="008F2301">
        <w:t>‘</w:t>
      </w:r>
      <w:r w:rsidR="00DB697A">
        <w:t>The National Disability Insurance Agency</w:t>
      </w:r>
      <w:r w:rsidR="008F2301">
        <w:t>’</w:t>
      </w:r>
      <w:r w:rsidR="00953D06">
        <w:t xml:space="preserve"> </w:t>
      </w:r>
      <w:r w:rsidRPr="00C606BB">
        <w:t>of this report.</w:t>
      </w:r>
    </w:p>
    <w:p w14:paraId="30044D30" w14:textId="27301C7E" w:rsidR="00E228A7" w:rsidRPr="00C606BB" w:rsidRDefault="009B2AF8" w:rsidP="002D3A0D">
      <w:pPr>
        <w:pStyle w:val="paragraph"/>
        <w:spacing w:before="0" w:beforeAutospacing="0" w:after="0" w:afterAutospacing="0" w:line="360" w:lineRule="auto"/>
        <w:textAlignment w:val="baseline"/>
        <w:rPr>
          <w:rStyle w:val="normaltextrun"/>
          <w:rFonts w:ascii="Arial" w:hAnsi="Arial" w:cs="Arial"/>
        </w:rPr>
      </w:pPr>
      <w:r w:rsidRPr="00D7790E">
        <w:rPr>
          <w:rStyle w:val="normaltextrun"/>
          <w:rFonts w:ascii="Arial" w:hAnsi="Arial" w:cs="Arial"/>
        </w:rPr>
        <w:t>To assess the NDIA’s effectiveness in delivering the NDIS, performance measures should be considered collectively rather than individually.</w:t>
      </w:r>
    </w:p>
    <w:p w14:paraId="52C1DF02" w14:textId="77777777" w:rsidR="00E228A7" w:rsidRPr="00D7790E" w:rsidRDefault="00E228A7" w:rsidP="00E228A7">
      <w:pPr>
        <w:pStyle w:val="Heading4"/>
      </w:pPr>
      <w:r w:rsidRPr="00D7790E">
        <w:t>Overall performance toward our outcome</w:t>
      </w:r>
    </w:p>
    <w:p w14:paraId="0ADE75EB" w14:textId="3992C0DF" w:rsidR="007C1078" w:rsidRPr="00D7790E" w:rsidRDefault="007C1078" w:rsidP="007C1078">
      <w:r w:rsidRPr="00D7790E">
        <w:t xml:space="preserve">The NDIA’s performance for 2025–26 </w:t>
      </w:r>
      <w:r w:rsidR="00D7790E">
        <w:t xml:space="preserve">demonstrates </w:t>
      </w:r>
      <w:r w:rsidR="002840AE" w:rsidRPr="00D7790E">
        <w:t xml:space="preserve">that we have made </w:t>
      </w:r>
      <w:r w:rsidRPr="00D7790E">
        <w:t>steady progress in delivering</w:t>
      </w:r>
      <w:r w:rsidR="00953D06">
        <w:t xml:space="preserve"> </w:t>
      </w:r>
      <w:r w:rsidRPr="00D7790E">
        <w:t>our</w:t>
      </w:r>
      <w:r w:rsidR="00953D06">
        <w:t xml:space="preserve"> </w:t>
      </w:r>
      <w:r w:rsidRPr="00D7790E">
        <w:t>priorities and strengthening</w:t>
      </w:r>
      <w:r w:rsidR="00953D06">
        <w:t xml:space="preserve"> </w:t>
      </w:r>
      <w:r w:rsidRPr="00D7790E">
        <w:t>the</w:t>
      </w:r>
      <w:r w:rsidR="00953D06">
        <w:t xml:space="preserve"> </w:t>
      </w:r>
      <w:r w:rsidRPr="00D7790E">
        <w:t>integrity</w:t>
      </w:r>
      <w:r w:rsidR="00953D06">
        <w:t xml:space="preserve"> </w:t>
      </w:r>
      <w:r w:rsidRPr="00D7790E">
        <w:t>of the NDIS.</w:t>
      </w:r>
      <w:r w:rsidR="00953D06">
        <w:t xml:space="preserve"> </w:t>
      </w:r>
      <w:r w:rsidRPr="00D7790E">
        <w:t xml:space="preserve">It also </w:t>
      </w:r>
      <w:r w:rsidR="002840AE" w:rsidRPr="00D7790E">
        <w:t xml:space="preserve">reveals the </w:t>
      </w:r>
      <w:r w:rsidRPr="00D7790E">
        <w:t xml:space="preserve">ongoing challenges </w:t>
      </w:r>
      <w:r w:rsidR="002840AE" w:rsidRPr="00D7790E">
        <w:t xml:space="preserve">we face </w:t>
      </w:r>
      <w:r w:rsidRPr="00D7790E">
        <w:t>in</w:t>
      </w:r>
      <w:r w:rsidR="00463231">
        <w:t xml:space="preserve"> </w:t>
      </w:r>
      <w:r w:rsidRPr="00D7790E">
        <w:t>improving the</w:t>
      </w:r>
      <w:r w:rsidR="00463231">
        <w:t xml:space="preserve"> </w:t>
      </w:r>
      <w:r w:rsidRPr="00D7790E">
        <w:t>participant experience and financial sustainability.</w:t>
      </w:r>
      <w:r w:rsidR="00463231">
        <w:t xml:space="preserve"> </w:t>
      </w:r>
      <w:r w:rsidRPr="00D7790E">
        <w:t xml:space="preserve">Of the 14 performance measures in the NDIA Corporate Plan 2025–26, </w:t>
      </w:r>
      <w:r w:rsidR="002840AE" w:rsidRPr="00D7790E">
        <w:t xml:space="preserve">we achieved </w:t>
      </w:r>
      <w:r w:rsidRPr="00D7790E">
        <w:t xml:space="preserve">7 measures and </w:t>
      </w:r>
      <w:r w:rsidR="002840AE" w:rsidRPr="00D7790E">
        <w:t xml:space="preserve">did not achieve </w:t>
      </w:r>
      <w:r w:rsidRPr="00D7790E">
        <w:t>6 measures.</w:t>
      </w:r>
      <w:r w:rsidR="00463231">
        <w:t xml:space="preserve"> </w:t>
      </w:r>
      <w:r w:rsidRPr="00D7790E">
        <w:t>There was no result for one measure</w:t>
      </w:r>
      <w:r w:rsidR="006E02BF" w:rsidRPr="00D7790E">
        <w:t>,</w:t>
      </w:r>
      <w:r w:rsidR="00463231">
        <w:t xml:space="preserve"> </w:t>
      </w:r>
      <w:r w:rsidRPr="00D7790E">
        <w:t>as there was no</w:t>
      </w:r>
      <w:r w:rsidR="00463231">
        <w:t xml:space="preserve"> </w:t>
      </w:r>
      <w:r w:rsidRPr="00D7790E">
        <w:t>established baseline target</w:t>
      </w:r>
      <w:r w:rsidR="00463231">
        <w:t xml:space="preserve"> </w:t>
      </w:r>
      <w:r w:rsidRPr="00D7790E">
        <w:t>for 2025</w:t>
      </w:r>
      <w:r w:rsidR="00FE794C" w:rsidRPr="00D7790E">
        <w:t>–</w:t>
      </w:r>
      <w:r w:rsidRPr="00D7790E">
        <w:t>26.</w:t>
      </w:r>
    </w:p>
    <w:p w14:paraId="135E6DF3" w14:textId="43DE6526" w:rsidR="007C1078" w:rsidRPr="00D7790E" w:rsidRDefault="007C1078" w:rsidP="007C1078">
      <w:r w:rsidRPr="00D7790E">
        <w:rPr>
          <w:lang w:val="en-GB"/>
        </w:rPr>
        <w:t>The NDIA is</w:t>
      </w:r>
      <w:r w:rsidR="00463231">
        <w:rPr>
          <w:lang w:val="en-GB"/>
        </w:rPr>
        <w:t xml:space="preserve"> </w:t>
      </w:r>
      <w:r w:rsidRPr="00D7790E">
        <w:rPr>
          <w:lang w:val="en-GB"/>
        </w:rPr>
        <w:t>operating</w:t>
      </w:r>
      <w:r w:rsidR="00463231">
        <w:rPr>
          <w:lang w:val="en-GB"/>
        </w:rPr>
        <w:t xml:space="preserve"> </w:t>
      </w:r>
      <w:r w:rsidRPr="00D7790E">
        <w:rPr>
          <w:lang w:val="en-GB"/>
        </w:rPr>
        <w:t>during a period of major reform.</w:t>
      </w:r>
      <w:r w:rsidR="00463231">
        <w:rPr>
          <w:lang w:val="en-GB"/>
        </w:rPr>
        <w:t xml:space="preserve"> </w:t>
      </w:r>
      <w:r w:rsidR="002840AE" w:rsidRPr="00D7790E">
        <w:t>Our p</w:t>
      </w:r>
      <w:r w:rsidRPr="00D7790E">
        <w:t>erformance outcomes this year were shaped by</w:t>
      </w:r>
      <w:r w:rsidR="00D7790E">
        <w:t xml:space="preserve"> </w:t>
      </w:r>
      <w:r w:rsidRPr="00D7790E">
        <w:rPr>
          <w:lang w:val="en-GB"/>
        </w:rPr>
        <w:t>changes</w:t>
      </w:r>
      <w:r w:rsidR="00463231">
        <w:rPr>
          <w:lang w:val="en-GB"/>
        </w:rPr>
        <w:t xml:space="preserve"> </w:t>
      </w:r>
      <w:r w:rsidR="00D7790E">
        <w:rPr>
          <w:lang w:val="en-GB"/>
        </w:rPr>
        <w:t xml:space="preserve">introduced </w:t>
      </w:r>
      <w:r w:rsidRPr="00D7790E">
        <w:rPr>
          <w:lang w:val="en-GB"/>
        </w:rPr>
        <w:t>to ensure the NDIS</w:t>
      </w:r>
      <w:r w:rsidR="00D7790E">
        <w:rPr>
          <w:lang w:val="en-GB"/>
        </w:rPr>
        <w:t xml:space="preserve"> </w:t>
      </w:r>
      <w:r w:rsidRPr="00D7790E">
        <w:rPr>
          <w:lang w:val="en-GB"/>
        </w:rPr>
        <w:t>remains</w:t>
      </w:r>
      <w:r w:rsidR="00D7790E">
        <w:rPr>
          <w:lang w:val="en-GB"/>
        </w:rPr>
        <w:t xml:space="preserve"> </w:t>
      </w:r>
      <w:r w:rsidRPr="00D7790E">
        <w:rPr>
          <w:lang w:val="en-GB"/>
        </w:rPr>
        <w:t>sustainable and focused on supporting eligible Australians with disability</w:t>
      </w:r>
      <w:r w:rsidRPr="00D7790E">
        <w:t xml:space="preserve">. The NDIA </w:t>
      </w:r>
      <w:r w:rsidR="002C2694">
        <w:t>is</w:t>
      </w:r>
      <w:r w:rsidRPr="00D7790E">
        <w:t xml:space="preserve"> work</w:t>
      </w:r>
      <w:r w:rsidR="002C2694">
        <w:t>ing</w:t>
      </w:r>
      <w:r w:rsidRPr="00D7790E">
        <w:t xml:space="preserve"> closely with government and the Department of Health, Disability and </w:t>
      </w:r>
      <w:r w:rsidRPr="001C4D78">
        <w:t xml:space="preserve">Ageing </w:t>
      </w:r>
      <w:r w:rsidRPr="00DC27D8">
        <w:t>(DHDA)</w:t>
      </w:r>
      <w:r w:rsidRPr="001C4D78">
        <w:t xml:space="preserve"> to help</w:t>
      </w:r>
      <w:r w:rsidRPr="00D7790E">
        <w:t xml:space="preserve"> explain and deliver the changes.</w:t>
      </w:r>
    </w:p>
    <w:p w14:paraId="28ACB1E2" w14:textId="72CA8420" w:rsidR="007C1078" w:rsidRPr="00D7790E" w:rsidRDefault="007C1078" w:rsidP="007C1078">
      <w:r w:rsidRPr="00D7790E">
        <w:t>For</w:t>
      </w:r>
      <w:r w:rsidR="00463231">
        <w:t xml:space="preserve"> </w:t>
      </w:r>
      <w:r w:rsidR="00AB52E2" w:rsidRPr="00D7790E">
        <w:t>k</w:t>
      </w:r>
      <w:r w:rsidRPr="00D7790E">
        <w:t>ey</w:t>
      </w:r>
      <w:r w:rsidR="00463231">
        <w:t xml:space="preserve"> </w:t>
      </w:r>
      <w:r w:rsidRPr="00D7790E">
        <w:t>activity 1</w:t>
      </w:r>
      <w:r w:rsidR="00463231">
        <w:t xml:space="preserve"> </w:t>
      </w:r>
      <w:r w:rsidRPr="00D7790E">
        <w:t>of the corporate plan,</w:t>
      </w:r>
      <w:r w:rsidR="00463231">
        <w:t xml:space="preserve"> </w:t>
      </w:r>
      <w:r w:rsidRPr="00D7790E">
        <w:t>employment outcomes and the inclusion of community and mainstream</w:t>
      </w:r>
      <w:r w:rsidR="00463231">
        <w:t xml:space="preserve"> </w:t>
      </w:r>
      <w:r w:rsidRPr="00D7790E">
        <w:t>supports</w:t>
      </w:r>
      <w:r w:rsidR="00463231">
        <w:t xml:space="preserve"> </w:t>
      </w:r>
      <w:r w:rsidRPr="00D7790E">
        <w:t>in participant plans exceeded targets,</w:t>
      </w:r>
      <w:r w:rsidR="00463231">
        <w:t xml:space="preserve"> </w:t>
      </w:r>
      <w:r w:rsidRPr="00D7790E">
        <w:t>indicating</w:t>
      </w:r>
      <w:r w:rsidR="00463231">
        <w:t xml:space="preserve"> </w:t>
      </w:r>
      <w:r w:rsidRPr="00D7790E">
        <w:t>strong access to supports. However, participant satisfaction, social and community engagement, and progress towards goals remained below target.</w:t>
      </w:r>
      <w:r w:rsidR="00463231">
        <w:t xml:space="preserve"> </w:t>
      </w:r>
      <w:r w:rsidRPr="00D7790E">
        <w:t>This</w:t>
      </w:r>
      <w:r w:rsidR="00463231">
        <w:t xml:space="preserve"> </w:t>
      </w:r>
      <w:r w:rsidRPr="00D7790E">
        <w:t>highlights</w:t>
      </w:r>
      <w:r w:rsidR="00463231">
        <w:t xml:space="preserve"> </w:t>
      </w:r>
      <w:r w:rsidRPr="00D7790E">
        <w:t>the</w:t>
      </w:r>
      <w:r w:rsidR="00463231">
        <w:t xml:space="preserve"> </w:t>
      </w:r>
      <w:r w:rsidRPr="00D7790E">
        <w:t xml:space="preserve">challenges in translating </w:t>
      </w:r>
      <w:r w:rsidR="002840AE" w:rsidRPr="00D7790E">
        <w:t xml:space="preserve">access to </w:t>
      </w:r>
      <w:r w:rsidRPr="00D7790E">
        <w:t>supports into</w:t>
      </w:r>
      <w:r w:rsidR="00463231">
        <w:t xml:space="preserve"> </w:t>
      </w:r>
      <w:r w:rsidRPr="00D7790E">
        <w:t>better</w:t>
      </w:r>
      <w:r w:rsidR="00463231">
        <w:t xml:space="preserve"> </w:t>
      </w:r>
      <w:r w:rsidRPr="00D7790E">
        <w:t>experiences and outcomes.</w:t>
      </w:r>
    </w:p>
    <w:p w14:paraId="04310432" w14:textId="6F3B18AB" w:rsidR="007C1078" w:rsidRPr="00D7790E" w:rsidRDefault="007C1078" w:rsidP="007C1078">
      <w:r w:rsidRPr="00D7790E">
        <w:t>Financial</w:t>
      </w:r>
      <w:r w:rsidR="00463231">
        <w:t xml:space="preserve"> </w:t>
      </w:r>
      <w:r w:rsidRPr="00D7790E">
        <w:t>sustainability performance</w:t>
      </w:r>
      <w:r w:rsidR="00463231">
        <w:t xml:space="preserve"> </w:t>
      </w:r>
      <w:r w:rsidRPr="00D7790E">
        <w:t>was</w:t>
      </w:r>
      <w:r w:rsidR="00463231">
        <w:t xml:space="preserve"> </w:t>
      </w:r>
      <w:r w:rsidRPr="00D7790E">
        <w:t>stable, with average participant payments tracking as expected. However,</w:t>
      </w:r>
      <w:r w:rsidR="00463231">
        <w:t xml:space="preserve"> </w:t>
      </w:r>
      <w:r w:rsidRPr="00D7790E">
        <w:t>growth</w:t>
      </w:r>
      <w:r w:rsidR="00463231">
        <w:t xml:space="preserve"> </w:t>
      </w:r>
      <w:r w:rsidRPr="00D7790E">
        <w:t>of</w:t>
      </w:r>
      <w:r w:rsidR="00463231">
        <w:t xml:space="preserve"> </w:t>
      </w:r>
      <w:r w:rsidRPr="00D7790E">
        <w:t>Scheme expenses</w:t>
      </w:r>
      <w:r w:rsidR="00463231">
        <w:t xml:space="preserve"> </w:t>
      </w:r>
      <w:r w:rsidRPr="00D7790E">
        <w:t>exceeded the target,</w:t>
      </w:r>
      <w:r w:rsidR="00463231">
        <w:t xml:space="preserve"> </w:t>
      </w:r>
      <w:r w:rsidRPr="00D7790E">
        <w:t>indicating</w:t>
      </w:r>
      <w:r w:rsidR="00463231">
        <w:t xml:space="preserve"> </w:t>
      </w:r>
      <w:r w:rsidRPr="00D7790E">
        <w:t>ongoing pressure on long-term sustainability.</w:t>
      </w:r>
      <w:r w:rsidR="00463231">
        <w:t xml:space="preserve"> </w:t>
      </w:r>
      <w:r w:rsidR="002840AE" w:rsidRPr="00D7790E">
        <w:t>In 2025</w:t>
      </w:r>
      <w:r w:rsidR="002D6771">
        <w:t>–</w:t>
      </w:r>
      <w:r w:rsidR="002840AE" w:rsidRPr="00D7790E">
        <w:t>26 we continued to c</w:t>
      </w:r>
      <w:r w:rsidRPr="00D7790E">
        <w:t>omplete integrity checks on claims for payment to</w:t>
      </w:r>
      <w:r w:rsidR="00463231">
        <w:t xml:space="preserve"> </w:t>
      </w:r>
      <w:r w:rsidRPr="00D7790E">
        <w:t>safeguard the</w:t>
      </w:r>
      <w:r w:rsidR="00463231">
        <w:t xml:space="preserve"> </w:t>
      </w:r>
      <w:r w:rsidRPr="00D7790E">
        <w:t>integrity</w:t>
      </w:r>
      <w:r w:rsidR="00463231">
        <w:t xml:space="preserve"> </w:t>
      </w:r>
      <w:r w:rsidRPr="00D7790E">
        <w:t>of the NDIS.</w:t>
      </w:r>
    </w:p>
    <w:p w14:paraId="677AA484" w14:textId="3F347D2F" w:rsidR="007C1078" w:rsidRPr="00D7790E" w:rsidRDefault="007C1078" w:rsidP="007C1078">
      <w:r w:rsidRPr="00D7790E">
        <w:t>For</w:t>
      </w:r>
      <w:r w:rsidR="00463231">
        <w:t xml:space="preserve"> </w:t>
      </w:r>
      <w:r w:rsidR="00AB52E2" w:rsidRPr="00D7790E">
        <w:t>k</w:t>
      </w:r>
      <w:r w:rsidRPr="00D7790E">
        <w:t>ey</w:t>
      </w:r>
      <w:r w:rsidR="00463231">
        <w:t xml:space="preserve"> </w:t>
      </w:r>
      <w:r w:rsidRPr="00D7790E">
        <w:t>activity 2,</w:t>
      </w:r>
      <w:r w:rsidR="00463231">
        <w:t xml:space="preserve"> </w:t>
      </w:r>
      <w:r w:rsidRPr="00D7790E">
        <w:t>performance was strong overall.</w:t>
      </w:r>
      <w:r w:rsidR="00463231">
        <w:t xml:space="preserve"> </w:t>
      </w:r>
      <w:r w:rsidRPr="00D7790E">
        <w:t>We</w:t>
      </w:r>
      <w:r w:rsidR="00463231">
        <w:t xml:space="preserve"> </w:t>
      </w:r>
      <w:r w:rsidRPr="00D7790E">
        <w:t>exceeded our workforce diversity target,</w:t>
      </w:r>
      <w:r w:rsidR="00463231">
        <w:t xml:space="preserve"> </w:t>
      </w:r>
      <w:r w:rsidRPr="00D7790E">
        <w:t>delivered</w:t>
      </w:r>
      <w:r w:rsidR="00463231">
        <w:t xml:space="preserve"> </w:t>
      </w:r>
      <w:r w:rsidRPr="00D7790E">
        <w:t>payments</w:t>
      </w:r>
      <w:r w:rsidR="00463231">
        <w:t xml:space="preserve"> </w:t>
      </w:r>
      <w:r w:rsidRPr="00D7790E">
        <w:t>and reports</w:t>
      </w:r>
      <w:r w:rsidR="00463231">
        <w:t xml:space="preserve"> </w:t>
      </w:r>
      <w:r w:rsidRPr="00D7790E">
        <w:t>on time, and</w:t>
      </w:r>
      <w:r w:rsidR="00463231">
        <w:t xml:space="preserve"> </w:t>
      </w:r>
      <w:r w:rsidRPr="00D7790E">
        <w:t>resolved callers’</w:t>
      </w:r>
      <w:r w:rsidR="00463231">
        <w:t xml:space="preserve"> </w:t>
      </w:r>
      <w:r w:rsidRPr="00D7790E">
        <w:t>requests</w:t>
      </w:r>
      <w:r w:rsidR="00463231">
        <w:t xml:space="preserve"> </w:t>
      </w:r>
      <w:r w:rsidRPr="00D7790E">
        <w:t>at</w:t>
      </w:r>
      <w:r w:rsidR="00463231">
        <w:t xml:space="preserve"> </w:t>
      </w:r>
      <w:r w:rsidRPr="00D7790E">
        <w:t>their</w:t>
      </w:r>
      <w:r w:rsidR="00463231">
        <w:t xml:space="preserve"> </w:t>
      </w:r>
      <w:r w:rsidRPr="00D7790E">
        <w:t>first contact</w:t>
      </w:r>
      <w:r w:rsidR="00463231">
        <w:t xml:space="preserve"> </w:t>
      </w:r>
      <w:r w:rsidRPr="00D7790E">
        <w:t>more often. However,</w:t>
      </w:r>
      <w:r w:rsidR="00463231">
        <w:t xml:space="preserve"> </w:t>
      </w:r>
      <w:r w:rsidRPr="00D7790E">
        <w:t>timeframes</w:t>
      </w:r>
      <w:r w:rsidR="00463231">
        <w:t xml:space="preserve"> </w:t>
      </w:r>
      <w:r w:rsidRPr="00D7790E">
        <w:t>for key NDIS processes</w:t>
      </w:r>
      <w:r w:rsidR="00463231">
        <w:t xml:space="preserve"> </w:t>
      </w:r>
      <w:r w:rsidRPr="00D7790E">
        <w:t>under the</w:t>
      </w:r>
      <w:r w:rsidR="00463231">
        <w:t xml:space="preserve"> </w:t>
      </w:r>
      <w:r w:rsidRPr="00994939">
        <w:t xml:space="preserve">Participant Service Guarantee </w:t>
      </w:r>
      <w:r w:rsidR="00994939" w:rsidRPr="00994939">
        <w:t>(PSG)</w:t>
      </w:r>
      <w:r w:rsidR="00994939">
        <w:t xml:space="preserve"> </w:t>
      </w:r>
      <w:r w:rsidRPr="00D7790E">
        <w:t>remained below target.</w:t>
      </w:r>
    </w:p>
    <w:p w14:paraId="67063830" w14:textId="375391D7" w:rsidR="007C1078" w:rsidRPr="00D7790E" w:rsidRDefault="007C1078" w:rsidP="007C1078">
      <w:r w:rsidRPr="00D7790E">
        <w:t>For</w:t>
      </w:r>
      <w:r w:rsidR="00463231">
        <w:t xml:space="preserve"> </w:t>
      </w:r>
      <w:r w:rsidR="00AB52E2" w:rsidRPr="00D7790E">
        <w:t>k</w:t>
      </w:r>
      <w:r w:rsidRPr="00D7790E">
        <w:t>ey</w:t>
      </w:r>
      <w:r w:rsidR="00463231">
        <w:t xml:space="preserve"> </w:t>
      </w:r>
      <w:r w:rsidRPr="00D7790E">
        <w:t>activity 3,</w:t>
      </w:r>
      <w:r w:rsidR="00463231">
        <w:t xml:space="preserve"> </w:t>
      </w:r>
      <w:r w:rsidRPr="00D7790E">
        <w:t>the NDIA delivered the annual pricing arrangements</w:t>
      </w:r>
      <w:r w:rsidR="00463231">
        <w:t xml:space="preserve"> </w:t>
      </w:r>
      <w:r w:rsidRPr="00D7790E">
        <w:t xml:space="preserve">and price </w:t>
      </w:r>
      <w:r w:rsidR="00173C39">
        <w:t>guidance</w:t>
      </w:r>
      <w:r w:rsidRPr="00D7790E">
        <w:t>, supporting market transparency and</w:t>
      </w:r>
      <w:r w:rsidR="00463231">
        <w:t xml:space="preserve"> </w:t>
      </w:r>
      <w:r w:rsidRPr="00D7790E">
        <w:t>stability.</w:t>
      </w:r>
    </w:p>
    <w:p w14:paraId="7295334E" w14:textId="65287AE5" w:rsidR="00E228A7" w:rsidRPr="00D7790E" w:rsidRDefault="007C1078" w:rsidP="007C1078">
      <w:r w:rsidRPr="00D7790E">
        <w:t>Overall, the NDIA is performing strongly in operational delivery,</w:t>
      </w:r>
      <w:r w:rsidR="00463231">
        <w:t xml:space="preserve"> </w:t>
      </w:r>
      <w:r w:rsidRPr="00D7790E">
        <w:t>inclusion</w:t>
      </w:r>
      <w:r w:rsidR="00463231">
        <w:t xml:space="preserve"> </w:t>
      </w:r>
      <w:r w:rsidRPr="00D7790E">
        <w:t>and integrity</w:t>
      </w:r>
      <w:r w:rsidR="002840AE" w:rsidRPr="00D7790E">
        <w:t xml:space="preserve">. However, </w:t>
      </w:r>
      <w:r w:rsidRPr="00D7790E">
        <w:t>we need to</w:t>
      </w:r>
      <w:r w:rsidR="00463231">
        <w:t xml:space="preserve"> </w:t>
      </w:r>
      <w:r w:rsidRPr="00D7790E">
        <w:t>maintain</w:t>
      </w:r>
      <w:r w:rsidR="00463231">
        <w:t xml:space="preserve"> </w:t>
      </w:r>
      <w:r w:rsidRPr="00D7790E">
        <w:t>a</w:t>
      </w:r>
      <w:r w:rsidR="00463231">
        <w:t xml:space="preserve"> </w:t>
      </w:r>
      <w:r w:rsidRPr="00D7790E">
        <w:t>focus</w:t>
      </w:r>
      <w:r w:rsidR="00463231">
        <w:t xml:space="preserve"> </w:t>
      </w:r>
      <w:r w:rsidRPr="00D7790E">
        <w:t>on</w:t>
      </w:r>
      <w:r w:rsidR="00463231">
        <w:t xml:space="preserve"> </w:t>
      </w:r>
      <w:r w:rsidRPr="00D7790E">
        <w:t>improving</w:t>
      </w:r>
      <w:r w:rsidR="00463231">
        <w:t xml:space="preserve"> </w:t>
      </w:r>
      <w:r w:rsidRPr="00D7790E">
        <w:t>the</w:t>
      </w:r>
      <w:r w:rsidR="00463231">
        <w:t xml:space="preserve"> </w:t>
      </w:r>
      <w:r w:rsidRPr="00D7790E">
        <w:t>participant experience</w:t>
      </w:r>
      <w:r w:rsidR="00463231">
        <w:t xml:space="preserve"> </w:t>
      </w:r>
      <w:r w:rsidRPr="00D7790E">
        <w:t>and</w:t>
      </w:r>
      <w:r w:rsidR="00463231">
        <w:t xml:space="preserve"> </w:t>
      </w:r>
      <w:r w:rsidRPr="00D7790E">
        <w:t>service timeliness</w:t>
      </w:r>
      <w:r w:rsidR="000210D1">
        <w:t>;</w:t>
      </w:r>
      <w:r w:rsidRPr="00D7790E">
        <w:t xml:space="preserve"> and managing</w:t>
      </w:r>
      <w:r w:rsidR="00463231">
        <w:t xml:space="preserve"> </w:t>
      </w:r>
      <w:r w:rsidRPr="00D7790E">
        <w:t>sustainability.</w:t>
      </w:r>
    </w:p>
    <w:p w14:paraId="52B3EC81" w14:textId="63CD152C" w:rsidR="002027CB" w:rsidRPr="00D7790E" w:rsidRDefault="002027CB" w:rsidP="002D3A0D">
      <w:pPr>
        <w:pStyle w:val="Heading4"/>
      </w:pPr>
      <w:r w:rsidRPr="00D7790E">
        <w:t xml:space="preserve">Capability </w:t>
      </w:r>
      <w:r w:rsidR="00402A46" w:rsidRPr="00D7790E">
        <w:t>r</w:t>
      </w:r>
      <w:r w:rsidRPr="00D7790E">
        <w:t>equirements</w:t>
      </w:r>
    </w:p>
    <w:p w14:paraId="5B84E2E9" w14:textId="1C0F4928" w:rsidR="002027CB" w:rsidRPr="00D7790E" w:rsidRDefault="002027CB" w:rsidP="002027CB">
      <w:pPr>
        <w:spacing w:before="480" w:after="240"/>
      </w:pPr>
      <w:r w:rsidRPr="00D7790E">
        <w:t>The NDIA</w:t>
      </w:r>
      <w:r w:rsidR="00EC3FF8" w:rsidRPr="00D7790E">
        <w:t>’</w:t>
      </w:r>
      <w:r w:rsidRPr="00D7790E">
        <w:t xml:space="preserve">s ability to deliver the NDIS effectively depends on strong organisational capability. </w:t>
      </w:r>
      <w:r w:rsidR="005D34B3" w:rsidRPr="00D7790E">
        <w:t xml:space="preserve">Through </w:t>
      </w:r>
      <w:r w:rsidR="007B23A9" w:rsidRPr="00D7790E">
        <w:t xml:space="preserve">the </w:t>
      </w:r>
      <w:r w:rsidRPr="00D7790E">
        <w:t xml:space="preserve">capability priorities </w:t>
      </w:r>
      <w:r w:rsidR="001B1C43" w:rsidRPr="00D7790E">
        <w:t xml:space="preserve">set out </w:t>
      </w:r>
      <w:r w:rsidRPr="00D7790E">
        <w:t>in</w:t>
      </w:r>
      <w:r w:rsidR="00463231">
        <w:t xml:space="preserve"> </w:t>
      </w:r>
      <w:r w:rsidR="007B23A9" w:rsidRPr="00D7790E">
        <w:t xml:space="preserve">our </w:t>
      </w:r>
      <w:r w:rsidRPr="00D7790E">
        <w:t>corporate</w:t>
      </w:r>
      <w:r w:rsidR="00463231">
        <w:t xml:space="preserve"> </w:t>
      </w:r>
      <w:r w:rsidRPr="00D7790E">
        <w:t>plan, we continue to invest in the knowledge, skills and behaviours</w:t>
      </w:r>
      <w:r w:rsidR="00463231">
        <w:t xml:space="preserve"> </w:t>
      </w:r>
      <w:r w:rsidRPr="00D7790E">
        <w:t>required</w:t>
      </w:r>
      <w:r w:rsidR="00463231">
        <w:t xml:space="preserve"> </w:t>
      </w:r>
      <w:r w:rsidRPr="00D7790E">
        <w:t>to support participants</w:t>
      </w:r>
      <w:r w:rsidR="001B1C43" w:rsidRPr="00D7790E">
        <w:t xml:space="preserve"> </w:t>
      </w:r>
      <w:r w:rsidR="001B1C43" w:rsidRPr="00D7790E">
        <w:rPr>
          <w:rFonts w:ascii="Symbol" w:eastAsia="Symbol" w:hAnsi="Symbol" w:cs="Symbol"/>
        </w:rPr>
        <w:t>-</w:t>
      </w:r>
      <w:r w:rsidR="001B1C43" w:rsidRPr="00D7790E">
        <w:t xml:space="preserve"> in particular, </w:t>
      </w:r>
      <w:r w:rsidRPr="00D7790E">
        <w:t>our capability in</w:t>
      </w:r>
      <w:r w:rsidR="00463231">
        <w:t xml:space="preserve"> </w:t>
      </w:r>
      <w:r w:rsidRPr="00D7790E">
        <w:t>integrity, First Nations outcomes and early childhood practice.</w:t>
      </w:r>
    </w:p>
    <w:p w14:paraId="1401DA84" w14:textId="63A8730C" w:rsidR="002027CB" w:rsidRPr="00D7790E" w:rsidRDefault="002027CB" w:rsidP="002D3A0D">
      <w:pPr>
        <w:pStyle w:val="Heading5"/>
      </w:pPr>
      <w:r w:rsidRPr="00D7790E">
        <w:t>Integrity</w:t>
      </w:r>
    </w:p>
    <w:p w14:paraId="2628B393" w14:textId="515DA021" w:rsidR="002027CB" w:rsidRPr="00D7790E" w:rsidRDefault="002027CB" w:rsidP="002D3A0D">
      <w:pPr>
        <w:rPr>
          <w:bCs/>
        </w:rPr>
      </w:pPr>
      <w:r w:rsidRPr="00D7790E">
        <w:rPr>
          <w:bCs/>
        </w:rPr>
        <w:t>The NDIA</w:t>
      </w:r>
      <w:r w:rsidR="00463231">
        <w:rPr>
          <w:bCs/>
        </w:rPr>
        <w:t xml:space="preserve"> </w:t>
      </w:r>
      <w:r w:rsidRPr="00D7790E">
        <w:rPr>
          <w:bCs/>
        </w:rPr>
        <w:t>continues to focus on</w:t>
      </w:r>
      <w:r w:rsidR="00463231">
        <w:rPr>
          <w:bCs/>
        </w:rPr>
        <w:t xml:space="preserve"> </w:t>
      </w:r>
      <w:r w:rsidRPr="00D7790E">
        <w:rPr>
          <w:bCs/>
        </w:rPr>
        <w:t>the</w:t>
      </w:r>
      <w:r w:rsidR="00463231">
        <w:rPr>
          <w:bCs/>
        </w:rPr>
        <w:t xml:space="preserve"> </w:t>
      </w:r>
      <w:r w:rsidRPr="00D7790E">
        <w:rPr>
          <w:bCs/>
        </w:rPr>
        <w:t>integrity of the NDIS and</w:t>
      </w:r>
      <w:r w:rsidR="00463231">
        <w:rPr>
          <w:bCs/>
        </w:rPr>
        <w:t xml:space="preserve"> </w:t>
      </w:r>
      <w:r w:rsidRPr="00D7790E">
        <w:rPr>
          <w:bCs/>
        </w:rPr>
        <w:t>our</w:t>
      </w:r>
      <w:r w:rsidR="00463231">
        <w:rPr>
          <w:bCs/>
        </w:rPr>
        <w:t xml:space="preserve"> </w:t>
      </w:r>
      <w:r w:rsidRPr="00D7790E">
        <w:rPr>
          <w:bCs/>
          <w:lang w:val="en-GB"/>
        </w:rPr>
        <w:t>capability to detect, prevent and respond to fraud.</w:t>
      </w:r>
      <w:r w:rsidR="00463231">
        <w:rPr>
          <w:bCs/>
          <w:lang w:val="en-GB"/>
        </w:rPr>
        <w:t xml:space="preserve"> </w:t>
      </w:r>
      <w:r w:rsidRPr="00D7790E">
        <w:rPr>
          <w:bCs/>
        </w:rPr>
        <w:t>The</w:t>
      </w:r>
      <w:r w:rsidR="00463231">
        <w:rPr>
          <w:bCs/>
        </w:rPr>
        <w:t xml:space="preserve"> </w:t>
      </w:r>
      <w:r w:rsidRPr="00D7790E">
        <w:rPr>
          <w:bCs/>
          <w:i/>
          <w:iCs/>
        </w:rPr>
        <w:t>National Disability Insurance Scheme Amendment (Integrity and Safeguarding)</w:t>
      </w:r>
      <w:r w:rsidR="00463231">
        <w:rPr>
          <w:bCs/>
          <w:i/>
          <w:iCs/>
        </w:rPr>
        <w:t xml:space="preserve"> </w:t>
      </w:r>
      <w:r w:rsidRPr="00D7790E">
        <w:rPr>
          <w:bCs/>
          <w:i/>
          <w:iCs/>
        </w:rPr>
        <w:t>Act 2026</w:t>
      </w:r>
      <w:r w:rsidR="00463231">
        <w:rPr>
          <w:bCs/>
        </w:rPr>
        <w:t xml:space="preserve"> </w:t>
      </w:r>
      <w:r w:rsidRPr="00D7790E">
        <w:rPr>
          <w:bCs/>
        </w:rPr>
        <w:t>strengthen</w:t>
      </w:r>
      <w:r w:rsidR="007B23A9" w:rsidRPr="000C3DD5">
        <w:rPr>
          <w:bCs/>
        </w:rPr>
        <w:t>s</w:t>
      </w:r>
      <w:r w:rsidRPr="00D7790E">
        <w:rPr>
          <w:bCs/>
        </w:rPr>
        <w:t xml:space="preserve"> protections against fraud, exploitation and noncompliance and enhance</w:t>
      </w:r>
      <w:r w:rsidR="007B23A9" w:rsidRPr="00D7790E">
        <w:rPr>
          <w:bCs/>
        </w:rPr>
        <w:t>s</w:t>
      </w:r>
      <w:r w:rsidRPr="00D7790E">
        <w:rPr>
          <w:bCs/>
        </w:rPr>
        <w:t xml:space="preserve"> regulatory oversight</w:t>
      </w:r>
      <w:r w:rsidR="000210D1">
        <w:rPr>
          <w:bCs/>
        </w:rPr>
        <w:t xml:space="preserve">, enabling us </w:t>
      </w:r>
      <w:r w:rsidRPr="00D7790E">
        <w:rPr>
          <w:bCs/>
        </w:rPr>
        <w:t>to</w:t>
      </w:r>
      <w:r w:rsidR="00463231">
        <w:rPr>
          <w:bCs/>
        </w:rPr>
        <w:t xml:space="preserve"> </w:t>
      </w:r>
      <w:r w:rsidRPr="00D7790E">
        <w:rPr>
          <w:bCs/>
        </w:rPr>
        <w:t>identify</w:t>
      </w:r>
      <w:r w:rsidR="00463231">
        <w:rPr>
          <w:bCs/>
        </w:rPr>
        <w:t xml:space="preserve"> </w:t>
      </w:r>
      <w:r w:rsidRPr="00D7790E">
        <w:rPr>
          <w:bCs/>
        </w:rPr>
        <w:t>and manage risks more quickly. Performance reporting on integrity work will continue to expand in 2026–27 as performance information aligns with continued</w:t>
      </w:r>
      <w:r w:rsidR="00463231">
        <w:rPr>
          <w:bCs/>
        </w:rPr>
        <w:t xml:space="preserve"> </w:t>
      </w:r>
      <w:r w:rsidRPr="00D7790E">
        <w:rPr>
          <w:bCs/>
        </w:rPr>
        <w:t>system improvements and increased legislative protections.</w:t>
      </w:r>
    </w:p>
    <w:p w14:paraId="027DDC08" w14:textId="77777777" w:rsidR="002027CB" w:rsidRPr="00D7790E" w:rsidRDefault="002027CB" w:rsidP="002D3A0D">
      <w:pPr>
        <w:pStyle w:val="Heading5"/>
      </w:pPr>
      <w:r w:rsidRPr="00D7790E">
        <w:t>First Nations</w:t>
      </w:r>
    </w:p>
    <w:p w14:paraId="316ED947" w14:textId="35308423" w:rsidR="002027CB" w:rsidRPr="00D7790E" w:rsidRDefault="002027CB" w:rsidP="002027CB">
      <w:r w:rsidRPr="00D7790E">
        <w:t>The NDIA is committed to improving equity,</w:t>
      </w:r>
      <w:r w:rsidR="00463231">
        <w:t xml:space="preserve"> </w:t>
      </w:r>
      <w:r w:rsidRPr="00D7790E">
        <w:t>access</w:t>
      </w:r>
      <w:r w:rsidR="00463231">
        <w:t xml:space="preserve"> </w:t>
      </w:r>
      <w:r w:rsidRPr="00D7790E">
        <w:t>and outcomes for First Nations people with disability</w:t>
      </w:r>
      <w:r w:rsidR="00E81310">
        <w:t xml:space="preserve">. We are achieving this goal by implementing </w:t>
      </w:r>
      <w:r w:rsidRPr="00D7790E">
        <w:t>the</w:t>
      </w:r>
      <w:r w:rsidR="00463231">
        <w:t xml:space="preserve"> </w:t>
      </w:r>
      <w:r w:rsidRPr="00D7790E">
        <w:t>NDIS First Nations Strategy 2025–30</w:t>
      </w:r>
      <w:r w:rsidR="00463231">
        <w:t xml:space="preserve"> </w:t>
      </w:r>
      <w:r w:rsidRPr="00D7790E">
        <w:t>and support</w:t>
      </w:r>
      <w:r w:rsidR="00E81310">
        <w:t>ing</w:t>
      </w:r>
      <w:r w:rsidRPr="00D7790E">
        <w:t xml:space="preserve"> the National Agreement on Closing the Gap Priority Reforms.</w:t>
      </w:r>
    </w:p>
    <w:p w14:paraId="04923F62" w14:textId="373C9375" w:rsidR="002027CB" w:rsidRPr="00D7790E" w:rsidRDefault="002027CB" w:rsidP="002027CB">
      <w:r w:rsidRPr="00D7790E">
        <w:t xml:space="preserve">The </w:t>
      </w:r>
      <w:r w:rsidR="005D34B3" w:rsidRPr="00FD32D5">
        <w:t xml:space="preserve">NDIA </w:t>
      </w:r>
      <w:r w:rsidR="00436528" w:rsidRPr="00D7790E">
        <w:t xml:space="preserve">uses several reporting mechanisms to </w:t>
      </w:r>
      <w:r w:rsidRPr="00D7790E">
        <w:t>monitor First Nations peoples</w:t>
      </w:r>
      <w:r w:rsidR="005D34B3" w:rsidRPr="00D7790E">
        <w:t>’</w:t>
      </w:r>
      <w:r w:rsidRPr="00D7790E">
        <w:t xml:space="preserve"> access to and experience of the NDIS</w:t>
      </w:r>
      <w:r w:rsidR="00436528" w:rsidRPr="00D7790E">
        <w:t>.</w:t>
      </w:r>
      <w:r w:rsidRPr="00D7790E">
        <w:t xml:space="preserve"> </w:t>
      </w:r>
      <w:r w:rsidR="00436528" w:rsidRPr="00D7790E">
        <w:t xml:space="preserve">For example, </w:t>
      </w:r>
      <w:r w:rsidR="005D34B3" w:rsidRPr="00D7790E">
        <w:t xml:space="preserve">our </w:t>
      </w:r>
      <w:r w:rsidRPr="00D7790E">
        <w:t>Quarterly Report</w:t>
      </w:r>
      <w:r w:rsidR="005D34B3" w:rsidRPr="00D7790E">
        <w:t>s</w:t>
      </w:r>
      <w:r w:rsidR="00227874">
        <w:t xml:space="preserve"> to Disability Ministers</w:t>
      </w:r>
      <w:r w:rsidR="00436528" w:rsidRPr="00D7790E">
        <w:t xml:space="preserve"> </w:t>
      </w:r>
      <w:r w:rsidRPr="00D7790E">
        <w:t>track participation, access and outcomes over time and support ongoing improvements to policy, service</w:t>
      </w:r>
      <w:r w:rsidR="00463231">
        <w:t xml:space="preserve"> </w:t>
      </w:r>
      <w:r w:rsidRPr="00D7790E">
        <w:t>delivery</w:t>
      </w:r>
      <w:r w:rsidR="00463231">
        <w:t xml:space="preserve"> </w:t>
      </w:r>
      <w:r w:rsidRPr="00D7790E">
        <w:t xml:space="preserve">and participant experience. </w:t>
      </w:r>
    </w:p>
    <w:p w14:paraId="79963AC3" w14:textId="492E528E" w:rsidR="002027CB" w:rsidRPr="00D7790E" w:rsidRDefault="005D34B3" w:rsidP="002027CB">
      <w:r w:rsidRPr="00D7790E">
        <w:t>In 2025</w:t>
      </w:r>
      <w:r w:rsidR="00845BFA">
        <w:t>–</w:t>
      </w:r>
      <w:r w:rsidRPr="00D7790E">
        <w:t>26</w:t>
      </w:r>
      <w:r w:rsidR="002027CB" w:rsidRPr="00D7790E">
        <w:t xml:space="preserve"> work</w:t>
      </w:r>
      <w:r w:rsidR="00463231">
        <w:t xml:space="preserve"> </w:t>
      </w:r>
      <w:r w:rsidR="002027CB" w:rsidRPr="00D7790E">
        <w:t>continued on</w:t>
      </w:r>
      <w:r w:rsidR="00463231">
        <w:t xml:space="preserve"> </w:t>
      </w:r>
      <w:r w:rsidR="002027CB" w:rsidRPr="00D7790E">
        <w:t>monitoring,</w:t>
      </w:r>
      <w:r w:rsidR="00463231">
        <w:t xml:space="preserve"> </w:t>
      </w:r>
      <w:r w:rsidR="002027CB" w:rsidRPr="00D7790E">
        <w:t>evaluation</w:t>
      </w:r>
      <w:r w:rsidR="00463231">
        <w:t xml:space="preserve"> </w:t>
      </w:r>
      <w:r w:rsidR="002027CB" w:rsidRPr="00D7790E">
        <w:t xml:space="preserve">and impact frameworks to support implementation of the First Nations Strategy and related reforms. These frameworks will help </w:t>
      </w:r>
      <w:r w:rsidR="00436528" w:rsidRPr="00D7790E">
        <w:t xml:space="preserve">us </w:t>
      </w:r>
      <w:r w:rsidRPr="00D7790E">
        <w:t xml:space="preserve">to </w:t>
      </w:r>
      <w:r w:rsidR="002027CB" w:rsidRPr="00D7790E">
        <w:t>better understand participant outcomes, assess the effectiveness of initiatives and support ongoing improvement through evidence-based decision</w:t>
      </w:r>
      <w:r w:rsidR="000E0F54">
        <w:t>-</w:t>
      </w:r>
      <w:r w:rsidR="002027CB" w:rsidRPr="00D7790E">
        <w:t>making.</w:t>
      </w:r>
    </w:p>
    <w:p w14:paraId="13593278" w14:textId="61CCDF41" w:rsidR="002027CB" w:rsidRPr="00E81310" w:rsidRDefault="002027CB" w:rsidP="002027CB">
      <w:r w:rsidRPr="00E81310">
        <w:t xml:space="preserve">The NDIA is also strengthening </w:t>
      </w:r>
      <w:r w:rsidR="005D34B3" w:rsidRPr="00E81310">
        <w:t xml:space="preserve">the way </w:t>
      </w:r>
      <w:r w:rsidRPr="00E81310">
        <w:t>First Nations perspectives inform the design and delivery of the</w:t>
      </w:r>
      <w:r w:rsidR="00463231">
        <w:t xml:space="preserve"> </w:t>
      </w:r>
      <w:r w:rsidRPr="00E81310">
        <w:t xml:space="preserve">NDIS. </w:t>
      </w:r>
      <w:r w:rsidR="00436528" w:rsidRPr="00FD32D5">
        <w:t xml:space="preserve">We use </w:t>
      </w:r>
      <w:r w:rsidRPr="00E81310">
        <w:t>ongoing</w:t>
      </w:r>
      <w:r w:rsidR="00463231">
        <w:t xml:space="preserve"> </w:t>
      </w:r>
      <w:r w:rsidRPr="00E81310">
        <w:t>engagement, partnership</w:t>
      </w:r>
      <w:r w:rsidR="002B3A14">
        <w:t>, consultation</w:t>
      </w:r>
      <w:r w:rsidR="005121FF">
        <w:t>, design</w:t>
      </w:r>
      <w:r w:rsidRPr="00E81310">
        <w:t xml:space="preserve"> and </w:t>
      </w:r>
      <w:r w:rsidR="00A70AF3">
        <w:t>testing</w:t>
      </w:r>
      <w:r w:rsidR="00463231">
        <w:t xml:space="preserve"> </w:t>
      </w:r>
      <w:r w:rsidRPr="00E81310">
        <w:t>activities</w:t>
      </w:r>
      <w:r w:rsidR="00436528" w:rsidRPr="00FD32D5">
        <w:t xml:space="preserve"> to ensure </w:t>
      </w:r>
      <w:r w:rsidRPr="00E81310">
        <w:t xml:space="preserve">First Nations people </w:t>
      </w:r>
      <w:r w:rsidR="00436528" w:rsidRPr="00FD32D5">
        <w:t>can</w:t>
      </w:r>
      <w:r w:rsidRPr="00E81310">
        <w:t xml:space="preserve"> contribute to policy development, service</w:t>
      </w:r>
      <w:r w:rsidR="00463231">
        <w:t xml:space="preserve"> </w:t>
      </w:r>
      <w:r w:rsidRPr="00E81310">
        <w:t>improvements</w:t>
      </w:r>
      <w:r w:rsidR="00463231">
        <w:t xml:space="preserve"> </w:t>
      </w:r>
      <w:r w:rsidRPr="00E81310">
        <w:t xml:space="preserve">and reform implementation. </w:t>
      </w:r>
      <w:r w:rsidR="000210D1">
        <w:t xml:space="preserve">This collaboration </w:t>
      </w:r>
      <w:r w:rsidR="00436528" w:rsidRPr="00FD32D5">
        <w:t xml:space="preserve">gives us </w:t>
      </w:r>
      <w:r w:rsidR="005D34B3" w:rsidRPr="00FD32D5">
        <w:t xml:space="preserve">a </w:t>
      </w:r>
      <w:r w:rsidRPr="00E81310">
        <w:t>better understand</w:t>
      </w:r>
      <w:r w:rsidR="005D34B3" w:rsidRPr="00FD32D5">
        <w:t>ing of</w:t>
      </w:r>
      <w:r w:rsidRPr="00E81310">
        <w:t xml:space="preserve"> the experiences of First Nations participants and </w:t>
      </w:r>
      <w:r w:rsidR="00390C05">
        <w:t>helps</w:t>
      </w:r>
      <w:r w:rsidR="00E81310">
        <w:t xml:space="preserve"> us to </w:t>
      </w:r>
      <w:r w:rsidR="00436528" w:rsidRPr="00FD32D5">
        <w:t xml:space="preserve">deliver </w:t>
      </w:r>
      <w:r w:rsidRPr="00E81310">
        <w:t>more culturally safe,</w:t>
      </w:r>
      <w:r w:rsidR="00463231">
        <w:t xml:space="preserve"> </w:t>
      </w:r>
      <w:r w:rsidRPr="00E81310">
        <w:t>accessible</w:t>
      </w:r>
      <w:r w:rsidR="00463231">
        <w:t xml:space="preserve"> </w:t>
      </w:r>
      <w:r w:rsidRPr="00E81310">
        <w:t>and responsive services.</w:t>
      </w:r>
    </w:p>
    <w:p w14:paraId="5FF1E129" w14:textId="1121E3EF" w:rsidR="002027CB" w:rsidRPr="00E81310" w:rsidRDefault="006C70DB" w:rsidP="002027CB">
      <w:r w:rsidRPr="00FD32D5">
        <w:t>For e</w:t>
      </w:r>
      <w:r w:rsidR="002027CB" w:rsidRPr="00E81310">
        <w:t>xample</w:t>
      </w:r>
      <w:r w:rsidRPr="00FD32D5">
        <w:t>, in 2025</w:t>
      </w:r>
      <w:r w:rsidR="00845BFA">
        <w:t>–</w:t>
      </w:r>
      <w:r w:rsidRPr="00FD32D5">
        <w:t>26 the NDIA</w:t>
      </w:r>
      <w:r w:rsidR="002027CB" w:rsidRPr="00E81310">
        <w:t>:</w:t>
      </w:r>
    </w:p>
    <w:p w14:paraId="5D57CB3E" w14:textId="5C321333" w:rsidR="002027CB" w:rsidRPr="00E81310" w:rsidRDefault="006C70DB" w:rsidP="002027CB">
      <w:pPr>
        <w:numPr>
          <w:ilvl w:val="0"/>
          <w:numId w:val="52"/>
        </w:numPr>
      </w:pPr>
      <w:r w:rsidRPr="00FD32D5">
        <w:t>r</w:t>
      </w:r>
      <w:r w:rsidR="002027CB" w:rsidRPr="00E81310">
        <w:t>eleased the Closing the Gap Statement of Commitment and worked with First Nations communities, Aboriginal Community Controlled</w:t>
      </w:r>
      <w:r w:rsidR="00463231">
        <w:t xml:space="preserve"> </w:t>
      </w:r>
      <w:r w:rsidR="002027CB" w:rsidRPr="00E81310">
        <w:t>Organisations</w:t>
      </w:r>
      <w:r w:rsidR="00463231">
        <w:t xml:space="preserve"> </w:t>
      </w:r>
      <w:r w:rsidR="002027CB" w:rsidRPr="00E81310">
        <w:t>and representative bodies to support implementation planning for the NDIS First Nations Strategy 2025</w:t>
      </w:r>
      <w:r w:rsidR="002D6771">
        <w:t>–</w:t>
      </w:r>
      <w:r w:rsidR="002027CB" w:rsidRPr="00E81310">
        <w:t>30</w:t>
      </w:r>
    </w:p>
    <w:p w14:paraId="0C1CF234" w14:textId="5425E3DC" w:rsidR="002027CB" w:rsidRPr="00E81310" w:rsidRDefault="006C70DB" w:rsidP="002027CB">
      <w:pPr>
        <w:numPr>
          <w:ilvl w:val="0"/>
          <w:numId w:val="53"/>
        </w:numPr>
      </w:pPr>
      <w:r w:rsidRPr="00FD32D5">
        <w:t>p</w:t>
      </w:r>
      <w:r w:rsidR="002027CB" w:rsidRPr="00E81310">
        <w:t>artnered with First Nations disability providers, Aboriginal Community Controlled Health</w:t>
      </w:r>
      <w:r w:rsidR="00463231">
        <w:t xml:space="preserve"> </w:t>
      </w:r>
      <w:r w:rsidR="002027CB" w:rsidRPr="00E81310">
        <w:t>Organisations</w:t>
      </w:r>
      <w:r w:rsidR="00463231">
        <w:t xml:space="preserve"> </w:t>
      </w:r>
      <w:r w:rsidR="002027CB" w:rsidRPr="00E81310">
        <w:t>and the National Aboriginal Community Controlled Health Organisation to strengthen culturally safe service delivery, sector</w:t>
      </w:r>
      <w:r w:rsidR="00463231">
        <w:t xml:space="preserve"> </w:t>
      </w:r>
      <w:r w:rsidR="002027CB" w:rsidRPr="00E81310">
        <w:t>capability</w:t>
      </w:r>
      <w:r w:rsidR="00463231">
        <w:t xml:space="preserve"> </w:t>
      </w:r>
      <w:r w:rsidR="002027CB" w:rsidRPr="00E81310">
        <w:t>and market development</w:t>
      </w:r>
    </w:p>
    <w:p w14:paraId="4D845EDA" w14:textId="4CA357F9" w:rsidR="002027CB" w:rsidRPr="00E81310" w:rsidRDefault="006C70DB" w:rsidP="002027CB">
      <w:pPr>
        <w:numPr>
          <w:ilvl w:val="0"/>
          <w:numId w:val="54"/>
        </w:numPr>
      </w:pPr>
      <w:r w:rsidRPr="000C2867">
        <w:t>c</w:t>
      </w:r>
      <w:r w:rsidR="002027CB" w:rsidRPr="000C2867">
        <w:t>o-designed</w:t>
      </w:r>
      <w:r w:rsidR="002027CB" w:rsidRPr="00E81310">
        <w:t xml:space="preserve"> and launched First Nations Connect in response to community feedback, while progressing the Cultural Safety Plan and strengthening First Nations workforce initiatives. </w:t>
      </w:r>
    </w:p>
    <w:p w14:paraId="6A37A03E" w14:textId="4DB2355D" w:rsidR="002027CB" w:rsidRPr="00E81310" w:rsidRDefault="002027CB" w:rsidP="002D3A0D">
      <w:pPr>
        <w:pStyle w:val="Heading5"/>
      </w:pPr>
      <w:r w:rsidRPr="00E81310">
        <w:t xml:space="preserve">Early </w:t>
      </w:r>
      <w:r w:rsidR="00402A46" w:rsidRPr="00E81310">
        <w:t>c</w:t>
      </w:r>
      <w:r w:rsidRPr="00E81310">
        <w:t>hildhood</w:t>
      </w:r>
    </w:p>
    <w:p w14:paraId="730B5C90" w14:textId="7BD69F5D" w:rsidR="002027CB" w:rsidRPr="00E81310" w:rsidRDefault="002027CB" w:rsidP="002027CB">
      <w:r w:rsidRPr="00E81310">
        <w:t>For some children younger than 6 with developmental delay,</w:t>
      </w:r>
      <w:r w:rsidR="00463231">
        <w:t xml:space="preserve"> </w:t>
      </w:r>
      <w:r w:rsidRPr="00E81310">
        <w:t>or younger than 9 with a disability, it may be</w:t>
      </w:r>
      <w:r w:rsidR="00463231">
        <w:t xml:space="preserve"> </w:t>
      </w:r>
      <w:r w:rsidRPr="00E81310">
        <w:t>appropriate to</w:t>
      </w:r>
      <w:r w:rsidR="00463231">
        <w:t xml:space="preserve"> </w:t>
      </w:r>
      <w:r w:rsidRPr="00E81310">
        <w:t>apply to the NDIS. If a child meets the eligibility requirements and becomes a participant, early childhood partners will help the family and child with the child’s NDIS plan.</w:t>
      </w:r>
    </w:p>
    <w:p w14:paraId="15EAEBB0" w14:textId="0CC64A41" w:rsidR="002027CB" w:rsidRPr="00E81310" w:rsidRDefault="002027CB" w:rsidP="002027CB">
      <w:r w:rsidRPr="00E81310">
        <w:t>Early</w:t>
      </w:r>
      <w:r w:rsidR="005E157A">
        <w:t xml:space="preserve"> </w:t>
      </w:r>
      <w:r w:rsidRPr="00E81310">
        <w:t>intervention aims to minimise</w:t>
      </w:r>
      <w:r w:rsidR="005E157A">
        <w:t xml:space="preserve"> </w:t>
      </w:r>
      <w:r w:rsidRPr="00E81310">
        <w:t>a</w:t>
      </w:r>
      <w:r w:rsidR="005E157A">
        <w:t xml:space="preserve"> </w:t>
      </w:r>
      <w:r w:rsidRPr="00E81310">
        <w:t>child’s</w:t>
      </w:r>
      <w:r w:rsidR="005E157A">
        <w:t xml:space="preserve"> </w:t>
      </w:r>
      <w:r w:rsidRPr="00E81310">
        <w:t>support needs later</w:t>
      </w:r>
      <w:r w:rsidR="005E157A">
        <w:t xml:space="preserve"> </w:t>
      </w:r>
      <w:r w:rsidRPr="00E81310">
        <w:t>in</w:t>
      </w:r>
      <w:r w:rsidR="005E157A">
        <w:t xml:space="preserve"> </w:t>
      </w:r>
      <w:r w:rsidRPr="00E81310">
        <w:t>life.</w:t>
      </w:r>
      <w:r w:rsidR="005E157A">
        <w:t xml:space="preserve"> </w:t>
      </w:r>
      <w:r w:rsidR="005D34B3" w:rsidRPr="00E81310">
        <w:t xml:space="preserve">Early intervention </w:t>
      </w:r>
      <w:r w:rsidRPr="00E81310">
        <w:t>has a</w:t>
      </w:r>
      <w:r w:rsidR="00463231">
        <w:t xml:space="preserve"> </w:t>
      </w:r>
      <w:r w:rsidRPr="00E81310">
        <w:t>broad</w:t>
      </w:r>
      <w:r w:rsidR="00463231">
        <w:t xml:space="preserve"> </w:t>
      </w:r>
      <w:r w:rsidRPr="00E81310">
        <w:t>range of</w:t>
      </w:r>
      <w:r w:rsidR="00463231">
        <w:t xml:space="preserve"> </w:t>
      </w:r>
      <w:r w:rsidRPr="00E81310">
        <w:t>benefits</w:t>
      </w:r>
      <w:r w:rsidR="005D34B3" w:rsidRPr="00E81310">
        <w:t xml:space="preserve"> </w:t>
      </w:r>
      <w:r w:rsidR="005D34B3" w:rsidRPr="00CA6CD1">
        <w:rPr>
          <w:rFonts w:ascii="Symbol" w:eastAsia="Symbol" w:hAnsi="Symbol" w:cs="Symbol"/>
        </w:rPr>
        <w:t>-</w:t>
      </w:r>
      <w:r w:rsidR="005D34B3" w:rsidRPr="00CA6CD1">
        <w:t xml:space="preserve"> for example, it improves </w:t>
      </w:r>
      <w:r w:rsidRPr="00E81310">
        <w:t>the</w:t>
      </w:r>
      <w:r w:rsidR="00463231">
        <w:t xml:space="preserve"> </w:t>
      </w:r>
      <w:r w:rsidRPr="00E81310">
        <w:t>child’s development</w:t>
      </w:r>
      <w:r w:rsidR="005D34B3" w:rsidRPr="00CF0188">
        <w:t xml:space="preserve"> and </w:t>
      </w:r>
      <w:r w:rsidRPr="00E81310">
        <w:t>community participation</w:t>
      </w:r>
      <w:r w:rsidR="005D34B3" w:rsidRPr="00CF0188">
        <w:t>;</w:t>
      </w:r>
      <w:r w:rsidRPr="00E81310">
        <w:t xml:space="preserve"> and</w:t>
      </w:r>
      <w:r w:rsidR="00463231">
        <w:t xml:space="preserve"> </w:t>
      </w:r>
      <w:r w:rsidR="005D34B3" w:rsidRPr="00CF0188">
        <w:t xml:space="preserve">increases </w:t>
      </w:r>
      <w:r w:rsidR="000210D1">
        <w:t xml:space="preserve">the </w:t>
      </w:r>
      <w:r w:rsidR="00E81310" w:rsidRPr="00CF0188">
        <w:t xml:space="preserve">wellbeing of the </w:t>
      </w:r>
      <w:r w:rsidR="005D34B3" w:rsidRPr="00CF0188">
        <w:t>child and their family</w:t>
      </w:r>
      <w:r w:rsidRPr="00E81310">
        <w:t>.</w:t>
      </w:r>
    </w:p>
    <w:p w14:paraId="3609988E" w14:textId="09C58200" w:rsidR="00E81310" w:rsidRDefault="002027CB" w:rsidP="002027CB">
      <w:r w:rsidRPr="00E81310">
        <w:t>The NDIA monitors and manages early childhood partners</w:t>
      </w:r>
      <w:r w:rsidR="00E81310">
        <w:t>’ performance</w:t>
      </w:r>
      <w:r w:rsidRPr="00E81310">
        <w:t xml:space="preserve"> </w:t>
      </w:r>
      <w:r w:rsidRPr="009F40C7">
        <w:t>through a</w:t>
      </w:r>
      <w:r w:rsidR="00463231">
        <w:t xml:space="preserve"> </w:t>
      </w:r>
      <w:r w:rsidR="009F40C7" w:rsidRPr="009F40C7">
        <w:t>P</w:t>
      </w:r>
      <w:r w:rsidRPr="009F40C7">
        <w:t>artner</w:t>
      </w:r>
      <w:r w:rsidR="00463231">
        <w:t xml:space="preserve"> </w:t>
      </w:r>
      <w:r w:rsidR="009F40C7" w:rsidRPr="009F40C7">
        <w:t>P</w:t>
      </w:r>
      <w:r w:rsidRPr="009F40C7">
        <w:t xml:space="preserve">erformance </w:t>
      </w:r>
      <w:r w:rsidR="009F40C7" w:rsidRPr="009F40C7">
        <w:t>M</w:t>
      </w:r>
      <w:r w:rsidRPr="009F40C7">
        <w:t xml:space="preserve">anagement </w:t>
      </w:r>
      <w:r w:rsidR="009F40C7" w:rsidRPr="009F40C7">
        <w:t>F</w:t>
      </w:r>
      <w:r w:rsidRPr="009F40C7">
        <w:t>ramework,</w:t>
      </w:r>
      <w:r w:rsidRPr="00E81310">
        <w:t xml:space="preserve"> which includes measures </w:t>
      </w:r>
      <w:r w:rsidR="005D34B3" w:rsidRPr="00E81310">
        <w:t xml:space="preserve">for </w:t>
      </w:r>
      <w:r w:rsidRPr="00E81310">
        <w:t>participant satisfaction</w:t>
      </w:r>
      <w:r w:rsidR="00463231">
        <w:t xml:space="preserve"> </w:t>
      </w:r>
      <w:r w:rsidRPr="00E81310">
        <w:t>and the</w:t>
      </w:r>
      <w:r w:rsidR="00463231">
        <w:t xml:space="preserve"> </w:t>
      </w:r>
      <w:r w:rsidRPr="00E81310">
        <w:t>timeliness and quality</w:t>
      </w:r>
      <w:r w:rsidR="00463231">
        <w:t xml:space="preserve"> </w:t>
      </w:r>
      <w:r w:rsidRPr="00E81310">
        <w:t>of services.</w:t>
      </w:r>
    </w:p>
    <w:p w14:paraId="40C14AC8" w14:textId="50796B40" w:rsidR="002027CB" w:rsidRDefault="005D34B3" w:rsidP="002027CB">
      <w:r w:rsidRPr="00E81310">
        <w:t xml:space="preserve">We also use the Quarterly Report to </w:t>
      </w:r>
      <w:r w:rsidR="002027CB" w:rsidRPr="00E81310">
        <w:t>monitor and report on early childhood outcomes and access</w:t>
      </w:r>
      <w:r w:rsidR="00463231">
        <w:t xml:space="preserve"> </w:t>
      </w:r>
      <w:r w:rsidR="002027CB" w:rsidRPr="00E81310">
        <w:t>to the NDIS</w:t>
      </w:r>
      <w:r w:rsidR="00463231">
        <w:t xml:space="preserve"> </w:t>
      </w:r>
      <w:r w:rsidR="002027CB" w:rsidRPr="00E81310">
        <w:t>each quarter.</w:t>
      </w:r>
      <w:r w:rsidR="00E81310">
        <w:rPr>
          <w:lang w:val="en-US"/>
        </w:rPr>
        <w:t xml:space="preserve"> </w:t>
      </w:r>
      <w:r w:rsidR="002027CB" w:rsidRPr="00E81310">
        <w:rPr>
          <w:lang w:val="en-US"/>
        </w:rPr>
        <w:t>For example, the</w:t>
      </w:r>
      <w:r w:rsidR="00463231">
        <w:rPr>
          <w:lang w:val="en-US"/>
        </w:rPr>
        <w:t xml:space="preserve"> </w:t>
      </w:r>
      <w:r w:rsidR="002027CB" w:rsidRPr="00E81310">
        <w:t>Quarterly Report Q4</w:t>
      </w:r>
      <w:r w:rsidR="00463231">
        <w:t xml:space="preserve"> </w:t>
      </w:r>
      <w:r w:rsidR="002027CB" w:rsidRPr="00E81310">
        <w:t>2025–26</w:t>
      </w:r>
      <w:r w:rsidR="00463231">
        <w:t xml:space="preserve"> </w:t>
      </w:r>
      <w:r w:rsidR="002027CB" w:rsidRPr="00E81310">
        <w:t>(p</w:t>
      </w:r>
      <w:r w:rsidR="006C70DB" w:rsidRPr="00E81310">
        <w:t>age</w:t>
      </w:r>
      <w:r w:rsidR="00463231">
        <w:t xml:space="preserve"> </w:t>
      </w:r>
      <w:r w:rsidR="002027CB" w:rsidRPr="00E81310">
        <w:t>31)</w:t>
      </w:r>
      <w:r w:rsidR="00463231">
        <w:t xml:space="preserve"> </w:t>
      </w:r>
      <w:r w:rsidR="002027CB" w:rsidRPr="00E81310">
        <w:t>shows that early intervention is delivering positive improvements for children from birth to school age. Positive outcomes increased across all life domains, with the largest gains in fitting into family life (+9%), fitting into community life (+9%), and choice and control (+7%). The proportion of parents reporting improved choice and control increased from 82% to 89%.</w:t>
      </w:r>
      <w:r w:rsidR="00463231">
        <w:t xml:space="preserve"> </w:t>
      </w:r>
      <w:r w:rsidR="002027CB" w:rsidRPr="00E81310">
        <w:t>Overall,</w:t>
      </w:r>
      <w:r w:rsidR="00463231">
        <w:t xml:space="preserve"> </w:t>
      </w:r>
      <w:r w:rsidR="002027CB" w:rsidRPr="00E81310">
        <w:t>the results</w:t>
      </w:r>
      <w:r w:rsidR="00463231">
        <w:t xml:space="preserve"> </w:t>
      </w:r>
      <w:r w:rsidR="002027CB" w:rsidRPr="00E81310">
        <w:t>demonstrate</w:t>
      </w:r>
      <w:r w:rsidR="00463231">
        <w:t xml:space="preserve"> </w:t>
      </w:r>
      <w:r w:rsidR="002027CB" w:rsidRPr="00E81310">
        <w:t>that the NDIS is supporting improved</w:t>
      </w:r>
      <w:r w:rsidR="00463231">
        <w:t xml:space="preserve"> </w:t>
      </w:r>
      <w:r w:rsidR="002027CB" w:rsidRPr="00E81310">
        <w:t>developmental, family and social participation for young children</w:t>
      </w:r>
      <w:r w:rsidR="00661827">
        <w:t>.</w:t>
      </w:r>
      <w:r w:rsidR="002027CB" w:rsidRPr="000210D1">
        <w:t xml:space="preserve"> </w:t>
      </w:r>
      <w:r w:rsidR="00661827" w:rsidRPr="000210D1">
        <w:t>M</w:t>
      </w:r>
      <w:r w:rsidR="002027CB" w:rsidRPr="000210D1">
        <w:t xml:space="preserve">ore information </w:t>
      </w:r>
      <w:r w:rsidR="00661827" w:rsidRPr="000210D1">
        <w:t xml:space="preserve">is </w:t>
      </w:r>
      <w:r w:rsidR="002027CB" w:rsidRPr="000210D1">
        <w:t>available</w:t>
      </w:r>
      <w:r w:rsidR="00463231">
        <w:t xml:space="preserve"> </w:t>
      </w:r>
      <w:r w:rsidR="002027CB" w:rsidRPr="000210D1">
        <w:t>in the</w:t>
      </w:r>
      <w:r w:rsidR="00463231">
        <w:t xml:space="preserve"> </w:t>
      </w:r>
      <w:r w:rsidR="002027CB" w:rsidRPr="000210D1">
        <w:t>Quarterly Report Q4</w:t>
      </w:r>
      <w:r w:rsidR="00463231">
        <w:t xml:space="preserve"> </w:t>
      </w:r>
      <w:r w:rsidR="002027CB" w:rsidRPr="000210D1">
        <w:t>2025–26.</w:t>
      </w:r>
    </w:p>
    <w:p w14:paraId="2DA7E9F7" w14:textId="3693260E" w:rsidR="00E23F82" w:rsidRPr="00E23F82" w:rsidRDefault="00E23F82" w:rsidP="002027CB">
      <w:hyperlink r:id="rId29" w:tgtFrame="_blank" w:tooltip="https://aus01.safelinks.protection.outlook.com/?url=https%3a%2f%2fwww.health.gov.au%2four-work%2fthriving-kids%3flanguage%3den&amp;data=05%7c02%7ctroy.cleary%40ndis.gov.au%7ca59849f7d5df4b430bfc08df24288d85%7ccd778b65752d454a87cfb9990fe58993%7c0%7c0%7c6392694" w:history="1">
        <w:r w:rsidRPr="00E23F82">
          <w:rPr>
            <w:rStyle w:val="Hyperlink"/>
          </w:rPr>
          <w:t>Thriving Kids</w:t>
        </w:r>
      </w:hyperlink>
      <w:r w:rsidRPr="00E23F82">
        <w:t>, a program for children aged 8 and under with developmental delay and/or autism with low to moderate support</w:t>
      </w:r>
      <w:r w:rsidR="00B71268">
        <w:t xml:space="preserve"> needs</w:t>
      </w:r>
      <w:r w:rsidRPr="00E23F82">
        <w:t>, will commence from October 2026. The NDIA will work with our Early Childhood partners, DHDA and state and territory governments to support information on Thriving Kids being provided to families with young children. NDIS access changes will not start until 1 January 2028.</w:t>
      </w:r>
    </w:p>
    <w:p w14:paraId="75EC5B8B" w14:textId="57D60C66" w:rsidR="00967ED0" w:rsidRPr="00E81310" w:rsidRDefault="00967ED0" w:rsidP="002D3A0D">
      <w:pPr>
        <w:pStyle w:val="Heading4"/>
      </w:pPr>
      <w:r w:rsidRPr="00E81310">
        <w:t>Improving the way we measure our performance</w:t>
      </w:r>
    </w:p>
    <w:p w14:paraId="0780E008" w14:textId="61D699BE" w:rsidR="00967ED0" w:rsidRPr="00E81310" w:rsidRDefault="00967ED0" w:rsidP="00967ED0">
      <w:pPr>
        <w:rPr>
          <w:rFonts w:eastAsia="Times New Roman" w:cs="Arial"/>
        </w:rPr>
      </w:pPr>
      <w:r w:rsidRPr="00E81310">
        <w:rPr>
          <w:rFonts w:eastAsia="Times New Roman" w:cs="Arial"/>
        </w:rPr>
        <w:t xml:space="preserve">We are committed to improving </w:t>
      </w:r>
      <w:r w:rsidR="005D34B3" w:rsidRPr="00E81310">
        <w:rPr>
          <w:rFonts w:eastAsia="Times New Roman" w:cs="Arial"/>
        </w:rPr>
        <w:t xml:space="preserve">the way </w:t>
      </w:r>
      <w:r w:rsidRPr="00E81310">
        <w:rPr>
          <w:rFonts w:eastAsia="Times New Roman" w:cs="Arial"/>
        </w:rPr>
        <w:t>we measure and report our performance</w:t>
      </w:r>
      <w:r w:rsidR="00463231">
        <w:rPr>
          <w:rFonts w:eastAsia="Times New Roman" w:cs="Arial"/>
        </w:rPr>
        <w:t xml:space="preserve"> </w:t>
      </w:r>
      <w:r w:rsidR="005D34B3" w:rsidRPr="00E81310">
        <w:rPr>
          <w:rFonts w:eastAsia="Times New Roman" w:cs="Arial"/>
        </w:rPr>
        <w:t xml:space="preserve">so that </w:t>
      </w:r>
      <w:r w:rsidRPr="00E81310">
        <w:rPr>
          <w:rFonts w:eastAsia="Times New Roman" w:cs="Arial"/>
        </w:rPr>
        <w:t xml:space="preserve">the community </w:t>
      </w:r>
      <w:r w:rsidR="005D34B3" w:rsidRPr="00E81310">
        <w:rPr>
          <w:rFonts w:eastAsia="Times New Roman" w:cs="Arial"/>
        </w:rPr>
        <w:t xml:space="preserve">has </w:t>
      </w:r>
      <w:r w:rsidRPr="00E81310">
        <w:rPr>
          <w:rFonts w:eastAsia="Times New Roman" w:cs="Arial"/>
        </w:rPr>
        <w:t>a clear and</w:t>
      </w:r>
      <w:r w:rsidR="00463231">
        <w:rPr>
          <w:rFonts w:eastAsia="Times New Roman" w:cs="Arial"/>
        </w:rPr>
        <w:t xml:space="preserve"> </w:t>
      </w:r>
      <w:r w:rsidRPr="00E81310">
        <w:rPr>
          <w:rFonts w:eastAsia="Times New Roman" w:cs="Arial"/>
        </w:rPr>
        <w:t>accurate</w:t>
      </w:r>
      <w:r w:rsidR="00463231">
        <w:rPr>
          <w:rFonts w:eastAsia="Times New Roman" w:cs="Arial"/>
        </w:rPr>
        <w:t xml:space="preserve"> </w:t>
      </w:r>
      <w:r w:rsidRPr="00E81310">
        <w:rPr>
          <w:rFonts w:eastAsia="Times New Roman" w:cs="Arial"/>
        </w:rPr>
        <w:t>picture of our work. This means making sure we collect the right information and explain how internal and external factors may affect our results.</w:t>
      </w:r>
    </w:p>
    <w:p w14:paraId="52D5C5CB" w14:textId="3325EA33" w:rsidR="000210D1" w:rsidRDefault="00967ED0" w:rsidP="007C1078">
      <w:pPr>
        <w:rPr>
          <w:rFonts w:eastAsia="Times New Roman" w:cs="Arial"/>
        </w:rPr>
      </w:pPr>
      <w:r w:rsidRPr="00E81310">
        <w:rPr>
          <w:rFonts w:eastAsia="Times New Roman" w:cs="Arial"/>
        </w:rPr>
        <w:t>As part of this,</w:t>
      </w:r>
      <w:r w:rsidR="00463231">
        <w:rPr>
          <w:rFonts w:eastAsia="Times New Roman" w:cs="Arial"/>
        </w:rPr>
        <w:t xml:space="preserve"> </w:t>
      </w:r>
      <w:r w:rsidRPr="00E81310">
        <w:rPr>
          <w:rFonts w:eastAsia="Times New Roman" w:cs="Arial"/>
        </w:rPr>
        <w:t>we</w:t>
      </w:r>
      <w:r w:rsidR="00463231">
        <w:rPr>
          <w:rFonts w:eastAsia="Times New Roman" w:cs="Arial"/>
        </w:rPr>
        <w:t xml:space="preserve"> </w:t>
      </w:r>
      <w:r w:rsidRPr="00E81310">
        <w:rPr>
          <w:rFonts w:eastAsia="Times New Roman" w:cs="Arial"/>
        </w:rPr>
        <w:t>continue to improve our</w:t>
      </w:r>
      <w:r w:rsidR="00463231">
        <w:rPr>
          <w:rFonts w:eastAsia="Times New Roman" w:cs="Arial"/>
        </w:rPr>
        <w:t xml:space="preserve"> </w:t>
      </w:r>
      <w:r w:rsidRPr="00E81310">
        <w:rPr>
          <w:rFonts w:eastAsia="Times New Roman" w:cs="Arial"/>
        </w:rPr>
        <w:t>performance framework.</w:t>
      </w:r>
    </w:p>
    <w:p w14:paraId="01C33C10" w14:textId="4FA0178E" w:rsidR="002027CB" w:rsidRDefault="00967ED0" w:rsidP="007C1078">
      <w:pPr>
        <w:rPr>
          <w:rFonts w:eastAsia="Times New Roman" w:cs="Arial"/>
        </w:rPr>
      </w:pPr>
      <w:r w:rsidRPr="00E81310">
        <w:rPr>
          <w:rFonts w:eastAsia="Times New Roman" w:cs="Arial"/>
        </w:rPr>
        <w:t>This</w:t>
      </w:r>
      <w:r w:rsidR="00463231">
        <w:rPr>
          <w:rFonts w:eastAsia="Times New Roman" w:cs="Arial"/>
        </w:rPr>
        <w:t xml:space="preserve"> </w:t>
      </w:r>
      <w:r w:rsidRPr="00E81310">
        <w:rPr>
          <w:rFonts w:eastAsia="Times New Roman" w:cs="Arial"/>
        </w:rPr>
        <w:t>approach</w:t>
      </w:r>
      <w:r w:rsidR="00463231">
        <w:rPr>
          <w:rFonts w:eastAsia="Times New Roman" w:cs="Arial"/>
        </w:rPr>
        <w:t xml:space="preserve"> </w:t>
      </w:r>
      <w:r w:rsidRPr="00E81310">
        <w:rPr>
          <w:rFonts w:eastAsia="Times New Roman" w:cs="Arial"/>
        </w:rPr>
        <w:t>will</w:t>
      </w:r>
      <w:r w:rsidR="00463231">
        <w:rPr>
          <w:rFonts w:eastAsia="Times New Roman" w:cs="Arial"/>
        </w:rPr>
        <w:t xml:space="preserve"> </w:t>
      </w:r>
      <w:r w:rsidRPr="00E81310">
        <w:rPr>
          <w:rFonts w:eastAsia="Times New Roman" w:cs="Arial"/>
        </w:rPr>
        <w:t>place a stronger focus on outcomes for participants</w:t>
      </w:r>
      <w:r w:rsidR="00463231">
        <w:rPr>
          <w:rFonts w:eastAsia="Times New Roman" w:cs="Arial"/>
        </w:rPr>
        <w:t xml:space="preserve"> </w:t>
      </w:r>
      <w:r w:rsidRPr="00E81310">
        <w:rPr>
          <w:rFonts w:eastAsia="Times New Roman" w:cs="Arial"/>
        </w:rPr>
        <w:t>and the long-term sustainability of the NDIS.</w:t>
      </w:r>
    </w:p>
    <w:p w14:paraId="3D9CB6D2" w14:textId="12A62F8F" w:rsidR="00B9641B" w:rsidRPr="00977C8D" w:rsidRDefault="00B9641B" w:rsidP="007C1078">
      <w:r w:rsidRPr="00B9641B">
        <w:t>All performance measures and data sources can be found in the Corporate Plan 2025–26.</w:t>
      </w:r>
    </w:p>
    <w:p w14:paraId="41795606" w14:textId="71E81B0E" w:rsidR="004B44AC" w:rsidRPr="004B44AC" w:rsidRDefault="00E228A7" w:rsidP="004B44AC">
      <w:pPr>
        <w:pStyle w:val="Heading4"/>
      </w:pPr>
      <w:r w:rsidRPr="00E81310">
        <w:t>Program 1.1 performance statement</w:t>
      </w:r>
    </w:p>
    <w:p w14:paraId="2F8FC2B7" w14:textId="3DA4B3B1" w:rsidR="00E712B8" w:rsidRPr="00E81310" w:rsidRDefault="00EE2BFC" w:rsidP="002D3A0D">
      <w:pPr>
        <w:pStyle w:val="Heading5"/>
      </w:pPr>
      <w:r w:rsidRPr="00E81310">
        <w:t xml:space="preserve">Program 1.1 – </w:t>
      </w:r>
      <w:r w:rsidR="00E712B8" w:rsidRPr="00E81310">
        <w:t>Reasonable and necessary supports for participants</w:t>
      </w:r>
    </w:p>
    <w:p w14:paraId="79B4748D" w14:textId="3DE69D11" w:rsidR="00494C36" w:rsidRPr="00E81310" w:rsidRDefault="00494C36" w:rsidP="002D3A0D">
      <w:r w:rsidRPr="00E81310">
        <w:t>There is one key activity for Program 1.1</w:t>
      </w:r>
      <w:r w:rsidR="00B13BF0" w:rsidRPr="00E81310">
        <w:t>,</w:t>
      </w:r>
      <w:r w:rsidRPr="00E81310">
        <w:t xml:space="preserve"> and 8 performance measures</w:t>
      </w:r>
      <w:r w:rsidR="00175564" w:rsidRPr="00E81310">
        <w:t>.</w:t>
      </w:r>
    </w:p>
    <w:p w14:paraId="3222697F" w14:textId="4279D4E0" w:rsidR="00837B66" w:rsidRPr="00E81310" w:rsidRDefault="00E228A7" w:rsidP="006D7F34">
      <w:pPr>
        <w:pStyle w:val="Heading5"/>
      </w:pPr>
      <w:r w:rsidRPr="00E81310">
        <w:t>Key activity 1</w:t>
      </w:r>
      <w:r w:rsidR="00E85C12" w:rsidRPr="00E81310">
        <w:t xml:space="preserve"> – </w:t>
      </w:r>
      <w:r w:rsidR="00837B66" w:rsidRPr="00E81310">
        <w:t>Improve participant experience and outcomes with a financially sustainable Scheme</w:t>
      </w:r>
    </w:p>
    <w:p w14:paraId="5175E614" w14:textId="1406B8BF" w:rsidR="00E228A7" w:rsidRPr="00E81310" w:rsidRDefault="00E228A7" w:rsidP="00E228A7">
      <w:pPr>
        <w:pStyle w:val="Caption"/>
      </w:pPr>
      <w:r w:rsidRPr="00E81310">
        <w:t xml:space="preserve">Table </w:t>
      </w:r>
      <w:r w:rsidRPr="00E81310">
        <w:fldChar w:fldCharType="begin"/>
      </w:r>
      <w:r w:rsidRPr="00E81310">
        <w:instrText>SEQ Table \* ARABIC</w:instrText>
      </w:r>
      <w:r w:rsidRPr="00E81310">
        <w:fldChar w:fldCharType="separate"/>
      </w:r>
      <w:r w:rsidR="0021625A">
        <w:rPr>
          <w:noProof/>
        </w:rPr>
        <w:t>1</w:t>
      </w:r>
      <w:r w:rsidRPr="00E81310">
        <w:fldChar w:fldCharType="end"/>
      </w:r>
      <w:r w:rsidRPr="00E81310">
        <w:t>. Performance measure 1.1 – Participant employment rate</w:t>
      </w:r>
    </w:p>
    <w:tbl>
      <w:tblPr>
        <w:tblStyle w:val="GridTable4"/>
        <w:tblW w:w="5000" w:type="pct"/>
        <w:tblLayout w:type="fixed"/>
        <w:tblLook w:val="0480" w:firstRow="0" w:lastRow="0" w:firstColumn="1" w:lastColumn="0" w:noHBand="0" w:noVBand="1"/>
        <w:tblDescription w:val="[Insert table description] with columns for [Insert column headings]. The table has [insert number] columns and [insert number] rows."/>
      </w:tblPr>
      <w:tblGrid>
        <w:gridCol w:w="3785"/>
        <w:gridCol w:w="5389"/>
      </w:tblGrid>
      <w:tr w:rsidR="00C51D1A" w:rsidRPr="00E81310" w14:paraId="5793866B" w14:textId="77777777" w:rsidTr="00095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318939EB" w14:textId="77777777" w:rsidR="00C51D1A" w:rsidRPr="005E4C84" w:rsidRDefault="00C51D1A" w:rsidP="00016E4A">
            <w:pPr>
              <w:pStyle w:val="TableBody0"/>
              <w:spacing w:line="312" w:lineRule="auto"/>
            </w:pPr>
            <w:r w:rsidRPr="003B06AD">
              <w:t>Target</w:t>
            </w:r>
          </w:p>
        </w:tc>
        <w:tc>
          <w:tcPr>
            <w:tcW w:w="2937" w:type="pct"/>
          </w:tcPr>
          <w:p w14:paraId="787FBD71" w14:textId="4C9D6C1E" w:rsidR="00C51D1A" w:rsidRPr="00E81310" w:rsidRDefault="00C51D1A" w:rsidP="00016E4A">
            <w:pPr>
              <w:pStyle w:val="TableBody0"/>
              <w:spacing w:line="312" w:lineRule="auto"/>
              <w:cnfStyle w:val="000000100000" w:firstRow="0" w:lastRow="0" w:firstColumn="0" w:lastColumn="0" w:oddVBand="0" w:evenVBand="0" w:oddHBand="1" w:evenHBand="0" w:firstRowFirstColumn="0" w:firstRowLastColumn="0" w:lastRowFirstColumn="0" w:lastRowLastColumn="0"/>
              <w:rPr>
                <w:bCs/>
              </w:rPr>
            </w:pPr>
            <w:r w:rsidRPr="00E81310">
              <w:rPr>
                <w:bCs/>
              </w:rPr>
              <w:t>2</w:t>
            </w:r>
            <w:r w:rsidR="00B9641B">
              <w:rPr>
                <w:bCs/>
              </w:rPr>
              <w:t>2</w:t>
            </w:r>
            <w:r w:rsidRPr="00E81310">
              <w:rPr>
                <w:bCs/>
              </w:rPr>
              <w:t>%</w:t>
            </w:r>
          </w:p>
        </w:tc>
      </w:tr>
      <w:tr w:rsidR="00C51D1A" w:rsidRPr="00E81310" w14:paraId="41E8D681" w14:textId="77777777" w:rsidTr="00095BDD">
        <w:tc>
          <w:tcPr>
            <w:cnfStyle w:val="001000000000" w:firstRow="0" w:lastRow="0" w:firstColumn="1" w:lastColumn="0" w:oddVBand="0" w:evenVBand="0" w:oddHBand="0" w:evenHBand="0" w:firstRowFirstColumn="0" w:firstRowLastColumn="0" w:lastRowFirstColumn="0" w:lastRowLastColumn="0"/>
            <w:tcW w:w="2063" w:type="pct"/>
          </w:tcPr>
          <w:p w14:paraId="5198A624" w14:textId="5D315925" w:rsidR="00C51D1A" w:rsidRPr="005E4C84" w:rsidRDefault="00C51D1A" w:rsidP="00016E4A">
            <w:pPr>
              <w:pStyle w:val="TableBody0"/>
              <w:spacing w:line="312" w:lineRule="auto"/>
            </w:pPr>
            <w:r w:rsidRPr="003B06AD">
              <w:t>Performance achieved 2025–26</w:t>
            </w:r>
          </w:p>
        </w:tc>
        <w:tc>
          <w:tcPr>
            <w:tcW w:w="2937" w:type="pct"/>
          </w:tcPr>
          <w:p w14:paraId="682A82CD" w14:textId="49B9C186" w:rsidR="00C51D1A" w:rsidRPr="00E81310" w:rsidRDefault="00C51D1A" w:rsidP="00016E4A">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E81310">
              <w:t>23.</w:t>
            </w:r>
            <w:r w:rsidR="00B9641B">
              <w:t>9</w:t>
            </w:r>
            <w:r w:rsidRPr="00E81310">
              <w:t>%. Achieved.</w:t>
            </w:r>
          </w:p>
        </w:tc>
      </w:tr>
      <w:tr w:rsidR="00C51D1A" w:rsidRPr="00E81310" w14:paraId="65D254BD" w14:textId="77777777" w:rsidTr="00095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1C79D926" w14:textId="77777777" w:rsidR="00C51D1A" w:rsidRPr="005E4C84" w:rsidRDefault="00C51D1A" w:rsidP="00016E4A">
            <w:pPr>
              <w:pStyle w:val="TableBody0"/>
              <w:spacing w:line="312" w:lineRule="auto"/>
            </w:pPr>
            <w:r w:rsidRPr="003B06AD">
              <w:t>Performance achieved over time</w:t>
            </w:r>
          </w:p>
        </w:tc>
        <w:tc>
          <w:tcPr>
            <w:tcW w:w="2937" w:type="pct"/>
          </w:tcPr>
          <w:p w14:paraId="098C48D2" w14:textId="77777777" w:rsidR="00C51D1A" w:rsidRPr="00E81310" w:rsidRDefault="00C51D1A" w:rsidP="00016E4A">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E81310">
              <w:t>This is an improvement on the 2024–25 result of 22.4% and reflects continued progress in participant employment outcomes over the year.</w:t>
            </w:r>
          </w:p>
        </w:tc>
      </w:tr>
      <w:tr w:rsidR="00C51D1A" w:rsidRPr="00E81310" w14:paraId="0A261111" w14:textId="77777777" w:rsidTr="00095BDD">
        <w:tc>
          <w:tcPr>
            <w:cnfStyle w:val="001000000000" w:firstRow="0" w:lastRow="0" w:firstColumn="1" w:lastColumn="0" w:oddVBand="0" w:evenVBand="0" w:oddHBand="0" w:evenHBand="0" w:firstRowFirstColumn="0" w:firstRowLastColumn="0" w:lastRowFirstColumn="0" w:lastRowLastColumn="0"/>
            <w:tcW w:w="2063" w:type="pct"/>
          </w:tcPr>
          <w:p w14:paraId="5109B631" w14:textId="77777777" w:rsidR="00C51D1A" w:rsidRPr="005E4C84" w:rsidRDefault="00C51D1A" w:rsidP="00016E4A">
            <w:pPr>
              <w:pStyle w:val="TableBody0"/>
              <w:spacing w:line="312" w:lineRule="auto"/>
            </w:pPr>
            <w:r w:rsidRPr="003B06AD">
              <w:t>Why we measure this</w:t>
            </w:r>
          </w:p>
        </w:tc>
        <w:tc>
          <w:tcPr>
            <w:tcW w:w="2937" w:type="pct"/>
          </w:tcPr>
          <w:p w14:paraId="7C9F6657" w14:textId="77777777" w:rsidR="00C51D1A" w:rsidRPr="00E81310" w:rsidRDefault="00C51D1A" w:rsidP="00016E4A">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E81310">
              <w:rPr>
                <w:lang w:eastAsia="ja-JP"/>
              </w:rPr>
              <w:t>This measures the effectiveness of the NDIS in supporting the independence, and social and economic participation, of people with disability.</w:t>
            </w:r>
          </w:p>
        </w:tc>
      </w:tr>
      <w:tr w:rsidR="00C51D1A" w:rsidRPr="00E81310" w14:paraId="6494A248" w14:textId="77777777" w:rsidTr="00095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71697D95" w14:textId="77777777" w:rsidR="00C51D1A" w:rsidRPr="005E4C84" w:rsidRDefault="00C51D1A" w:rsidP="00016E4A">
            <w:pPr>
              <w:pStyle w:val="TableBody0"/>
              <w:spacing w:line="312" w:lineRule="auto"/>
            </w:pPr>
            <w:r w:rsidRPr="003B06AD">
              <w:t>Methodology</w:t>
            </w:r>
          </w:p>
        </w:tc>
        <w:tc>
          <w:tcPr>
            <w:tcW w:w="2937" w:type="pct"/>
          </w:tcPr>
          <w:p w14:paraId="7703B71C" w14:textId="426D49F1" w:rsidR="00C51D1A" w:rsidRPr="00E81310" w:rsidRDefault="007966EA" w:rsidP="00016E4A">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7966EA">
              <w:rPr>
                <w:lang w:eastAsia="ja-JP"/>
              </w:rPr>
              <w:t>This measure is calculated as the number of participants who responded ‘Yes’ to the question ‘Do you have a paid job?’ at their latest plan reassessment, divided by the number of respondents. Only responses from participants who have been in the NDIS for at least 2 years are included in the results.</w:t>
            </w:r>
          </w:p>
        </w:tc>
      </w:tr>
    </w:tbl>
    <w:p w14:paraId="3522A0C3" w14:textId="77777777" w:rsidR="00C51D1A" w:rsidRPr="004A19A4" w:rsidRDefault="00C51D1A" w:rsidP="008C1773">
      <w:pPr>
        <w:keepNext/>
        <w:spacing w:before="240"/>
        <w:rPr>
          <w:rStyle w:val="Strong"/>
        </w:rPr>
      </w:pPr>
      <w:r w:rsidRPr="004A19A4">
        <w:rPr>
          <w:rStyle w:val="Strong"/>
        </w:rPr>
        <w:t>Analysis</w:t>
      </w:r>
    </w:p>
    <w:p w14:paraId="2AECE648" w14:textId="790C7F38" w:rsidR="00661827" w:rsidRDefault="00C51D1A" w:rsidP="00C51D1A">
      <w:r w:rsidRPr="00E81310">
        <w:t xml:space="preserve">There was strong growth in </w:t>
      </w:r>
      <w:r w:rsidR="0077240B" w:rsidRPr="00E81310">
        <w:t xml:space="preserve">the use of </w:t>
      </w:r>
      <w:r w:rsidRPr="00E81310">
        <w:t xml:space="preserve">employment-related supports </w:t>
      </w:r>
      <w:r w:rsidRPr="00661827">
        <w:t xml:space="preserve">and </w:t>
      </w:r>
      <w:r w:rsidR="0077240B" w:rsidRPr="002164C2">
        <w:t xml:space="preserve">therefore </w:t>
      </w:r>
      <w:r w:rsidR="00661827">
        <w:t xml:space="preserve">an improvement in </w:t>
      </w:r>
      <w:r w:rsidR="0077240B" w:rsidRPr="002164C2">
        <w:t xml:space="preserve">employment </w:t>
      </w:r>
      <w:r w:rsidRPr="00661827">
        <w:t>outcomes</w:t>
      </w:r>
      <w:r w:rsidR="00423D5F">
        <w:t>.</w:t>
      </w:r>
      <w:r w:rsidR="00661827" w:rsidRPr="00661827">
        <w:t xml:space="preserve"> </w:t>
      </w:r>
      <w:r w:rsidR="00DB541B">
        <w:t>F</w:t>
      </w:r>
      <w:r w:rsidR="00661827" w:rsidRPr="00661827">
        <w:t xml:space="preserve">or example, </w:t>
      </w:r>
      <w:r w:rsidR="009D2EF3">
        <w:t xml:space="preserve">there was </w:t>
      </w:r>
      <w:r w:rsidR="00661827" w:rsidRPr="003D3BEE">
        <w:t xml:space="preserve">a rise in the participant employment rate (from 22.8% in quarter 1 to 23.9% in quarter 4), </w:t>
      </w:r>
      <w:r w:rsidR="009D2EF3">
        <w:t xml:space="preserve">an increase in </w:t>
      </w:r>
      <w:r w:rsidR="00661827" w:rsidRPr="00135ABA">
        <w:t>school-to-work transitions, and an increase in the number of participants achieving open employment.</w:t>
      </w:r>
    </w:p>
    <w:p w14:paraId="0C7E354E" w14:textId="083E1325" w:rsidR="00C51D1A" w:rsidRPr="00661827" w:rsidRDefault="00C51D1A" w:rsidP="00C51D1A">
      <w:r w:rsidRPr="00661827">
        <w:t>As at 30 June 2026 more than 45,500 working-age participants had capacity</w:t>
      </w:r>
      <w:r w:rsidR="006C70DB" w:rsidRPr="003D3BEE">
        <w:t>-</w:t>
      </w:r>
      <w:r w:rsidRPr="00661827">
        <w:t xml:space="preserve">building </w:t>
      </w:r>
      <w:r w:rsidRPr="000E0F54">
        <w:t xml:space="preserve">employment funding in their plans, representing a 65% increase since July 2024. </w:t>
      </w:r>
      <w:r w:rsidR="000E0F54" w:rsidRPr="000E0F54">
        <w:t xml:space="preserve">To achieve this result, we ensured that </w:t>
      </w:r>
      <w:r w:rsidRPr="000E0F54">
        <w:t xml:space="preserve">employment conversations </w:t>
      </w:r>
      <w:r w:rsidR="00661827" w:rsidRPr="000E0F54">
        <w:t xml:space="preserve">were included </w:t>
      </w:r>
      <w:r w:rsidRPr="000E0F54">
        <w:t xml:space="preserve">in </w:t>
      </w:r>
      <w:r w:rsidR="00661827" w:rsidRPr="000E0F54">
        <w:t xml:space="preserve">the </w:t>
      </w:r>
      <w:r w:rsidRPr="000E0F54">
        <w:t xml:space="preserve">planning process, improved </w:t>
      </w:r>
      <w:r w:rsidR="000E0F54" w:rsidRPr="000E0F54">
        <w:t xml:space="preserve">the </w:t>
      </w:r>
      <w:r w:rsidRPr="000E0F54">
        <w:t xml:space="preserve">capability of planners and local area coordinators, and </w:t>
      </w:r>
      <w:r w:rsidR="000E0F54" w:rsidRPr="000E0F54">
        <w:t xml:space="preserve">produced </w:t>
      </w:r>
      <w:r w:rsidRPr="000E0F54">
        <w:t>guidance to encourage employment goals and supports in participant plans.</w:t>
      </w:r>
    </w:p>
    <w:p w14:paraId="19C747AB" w14:textId="1341B5E1" w:rsidR="00C51D1A" w:rsidRPr="00661827" w:rsidRDefault="00C51D1A" w:rsidP="00C51D1A">
      <w:r w:rsidRPr="00661827">
        <w:t xml:space="preserve">Reporting from providers also showed that 8,531 participants </w:t>
      </w:r>
      <w:r w:rsidR="00300F34">
        <w:t xml:space="preserve">received </w:t>
      </w:r>
      <w:r w:rsidRPr="00661827">
        <w:t>employment supports to help their transition from school to work</w:t>
      </w:r>
      <w:r w:rsidR="000E0F54">
        <w:t xml:space="preserve">. Also, </w:t>
      </w:r>
      <w:r w:rsidR="000E0F54" w:rsidRPr="00661827">
        <w:t>between July 2024 and June 2025</w:t>
      </w:r>
      <w:r w:rsidR="000E0F54">
        <w:t>,</w:t>
      </w:r>
      <w:r w:rsidRPr="00661827">
        <w:t xml:space="preserve"> 521</w:t>
      </w:r>
      <w:r w:rsidR="00BC0F85" w:rsidRPr="00063A32">
        <w:t> </w:t>
      </w:r>
      <w:r w:rsidRPr="00661827">
        <w:t xml:space="preserve">participants </w:t>
      </w:r>
      <w:r w:rsidR="008034D7" w:rsidRPr="00661827">
        <w:t>e</w:t>
      </w:r>
      <w:r w:rsidR="008034D7">
        <w:t>xited the support into</w:t>
      </w:r>
      <w:r w:rsidR="008034D7" w:rsidRPr="00661827">
        <w:t xml:space="preserve"> </w:t>
      </w:r>
      <w:r w:rsidRPr="00661827">
        <w:t>open employment, up from 478 in the previous year.</w:t>
      </w:r>
    </w:p>
    <w:p w14:paraId="0D152019" w14:textId="08178165" w:rsidR="00C51D1A" w:rsidRPr="00661827" w:rsidRDefault="00C51D1A" w:rsidP="00C51D1A">
      <w:r w:rsidRPr="00661827">
        <w:t xml:space="preserve">The NDIS Participant Employment Strategy 2024–26 </w:t>
      </w:r>
      <w:r w:rsidR="000E0F54">
        <w:t xml:space="preserve">gives </w:t>
      </w:r>
      <w:r w:rsidRPr="00661827">
        <w:t xml:space="preserve">a framework </w:t>
      </w:r>
      <w:r w:rsidR="00661827">
        <w:t xml:space="preserve">for </w:t>
      </w:r>
      <w:r w:rsidRPr="00661827">
        <w:t>improv</w:t>
      </w:r>
      <w:r w:rsidR="00661827">
        <w:t>ing</w:t>
      </w:r>
      <w:r w:rsidRPr="00661827">
        <w:t xml:space="preserve"> employment outcomes</w:t>
      </w:r>
      <w:r w:rsidR="00027AF6" w:rsidRPr="00063A32">
        <w:t xml:space="preserve"> and </w:t>
      </w:r>
      <w:r w:rsidRPr="00661827">
        <w:t>achiev</w:t>
      </w:r>
      <w:r w:rsidR="00661827">
        <w:t>ing</w:t>
      </w:r>
      <w:r w:rsidRPr="00661827">
        <w:t xml:space="preserve"> our performance result. </w:t>
      </w:r>
      <w:r w:rsidR="00227B33">
        <w:t>In 2025</w:t>
      </w:r>
      <w:r w:rsidR="004B1D38">
        <w:t>–</w:t>
      </w:r>
      <w:r w:rsidR="00227B33">
        <w:t xml:space="preserve">26 our achievements under the strategy included </w:t>
      </w:r>
      <w:r w:rsidR="00BC0F85" w:rsidRPr="00063A32">
        <w:t>the following</w:t>
      </w:r>
      <w:r w:rsidRPr="00661827">
        <w:t>:</w:t>
      </w:r>
    </w:p>
    <w:p w14:paraId="7E7D22AA" w14:textId="7F839DFD" w:rsidR="00C51D1A" w:rsidRPr="00227B33" w:rsidRDefault="00C51D1A" w:rsidP="00C51D1A">
      <w:pPr>
        <w:pStyle w:val="Bullet1"/>
      </w:pPr>
      <w:r w:rsidRPr="00E2654D">
        <w:rPr>
          <w:b/>
          <w:bCs/>
        </w:rPr>
        <w:t>Improving planner and partner capability</w:t>
      </w:r>
      <w:r w:rsidR="003D7356" w:rsidRPr="00E2654D">
        <w:rPr>
          <w:b/>
          <w:bCs/>
        </w:rPr>
        <w:t>:</w:t>
      </w:r>
      <w:r w:rsidRPr="00227B33">
        <w:t xml:space="preserve"> </w:t>
      </w:r>
      <w:r w:rsidR="00027AF6" w:rsidRPr="00A21F05">
        <w:t xml:space="preserve">We </w:t>
      </w:r>
      <w:r w:rsidR="00227B33">
        <w:t xml:space="preserve">made </w:t>
      </w:r>
      <w:r w:rsidR="00027AF6" w:rsidRPr="00A21F05">
        <w:t>t</w:t>
      </w:r>
      <w:r w:rsidRPr="00227B33">
        <w:t xml:space="preserve">argeted training and resources </w:t>
      </w:r>
      <w:r w:rsidR="00227B33">
        <w:t xml:space="preserve">available to </w:t>
      </w:r>
      <w:r w:rsidRPr="00227B33">
        <w:t xml:space="preserve">planners and local area coordinators </w:t>
      </w:r>
      <w:r w:rsidR="00227B33">
        <w:t xml:space="preserve">so they were better able to </w:t>
      </w:r>
      <w:r w:rsidR="00027AF6" w:rsidRPr="00063A32">
        <w:t xml:space="preserve">deliver the required </w:t>
      </w:r>
      <w:r w:rsidRPr="00227B33">
        <w:t>employment supports and improve the quality of employment-related conversations.</w:t>
      </w:r>
    </w:p>
    <w:p w14:paraId="21A7CDD1" w14:textId="1E954D39" w:rsidR="00C51D1A" w:rsidRPr="00227B33" w:rsidRDefault="00C51D1A" w:rsidP="00C51D1A">
      <w:pPr>
        <w:pStyle w:val="Bullet1"/>
      </w:pPr>
      <w:r w:rsidRPr="00A21F05">
        <w:rPr>
          <w:b/>
          <w:bCs/>
        </w:rPr>
        <w:t>Improving participant resources and earlier engagement</w:t>
      </w:r>
      <w:r w:rsidR="003D7356" w:rsidRPr="00A21F05">
        <w:rPr>
          <w:b/>
          <w:bCs/>
        </w:rPr>
        <w:t>:</w:t>
      </w:r>
      <w:r w:rsidRPr="00227B33">
        <w:t xml:space="preserve"> </w:t>
      </w:r>
      <w:r w:rsidR="00027AF6" w:rsidRPr="00063A32">
        <w:t xml:space="preserve">We </w:t>
      </w:r>
      <w:r w:rsidR="000E0F54">
        <w:t xml:space="preserve">created </w:t>
      </w:r>
      <w:r w:rsidR="00027AF6" w:rsidRPr="00063A32">
        <w:t>u</w:t>
      </w:r>
      <w:r w:rsidRPr="00227B33">
        <w:t xml:space="preserve">pdated participant guidance and tools </w:t>
      </w:r>
      <w:r w:rsidR="00227B33">
        <w:t xml:space="preserve">to support </w:t>
      </w:r>
      <w:r w:rsidRPr="00227B33">
        <w:t>more structured discussions about employment, including school-to-work transitions and ongoing career development.</w:t>
      </w:r>
    </w:p>
    <w:p w14:paraId="3D8FA0B8" w14:textId="1F82DDC0" w:rsidR="00C51D1A" w:rsidRPr="000E0F54" w:rsidRDefault="00C51D1A" w:rsidP="00C51D1A">
      <w:pPr>
        <w:pStyle w:val="Bullet1"/>
      </w:pPr>
      <w:r w:rsidRPr="00A21F05">
        <w:rPr>
          <w:b/>
          <w:bCs/>
        </w:rPr>
        <w:t>Promoting pathways to open employment</w:t>
      </w:r>
      <w:r w:rsidR="003D7356" w:rsidRPr="00A21F05">
        <w:rPr>
          <w:b/>
          <w:bCs/>
        </w:rPr>
        <w:t>:</w:t>
      </w:r>
      <w:r w:rsidRPr="00227B33">
        <w:t xml:space="preserve"> The proportion of participants aged 15 to 64 in open employment at full award wages is increasing year on year. To build on our progress each year we created </w:t>
      </w:r>
      <w:r w:rsidR="00027AF6" w:rsidRPr="00A21F05">
        <w:t xml:space="preserve">a new </w:t>
      </w:r>
      <w:r w:rsidR="00227B33">
        <w:t>resource</w:t>
      </w:r>
      <w:r w:rsidR="00027AF6" w:rsidRPr="00A21F05">
        <w:t xml:space="preserve">, </w:t>
      </w:r>
      <w:r w:rsidRPr="000E0F54">
        <w:rPr>
          <w:i/>
          <w:iCs/>
        </w:rPr>
        <w:t>Inclusive recruitment – a guide for NDIS employment providers</w:t>
      </w:r>
      <w:r w:rsidRPr="000E0F54">
        <w:t>.</w:t>
      </w:r>
    </w:p>
    <w:p w14:paraId="4A158BDC" w14:textId="0F8C6DD5" w:rsidR="00C51D1A" w:rsidRPr="00227B33" w:rsidRDefault="00C51D1A" w:rsidP="00C51D1A">
      <w:pPr>
        <w:pStyle w:val="Bullet1"/>
      </w:pPr>
      <w:r w:rsidRPr="00063A32">
        <w:rPr>
          <w:b/>
          <w:bCs/>
        </w:rPr>
        <w:t>Delivering targeted engagement activities for school-aged participants</w:t>
      </w:r>
      <w:r w:rsidR="003D7356" w:rsidRPr="00063A32">
        <w:rPr>
          <w:b/>
          <w:bCs/>
        </w:rPr>
        <w:t>:</w:t>
      </w:r>
      <w:r w:rsidRPr="00227B33">
        <w:t xml:space="preserve"> </w:t>
      </w:r>
      <w:r w:rsidR="00027AF6" w:rsidRPr="00227B33">
        <w:t>We held r</w:t>
      </w:r>
      <w:r w:rsidRPr="00227B33">
        <w:t xml:space="preserve">egular ‘Pathways to post-school life’ information sessions for students with disability and their families, carers and education professionals </w:t>
      </w:r>
      <w:r w:rsidR="00027AF6" w:rsidRPr="00063A32">
        <w:t xml:space="preserve">to </w:t>
      </w:r>
      <w:r w:rsidRPr="00227B33">
        <w:t xml:space="preserve">increase </w:t>
      </w:r>
      <w:r w:rsidR="00027AF6" w:rsidRPr="00063A32">
        <w:t xml:space="preserve">their </w:t>
      </w:r>
      <w:r w:rsidRPr="00227B33">
        <w:t>awareness of employment pathways and available supports.</w:t>
      </w:r>
    </w:p>
    <w:p w14:paraId="37A348AB" w14:textId="4E779A13" w:rsidR="00C51D1A" w:rsidRPr="00227B33" w:rsidRDefault="00C51D1A" w:rsidP="00C51D1A">
      <w:pPr>
        <w:pStyle w:val="Bullet1"/>
      </w:pPr>
      <w:r w:rsidRPr="00063A32">
        <w:rPr>
          <w:b/>
          <w:bCs/>
        </w:rPr>
        <w:t>Investing in community capacity building</w:t>
      </w:r>
      <w:r w:rsidR="003D7356" w:rsidRPr="00063A32">
        <w:rPr>
          <w:b/>
          <w:bCs/>
        </w:rPr>
        <w:t>:</w:t>
      </w:r>
      <w:r w:rsidRPr="00227B33">
        <w:t xml:space="preserve"> </w:t>
      </w:r>
      <w:r w:rsidR="00027AF6" w:rsidRPr="00063A32">
        <w:t xml:space="preserve">We </w:t>
      </w:r>
      <w:r w:rsidR="000E0F54">
        <w:t xml:space="preserve">were involved in </w:t>
      </w:r>
      <w:r w:rsidR="00027AF6" w:rsidRPr="00063A32">
        <w:t>8</w:t>
      </w:r>
      <w:r w:rsidR="005F2120">
        <w:t> </w:t>
      </w:r>
      <w:r w:rsidRPr="00227B33">
        <w:t>employment-focused community capacity</w:t>
      </w:r>
      <w:r w:rsidR="00027AF6" w:rsidRPr="00063A32">
        <w:t>-</w:t>
      </w:r>
      <w:r w:rsidRPr="00227B33">
        <w:t xml:space="preserve">building projects </w:t>
      </w:r>
      <w:r w:rsidR="00027AF6" w:rsidRPr="00063A32">
        <w:t xml:space="preserve">to </w:t>
      </w:r>
      <w:r w:rsidRPr="00227B33">
        <w:t>engage employers, support local employment initiatives and strengthen disability employment awareness.</w:t>
      </w:r>
    </w:p>
    <w:p w14:paraId="629CFBE8" w14:textId="08CBA875" w:rsidR="00C51D1A" w:rsidRDefault="00C51D1A" w:rsidP="002D3A0D">
      <w:r w:rsidRPr="00227B33">
        <w:t xml:space="preserve">The NDIA continues to support broader disability employment reforms to maximise employment outcomes. </w:t>
      </w:r>
      <w:r w:rsidR="00227B33">
        <w:t>For example, w</w:t>
      </w:r>
      <w:r w:rsidRPr="00227B33">
        <w:t>e contribute to system reforms led by the Department of Social Services</w:t>
      </w:r>
      <w:r w:rsidR="00027AF6" w:rsidRPr="00227B33">
        <w:t>. In 202</w:t>
      </w:r>
      <w:r w:rsidR="00227B33">
        <w:t>5</w:t>
      </w:r>
      <w:r w:rsidR="00117B7C">
        <w:t>–</w:t>
      </w:r>
      <w:r w:rsidR="00027AF6" w:rsidRPr="00227B33">
        <w:t>2</w:t>
      </w:r>
      <w:r w:rsidR="00227B33">
        <w:t>6</w:t>
      </w:r>
      <w:r w:rsidR="00027AF6" w:rsidRPr="00227B33">
        <w:t xml:space="preserve"> those reforms included the new </w:t>
      </w:r>
      <w:r w:rsidRPr="00227B33">
        <w:t xml:space="preserve">Inclusive Employment Australia, a specialist disability employment program, and </w:t>
      </w:r>
      <w:r w:rsidR="00027AF6" w:rsidRPr="00227B33">
        <w:t xml:space="preserve">a </w:t>
      </w:r>
      <w:r w:rsidRPr="00227B33">
        <w:t xml:space="preserve">supported employment roadmap. </w:t>
      </w:r>
      <w:r w:rsidR="000E0F54">
        <w:t xml:space="preserve">Our focus on broader reforms will </w:t>
      </w:r>
      <w:r w:rsidRPr="00227B33">
        <w:t>strengthen alignment across programs and support providers.</w:t>
      </w:r>
    </w:p>
    <w:p w14:paraId="5FCEE172" w14:textId="10E1B73B" w:rsidR="00151FFB" w:rsidRDefault="00E97524" w:rsidP="000E22B9">
      <w:r w:rsidRPr="00E97524">
        <w:t>The source of the data is the NDIA’s Short Form Outcomes Framework questionnaire. There were 32,739 survey responses in 2025–26, compared with 21,113 in 2024–25.</w:t>
      </w:r>
    </w:p>
    <w:p w14:paraId="67484520" w14:textId="53BF3920" w:rsidR="00E228A7" w:rsidRPr="00227B33" w:rsidRDefault="00E7213D" w:rsidP="00E228A7">
      <w:pPr>
        <w:pStyle w:val="Caption"/>
        <w:rPr>
          <w:lang w:eastAsia="ja-JP"/>
        </w:rPr>
      </w:pPr>
      <w:r w:rsidRPr="00227B33">
        <w:t xml:space="preserve">Table </w:t>
      </w:r>
      <w:r w:rsidRPr="00227B33">
        <w:fldChar w:fldCharType="begin"/>
      </w:r>
      <w:r w:rsidRPr="00227B33">
        <w:instrText>SEQ Table \* ARABIC</w:instrText>
      </w:r>
      <w:r w:rsidRPr="00227B33">
        <w:fldChar w:fldCharType="separate"/>
      </w:r>
      <w:r w:rsidR="0021625A">
        <w:rPr>
          <w:noProof/>
        </w:rPr>
        <w:t>2</w:t>
      </w:r>
      <w:r w:rsidRPr="00227B33">
        <w:fldChar w:fldCharType="end"/>
      </w:r>
      <w:r w:rsidRPr="00227B33">
        <w:t>.</w:t>
      </w:r>
      <w:r>
        <w:t xml:space="preserve"> </w:t>
      </w:r>
      <w:r w:rsidR="00E228A7" w:rsidRPr="00227B33">
        <w:t xml:space="preserve">Performance measure 1.2 – </w:t>
      </w:r>
      <w:r w:rsidR="00E228A7" w:rsidRPr="00227B33">
        <w:rPr>
          <w:lang w:eastAsia="ja-JP"/>
        </w:rPr>
        <w:t>Participant social and community engagement rate</w:t>
      </w:r>
    </w:p>
    <w:tbl>
      <w:tblPr>
        <w:tblStyle w:val="GridTable4"/>
        <w:tblW w:w="5000" w:type="pct"/>
        <w:tblLayout w:type="fixed"/>
        <w:tblLook w:val="0480" w:firstRow="0" w:lastRow="0" w:firstColumn="1" w:lastColumn="0" w:noHBand="0" w:noVBand="1"/>
        <w:tblDescription w:val="[Insert table description] with columns for [Insert column headings]. The table has [insert number] columns and [insert number] rows."/>
      </w:tblPr>
      <w:tblGrid>
        <w:gridCol w:w="3785"/>
        <w:gridCol w:w="5389"/>
      </w:tblGrid>
      <w:tr w:rsidR="001538CA" w:rsidRPr="00953950" w14:paraId="2D5F644D" w14:textId="77777777" w:rsidTr="00710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26032CC1" w14:textId="77777777" w:rsidR="001538CA" w:rsidRPr="0071049B" w:rsidRDefault="001538CA" w:rsidP="00016E4A">
            <w:pPr>
              <w:pStyle w:val="TableBody0"/>
              <w:spacing w:line="312" w:lineRule="auto"/>
            </w:pPr>
            <w:r w:rsidRPr="00BB3FBB">
              <w:t>Target</w:t>
            </w:r>
          </w:p>
        </w:tc>
        <w:tc>
          <w:tcPr>
            <w:tcW w:w="2937" w:type="pct"/>
          </w:tcPr>
          <w:p w14:paraId="62D8AC85" w14:textId="77777777" w:rsidR="001538CA" w:rsidRPr="00227B33" w:rsidRDefault="001538CA" w:rsidP="00016E4A">
            <w:pPr>
              <w:pStyle w:val="TableBody0"/>
              <w:spacing w:line="312" w:lineRule="auto"/>
              <w:cnfStyle w:val="000000100000" w:firstRow="0" w:lastRow="0" w:firstColumn="0" w:lastColumn="0" w:oddVBand="0" w:evenVBand="0" w:oddHBand="1" w:evenHBand="0" w:firstRowFirstColumn="0" w:firstRowLastColumn="0" w:lastRowFirstColumn="0" w:lastRowLastColumn="0"/>
              <w:rPr>
                <w:bCs/>
              </w:rPr>
            </w:pPr>
            <w:r w:rsidRPr="00227B33">
              <w:t>43%</w:t>
            </w:r>
          </w:p>
        </w:tc>
      </w:tr>
      <w:tr w:rsidR="001538CA" w:rsidRPr="00953950" w14:paraId="3A23375E" w14:textId="77777777" w:rsidTr="0071049B">
        <w:tc>
          <w:tcPr>
            <w:cnfStyle w:val="001000000000" w:firstRow="0" w:lastRow="0" w:firstColumn="1" w:lastColumn="0" w:oddVBand="0" w:evenVBand="0" w:oddHBand="0" w:evenHBand="0" w:firstRowFirstColumn="0" w:firstRowLastColumn="0" w:lastRowFirstColumn="0" w:lastRowLastColumn="0"/>
            <w:tcW w:w="2063" w:type="pct"/>
          </w:tcPr>
          <w:p w14:paraId="3F97ACB9" w14:textId="4E52B08C" w:rsidR="001538CA" w:rsidRPr="0071049B" w:rsidRDefault="001538CA" w:rsidP="00016E4A">
            <w:pPr>
              <w:pStyle w:val="TableBody0"/>
              <w:spacing w:line="312" w:lineRule="auto"/>
            </w:pPr>
            <w:r w:rsidRPr="00BB3FBB">
              <w:t>Performance achieved 2025–26</w:t>
            </w:r>
          </w:p>
        </w:tc>
        <w:tc>
          <w:tcPr>
            <w:tcW w:w="2937" w:type="pct"/>
          </w:tcPr>
          <w:p w14:paraId="38CA0B60" w14:textId="77777777" w:rsidR="001538CA" w:rsidRPr="00227B33" w:rsidRDefault="001538CA" w:rsidP="00016E4A">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227B33">
              <w:rPr>
                <w:rStyle w:val="cf01"/>
                <w:rFonts w:ascii="Arial" w:hAnsi="Arial" w:cs="Arial"/>
                <w:sz w:val="24"/>
                <w:szCs w:val="24"/>
              </w:rPr>
              <w:t>40.1%. Not achieved.</w:t>
            </w:r>
          </w:p>
        </w:tc>
      </w:tr>
      <w:tr w:rsidR="001538CA" w:rsidRPr="00953950" w14:paraId="0C0F327E" w14:textId="77777777" w:rsidTr="00710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740FF4A6" w14:textId="77777777" w:rsidR="001538CA" w:rsidRPr="0071049B" w:rsidRDefault="001538CA" w:rsidP="00016E4A">
            <w:pPr>
              <w:pStyle w:val="TableBody0"/>
              <w:spacing w:line="312" w:lineRule="auto"/>
            </w:pPr>
            <w:r w:rsidRPr="00BB3FBB">
              <w:t>Performance achieved over time</w:t>
            </w:r>
          </w:p>
        </w:tc>
        <w:tc>
          <w:tcPr>
            <w:tcW w:w="2937" w:type="pct"/>
          </w:tcPr>
          <w:p w14:paraId="23298CE7" w14:textId="77777777" w:rsidR="001538CA" w:rsidRPr="00227B33" w:rsidRDefault="001538CA" w:rsidP="00016E4A">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227B33">
              <w:t>The result of 40.1% was an improvement on the 2024–25 result of 38.6%.</w:t>
            </w:r>
          </w:p>
        </w:tc>
      </w:tr>
      <w:tr w:rsidR="001538CA" w:rsidRPr="00953950" w14:paraId="7474545C" w14:textId="77777777" w:rsidTr="0071049B">
        <w:tc>
          <w:tcPr>
            <w:cnfStyle w:val="001000000000" w:firstRow="0" w:lastRow="0" w:firstColumn="1" w:lastColumn="0" w:oddVBand="0" w:evenVBand="0" w:oddHBand="0" w:evenHBand="0" w:firstRowFirstColumn="0" w:firstRowLastColumn="0" w:lastRowFirstColumn="0" w:lastRowLastColumn="0"/>
            <w:tcW w:w="2063" w:type="pct"/>
          </w:tcPr>
          <w:p w14:paraId="3E10C492" w14:textId="77777777" w:rsidR="001538CA" w:rsidRPr="0071049B" w:rsidRDefault="001538CA" w:rsidP="00016E4A">
            <w:pPr>
              <w:pStyle w:val="TableBody0"/>
              <w:spacing w:line="312" w:lineRule="auto"/>
            </w:pPr>
            <w:r w:rsidRPr="00BB3FBB">
              <w:t>Why we measure this</w:t>
            </w:r>
          </w:p>
        </w:tc>
        <w:tc>
          <w:tcPr>
            <w:tcW w:w="2937" w:type="pct"/>
          </w:tcPr>
          <w:p w14:paraId="2451E2BE" w14:textId="77777777" w:rsidR="001538CA" w:rsidRPr="00227B33" w:rsidRDefault="001538CA" w:rsidP="00016E4A">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227B33">
              <w:rPr>
                <w:lang w:eastAsia="ja-JP"/>
              </w:rPr>
              <w:t>This measures the effectiveness of the NDIS in supporting the independence, and social and economic participation, of people with disability.</w:t>
            </w:r>
          </w:p>
        </w:tc>
      </w:tr>
      <w:tr w:rsidR="001538CA" w:rsidRPr="00953950" w14:paraId="712F717B" w14:textId="77777777" w:rsidTr="00710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2DD5363F" w14:textId="77777777" w:rsidR="001538CA" w:rsidRPr="0071049B" w:rsidRDefault="001538CA" w:rsidP="00016E4A">
            <w:pPr>
              <w:pStyle w:val="TableBody0"/>
              <w:spacing w:line="312" w:lineRule="auto"/>
            </w:pPr>
            <w:r w:rsidRPr="00BB3FBB">
              <w:t>Methodology</w:t>
            </w:r>
          </w:p>
        </w:tc>
        <w:tc>
          <w:tcPr>
            <w:tcW w:w="2937" w:type="pct"/>
          </w:tcPr>
          <w:p w14:paraId="678EED38" w14:textId="378D4E39" w:rsidR="001538CA" w:rsidRPr="00227B33" w:rsidRDefault="00B83A9D" w:rsidP="00016E4A">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B83A9D">
              <w:rPr>
                <w:lang w:eastAsia="ja-JP"/>
              </w:rPr>
              <w:t>This measure is calculated as the number of participants who responded ‘Yes’ to the question ‘Have you been actively involved in a community, cultural or religious group in the last 12 months?’ at their latest plan reassessment, divided by the number of respondents. Only responses from participants who have been in the NDIS for at least 2 years are included.</w:t>
            </w:r>
          </w:p>
        </w:tc>
      </w:tr>
    </w:tbl>
    <w:p w14:paraId="44216A5A" w14:textId="77777777" w:rsidR="001538CA" w:rsidRPr="004A19A4" w:rsidRDefault="001538CA" w:rsidP="004A19A4">
      <w:pPr>
        <w:spacing w:before="240"/>
        <w:rPr>
          <w:rStyle w:val="Strong"/>
        </w:rPr>
      </w:pPr>
      <w:r w:rsidRPr="004A19A4">
        <w:rPr>
          <w:rStyle w:val="Strong"/>
        </w:rPr>
        <w:t>Analysis</w:t>
      </w:r>
    </w:p>
    <w:p w14:paraId="50F9E379" w14:textId="34B1AA78" w:rsidR="001538CA" w:rsidRPr="00227B33" w:rsidRDefault="001538CA" w:rsidP="001538CA">
      <w:r w:rsidRPr="00227B33">
        <w:rPr>
          <w:lang w:val="en-US"/>
        </w:rPr>
        <w:t>Whil</w:t>
      </w:r>
      <w:r w:rsidR="00227B33">
        <w:rPr>
          <w:lang w:val="en-US"/>
        </w:rPr>
        <w:t>e</w:t>
      </w:r>
      <w:r w:rsidRPr="00227B33">
        <w:rPr>
          <w:lang w:val="en-US"/>
        </w:rPr>
        <w:t xml:space="preserve"> this measure is calculated as the number of participants who responded ‘Yes’ to the question ‘Have you been actively involved in a community, cultural or religious group in the last 12 months?’ at their latest plan review, this may not capture the full extent of participant social and community participation. Many participants will be a valued part of their community and have an active social life but not be part of a formal group, so </w:t>
      </w:r>
      <w:r w:rsidR="00027AF6" w:rsidRPr="00227B33">
        <w:rPr>
          <w:lang w:val="en-US"/>
        </w:rPr>
        <w:t xml:space="preserve">they </w:t>
      </w:r>
      <w:r w:rsidRPr="00227B33">
        <w:rPr>
          <w:lang w:val="en-US"/>
        </w:rPr>
        <w:t>may answer ‘No’ to this question.</w:t>
      </w:r>
    </w:p>
    <w:p w14:paraId="1D987E90" w14:textId="77777777" w:rsidR="001538CA" w:rsidRPr="00227B33" w:rsidRDefault="001538CA" w:rsidP="001538CA">
      <w:r w:rsidRPr="00227B33">
        <w:t>We aim to support participants’ social and community engagement by:</w:t>
      </w:r>
    </w:p>
    <w:p w14:paraId="7E3C1979" w14:textId="2D787E98" w:rsidR="001538CA" w:rsidRPr="00227B33" w:rsidRDefault="00BC0F85" w:rsidP="001538CA">
      <w:pPr>
        <w:pStyle w:val="Bullet1"/>
      </w:pPr>
      <w:r w:rsidRPr="00227B33">
        <w:t>s</w:t>
      </w:r>
      <w:r w:rsidR="001538CA" w:rsidRPr="00227B33">
        <w:t>upporting participants</w:t>
      </w:r>
      <w:r w:rsidRPr="00227B33">
        <w:t>’</w:t>
      </w:r>
      <w:r w:rsidR="001538CA" w:rsidRPr="00227B33">
        <w:t xml:space="preserve"> current social and community engagement activities with the </w:t>
      </w:r>
      <w:r w:rsidR="00921F01">
        <w:t>p</w:t>
      </w:r>
      <w:r w:rsidR="001538CA" w:rsidRPr="00227B33">
        <w:t xml:space="preserve">artners in the </w:t>
      </w:r>
      <w:r w:rsidR="00921F01">
        <w:t>c</w:t>
      </w:r>
      <w:r w:rsidR="001538CA" w:rsidRPr="00227B33">
        <w:t>ommunity program and support coordinators</w:t>
      </w:r>
    </w:p>
    <w:p w14:paraId="62AA3BE1" w14:textId="77777777" w:rsidR="001538CA" w:rsidRPr="00227B33" w:rsidRDefault="001538CA" w:rsidP="001538CA">
      <w:pPr>
        <w:pStyle w:val="Bullet1"/>
      </w:pPr>
      <w:r w:rsidRPr="00227B33">
        <w:t>educating NDIA planners, partners and support coordinators about having effective conversations about community participation during planning</w:t>
      </w:r>
    </w:p>
    <w:p w14:paraId="37C80992" w14:textId="45C2F0CE" w:rsidR="001538CA" w:rsidRPr="00227B33" w:rsidRDefault="001538CA" w:rsidP="001538CA">
      <w:pPr>
        <w:pStyle w:val="Bullet1"/>
      </w:pPr>
      <w:r w:rsidRPr="00227B33">
        <w:t>helping participants identify goals for accessing social and community engagement activities.</w:t>
      </w:r>
    </w:p>
    <w:p w14:paraId="1023EFEC" w14:textId="6E696289" w:rsidR="001538CA" w:rsidRPr="00227B33" w:rsidRDefault="00027AF6" w:rsidP="001538CA">
      <w:pPr>
        <w:rPr>
          <w:rFonts w:eastAsia="Arial" w:cs="Arial"/>
        </w:rPr>
      </w:pPr>
      <w:r w:rsidRPr="00227B33">
        <w:rPr>
          <w:rFonts w:eastAsia="Arial" w:cs="Arial"/>
          <w:color w:val="242424"/>
        </w:rPr>
        <w:t>F</w:t>
      </w:r>
      <w:r w:rsidR="001538CA" w:rsidRPr="00227B33">
        <w:rPr>
          <w:rFonts w:eastAsia="Arial" w:cs="Arial"/>
          <w:color w:val="242424"/>
        </w:rPr>
        <w:t xml:space="preserve">unding for social and community participation has increased year on year, </w:t>
      </w:r>
      <w:r w:rsidRPr="00227B33">
        <w:rPr>
          <w:rFonts w:eastAsia="Arial" w:cs="Arial"/>
          <w:color w:val="242424"/>
        </w:rPr>
        <w:t xml:space="preserve">but </w:t>
      </w:r>
      <w:r w:rsidR="001538CA" w:rsidRPr="00227B33">
        <w:rPr>
          <w:rFonts w:eastAsia="Arial" w:cs="Arial"/>
          <w:color w:val="242424"/>
        </w:rPr>
        <w:t xml:space="preserve">participants’ ability to use this funding is influenced by factors </w:t>
      </w:r>
      <w:r w:rsidRPr="00227B33">
        <w:rPr>
          <w:rFonts w:eastAsia="Arial" w:cs="Arial"/>
          <w:color w:val="242424"/>
        </w:rPr>
        <w:t xml:space="preserve">that are </w:t>
      </w:r>
      <w:r w:rsidR="001538CA" w:rsidRPr="00227B33">
        <w:rPr>
          <w:rFonts w:eastAsia="Arial" w:cs="Arial"/>
          <w:color w:val="242424"/>
        </w:rPr>
        <w:t>often outside the NDIA’s control</w:t>
      </w:r>
      <w:r w:rsidR="00C435F6" w:rsidRPr="00227B33">
        <w:rPr>
          <w:rFonts w:eastAsia="Arial" w:cs="Arial"/>
          <w:color w:val="242424"/>
        </w:rPr>
        <w:t xml:space="preserve"> </w:t>
      </w:r>
      <w:r w:rsidR="00C435F6" w:rsidRPr="00227B33">
        <w:rPr>
          <w:rFonts w:ascii="Symbol" w:eastAsia="Symbol" w:hAnsi="Symbol" w:cs="Symbol"/>
          <w:color w:val="242424"/>
        </w:rPr>
        <w:t>-</w:t>
      </w:r>
      <w:r w:rsidR="00C435F6" w:rsidRPr="00227B33">
        <w:rPr>
          <w:rFonts w:eastAsia="Arial" w:cs="Arial"/>
          <w:color w:val="242424"/>
        </w:rPr>
        <w:t xml:space="preserve"> f</w:t>
      </w:r>
      <w:r w:rsidRPr="00227B33">
        <w:rPr>
          <w:rFonts w:eastAsia="Arial" w:cs="Arial"/>
          <w:color w:val="242424"/>
        </w:rPr>
        <w:t xml:space="preserve">or example, </w:t>
      </w:r>
      <w:r w:rsidR="001538CA" w:rsidRPr="00227B33">
        <w:rPr>
          <w:rFonts w:eastAsia="Arial" w:cs="Arial"/>
          <w:color w:val="242424"/>
        </w:rPr>
        <w:t>provider availability, quality and consistency of services, transport and labour market challenges, and gaps in community and transport infrastructure that enable participation</w:t>
      </w:r>
      <w:r w:rsidR="001538CA" w:rsidRPr="00227B33">
        <w:rPr>
          <w:rFonts w:eastAsia="Arial" w:cs="Arial"/>
        </w:rPr>
        <w:t>.</w:t>
      </w:r>
    </w:p>
    <w:p w14:paraId="4DB7E7F5" w14:textId="10429349" w:rsidR="001538CA" w:rsidRPr="00227B33" w:rsidRDefault="001538CA" w:rsidP="001538CA">
      <w:r w:rsidRPr="00227B33">
        <w:t>Our focus is to:</w:t>
      </w:r>
    </w:p>
    <w:p w14:paraId="234A76D3" w14:textId="77777777" w:rsidR="001538CA" w:rsidRPr="00227B33" w:rsidRDefault="001538CA" w:rsidP="001538CA">
      <w:pPr>
        <w:pStyle w:val="Bullet1"/>
      </w:pPr>
      <w:r w:rsidRPr="00227B33">
        <w:t>continue providing guidance and training for planners, partners and providers on the importance of social and community engagement</w:t>
      </w:r>
    </w:p>
    <w:p w14:paraId="7ABD47CD" w14:textId="4F7F5567" w:rsidR="001538CA" w:rsidRPr="00227B33" w:rsidRDefault="001538CA" w:rsidP="001538CA">
      <w:pPr>
        <w:pStyle w:val="Bullet1"/>
      </w:pPr>
      <w:r w:rsidRPr="000E0F54">
        <w:t xml:space="preserve">analyse </w:t>
      </w:r>
      <w:r w:rsidR="000E0F54" w:rsidRPr="000E0F54">
        <w:t>the way</w:t>
      </w:r>
      <w:r w:rsidR="000E0F54">
        <w:t xml:space="preserve"> </w:t>
      </w:r>
      <w:r w:rsidRPr="00227B33">
        <w:t>NDIS supports contribute to independence and participation</w:t>
      </w:r>
    </w:p>
    <w:p w14:paraId="4A788ACB" w14:textId="77777777" w:rsidR="001538CA" w:rsidRPr="00227B33" w:rsidRDefault="001538CA" w:rsidP="001538CA">
      <w:pPr>
        <w:pStyle w:val="Bullet1"/>
      </w:pPr>
      <w:r w:rsidRPr="00227B33">
        <w:t>support broader NDIS reform initiatives, including the $200 million Inclusive Communities Fund to rebuild capability among community organisations so people have new options to genuinely participate in their local community</w:t>
      </w:r>
    </w:p>
    <w:p w14:paraId="0D716963" w14:textId="77777777" w:rsidR="001538CA" w:rsidRPr="00227B33" w:rsidRDefault="001538CA" w:rsidP="001538CA">
      <w:pPr>
        <w:pStyle w:val="Bullet1"/>
      </w:pPr>
      <w:r w:rsidRPr="00227B33">
        <w:t>monitor the use of funding for social and community participation.</w:t>
      </w:r>
    </w:p>
    <w:p w14:paraId="52E4B40F" w14:textId="3E3502F3" w:rsidR="001538CA" w:rsidRDefault="001538CA" w:rsidP="000E0F54">
      <w:pPr>
        <w:rPr>
          <w:rFonts w:eastAsia="Arial" w:cs="Arial"/>
          <w:color w:val="242424"/>
        </w:rPr>
      </w:pPr>
      <w:r w:rsidRPr="000E0F54">
        <w:rPr>
          <w:rFonts w:eastAsia="Arial" w:cs="Arial"/>
          <w:color w:val="242424"/>
        </w:rPr>
        <w:t>Supports for social and community participation in participants’ plans have increased significantly, from $4 billion 5 years ago to more than $12 billion this year. There has not been an increase in participation aligned with that funding increase. Participation, as measured by this performance measure, declined this financial year.</w:t>
      </w:r>
    </w:p>
    <w:p w14:paraId="4DD715E1" w14:textId="1BED4217" w:rsidR="007F1D6E" w:rsidRPr="000E0F54" w:rsidRDefault="007F1D6E" w:rsidP="000E0F54">
      <w:pPr>
        <w:rPr>
          <w:rFonts w:eastAsia="Arial" w:cs="Arial"/>
          <w:color w:val="242424"/>
        </w:rPr>
      </w:pPr>
      <w:r w:rsidRPr="007F1D6E">
        <w:rPr>
          <w:rFonts w:eastAsia="Arial" w:cs="Arial"/>
          <w:color w:val="242424"/>
        </w:rPr>
        <w:t>The source of the data is the NDIA’s Short Form Outcomes Framework questionnaire. There were 37,989 survey responses in 2025</w:t>
      </w:r>
      <w:r w:rsidR="00DA3DD5">
        <w:rPr>
          <w:rFonts w:eastAsia="Arial" w:cs="Arial"/>
          <w:color w:val="242424"/>
        </w:rPr>
        <w:t>–</w:t>
      </w:r>
      <w:r w:rsidRPr="007F1D6E">
        <w:rPr>
          <w:rFonts w:eastAsia="Arial" w:cs="Arial"/>
          <w:color w:val="242424"/>
        </w:rPr>
        <w:t>26, compared with 24,513 in 2024</w:t>
      </w:r>
      <w:r w:rsidR="00DA3DD5">
        <w:rPr>
          <w:rFonts w:eastAsia="Arial" w:cs="Arial"/>
          <w:color w:val="242424"/>
        </w:rPr>
        <w:t>–</w:t>
      </w:r>
      <w:r w:rsidRPr="007F1D6E">
        <w:rPr>
          <w:rFonts w:eastAsia="Arial" w:cs="Arial"/>
          <w:color w:val="242424"/>
        </w:rPr>
        <w:t>25.</w:t>
      </w:r>
    </w:p>
    <w:p w14:paraId="2B66F421" w14:textId="61778DC5" w:rsidR="00E228A7" w:rsidRPr="00227B33" w:rsidRDefault="00E228A7" w:rsidP="00E228A7">
      <w:pPr>
        <w:pStyle w:val="Caption"/>
        <w:rPr>
          <w:lang w:eastAsia="ja-JP"/>
        </w:rPr>
      </w:pPr>
      <w:r w:rsidRPr="00227B33">
        <w:t xml:space="preserve">Table </w:t>
      </w:r>
      <w:r w:rsidRPr="00227B33">
        <w:fldChar w:fldCharType="begin"/>
      </w:r>
      <w:r w:rsidRPr="00227B33">
        <w:instrText>SEQ Table \* ARABIC</w:instrText>
      </w:r>
      <w:r w:rsidRPr="00227B33">
        <w:fldChar w:fldCharType="separate"/>
      </w:r>
      <w:r w:rsidR="0021625A">
        <w:rPr>
          <w:noProof/>
        </w:rPr>
        <w:t>3</w:t>
      </w:r>
      <w:r w:rsidRPr="00227B33">
        <w:fldChar w:fldCharType="end"/>
      </w:r>
      <w:r w:rsidRPr="00227B33">
        <w:t xml:space="preserve">. Performance measure 1.3 – </w:t>
      </w:r>
      <w:r w:rsidRPr="00227B33">
        <w:rPr>
          <w:lang w:eastAsia="ja-JP"/>
        </w:rPr>
        <w:t>Participant satisfaction</w:t>
      </w:r>
    </w:p>
    <w:tbl>
      <w:tblPr>
        <w:tblStyle w:val="GridTable4"/>
        <w:tblW w:w="5000" w:type="pct"/>
        <w:tblLayout w:type="fixed"/>
        <w:tblLook w:val="0480" w:firstRow="0" w:lastRow="0" w:firstColumn="1" w:lastColumn="0" w:noHBand="0" w:noVBand="1"/>
        <w:tblDescription w:val="[Insert table description] with columns for [Insert column headings]. The table has [insert number] columns and [insert number] rows."/>
      </w:tblPr>
      <w:tblGrid>
        <w:gridCol w:w="3785"/>
        <w:gridCol w:w="5389"/>
      </w:tblGrid>
      <w:tr w:rsidR="00102E0D" w:rsidRPr="00953950" w14:paraId="5E98763E" w14:textId="77777777" w:rsidTr="006B09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52F0EEB0" w14:textId="77777777" w:rsidR="00102E0D" w:rsidRPr="00E7213D" w:rsidRDefault="00102E0D" w:rsidP="00016E4A">
            <w:pPr>
              <w:pStyle w:val="TableBody0"/>
              <w:spacing w:line="312" w:lineRule="auto"/>
              <w:rPr>
                <w:b/>
                <w:bCs w:val="0"/>
              </w:rPr>
            </w:pPr>
            <w:r w:rsidRPr="00E7213D">
              <w:t>Target</w:t>
            </w:r>
          </w:p>
        </w:tc>
        <w:tc>
          <w:tcPr>
            <w:tcW w:w="2937" w:type="pct"/>
          </w:tcPr>
          <w:p w14:paraId="0001C2BD" w14:textId="77777777" w:rsidR="00102E0D" w:rsidRPr="00227B33" w:rsidRDefault="00102E0D" w:rsidP="00016E4A">
            <w:pPr>
              <w:pStyle w:val="TableBody0"/>
              <w:spacing w:line="312" w:lineRule="auto"/>
              <w:cnfStyle w:val="000000100000" w:firstRow="0" w:lastRow="0" w:firstColumn="0" w:lastColumn="0" w:oddVBand="0" w:evenVBand="0" w:oddHBand="1" w:evenHBand="0" w:firstRowFirstColumn="0" w:firstRowLastColumn="0" w:lastRowFirstColumn="0" w:lastRowLastColumn="0"/>
              <w:rPr>
                <w:bCs/>
              </w:rPr>
            </w:pPr>
            <w:r w:rsidRPr="00227B33">
              <w:t>76%</w:t>
            </w:r>
          </w:p>
        </w:tc>
      </w:tr>
      <w:tr w:rsidR="00102E0D" w:rsidRPr="00953950" w14:paraId="62D68197"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19FD2176" w14:textId="6AE29801" w:rsidR="00102E0D" w:rsidRPr="00E7213D" w:rsidRDefault="00102E0D" w:rsidP="00016E4A">
            <w:pPr>
              <w:pStyle w:val="TableBody0"/>
              <w:spacing w:line="312" w:lineRule="auto"/>
              <w:rPr>
                <w:b/>
                <w:bCs w:val="0"/>
              </w:rPr>
            </w:pPr>
            <w:r w:rsidRPr="00E7213D">
              <w:t>Performance achieved 2025–26</w:t>
            </w:r>
          </w:p>
        </w:tc>
        <w:tc>
          <w:tcPr>
            <w:tcW w:w="2937" w:type="pct"/>
          </w:tcPr>
          <w:p w14:paraId="1EF973A7" w14:textId="7883B381" w:rsidR="00102E0D" w:rsidRPr="00227B33" w:rsidRDefault="00102E0D" w:rsidP="00016E4A">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DA0F65">
              <w:t>62.</w:t>
            </w:r>
            <w:r w:rsidR="001D6E7F" w:rsidRPr="00DA0F65">
              <w:t>9</w:t>
            </w:r>
            <w:r w:rsidRPr="00DA0F65">
              <w:t>%. Not achieved.</w:t>
            </w:r>
          </w:p>
        </w:tc>
      </w:tr>
      <w:tr w:rsidR="00102E0D" w:rsidRPr="00953950" w14:paraId="1A8B8A8B"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5A367956" w14:textId="77777777" w:rsidR="00102E0D" w:rsidRPr="00E7213D" w:rsidRDefault="00102E0D" w:rsidP="00016E4A">
            <w:pPr>
              <w:pStyle w:val="TableBody0"/>
              <w:spacing w:line="312" w:lineRule="auto"/>
              <w:rPr>
                <w:b/>
                <w:bCs w:val="0"/>
              </w:rPr>
            </w:pPr>
            <w:r w:rsidRPr="00E7213D">
              <w:t>Performance achieved over time</w:t>
            </w:r>
          </w:p>
        </w:tc>
        <w:tc>
          <w:tcPr>
            <w:tcW w:w="2937" w:type="pct"/>
          </w:tcPr>
          <w:p w14:paraId="76D9BF44" w14:textId="73C2C3AF" w:rsidR="00102E0D" w:rsidRPr="00227B33" w:rsidRDefault="00102E0D" w:rsidP="00016E4A">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227B33">
              <w:t>The result of 62.</w:t>
            </w:r>
            <w:r w:rsidR="001D6E7F">
              <w:t>9</w:t>
            </w:r>
            <w:r w:rsidRPr="00227B33">
              <w:t>% is slightly higher than the 2024–25 result of 62.2%. This indicates that satisfaction levels were stable across the year but below target.</w:t>
            </w:r>
          </w:p>
        </w:tc>
      </w:tr>
      <w:tr w:rsidR="00102E0D" w:rsidRPr="00953950" w14:paraId="6EF609B7" w14:textId="77777777" w:rsidTr="006B090D">
        <w:tc>
          <w:tcPr>
            <w:cnfStyle w:val="001000000000" w:firstRow="0" w:lastRow="0" w:firstColumn="1" w:lastColumn="0" w:oddVBand="0" w:evenVBand="0" w:oddHBand="0" w:evenHBand="0" w:firstRowFirstColumn="0" w:firstRowLastColumn="0" w:lastRowFirstColumn="0" w:lastRowLastColumn="0"/>
            <w:tcW w:w="2063" w:type="pct"/>
          </w:tcPr>
          <w:p w14:paraId="764EAD44" w14:textId="77777777" w:rsidR="00102E0D" w:rsidRPr="00E7213D" w:rsidRDefault="00102E0D" w:rsidP="00016E4A">
            <w:pPr>
              <w:pStyle w:val="TableBody0"/>
              <w:spacing w:line="312" w:lineRule="auto"/>
              <w:rPr>
                <w:b/>
                <w:bCs w:val="0"/>
              </w:rPr>
            </w:pPr>
            <w:r w:rsidRPr="00E7213D">
              <w:t>Why we measure this</w:t>
            </w:r>
          </w:p>
        </w:tc>
        <w:tc>
          <w:tcPr>
            <w:tcW w:w="2937" w:type="pct"/>
          </w:tcPr>
          <w:p w14:paraId="435A0170" w14:textId="77777777" w:rsidR="00102E0D" w:rsidRPr="00227B33" w:rsidRDefault="00102E0D" w:rsidP="00016E4A">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227B33">
              <w:t>This measures the output (quality) of the NDIA in delivering the NDIS to support the independence, and social and economic participation, of people with disability across the NDIS participant pathway.</w:t>
            </w:r>
          </w:p>
        </w:tc>
      </w:tr>
      <w:tr w:rsidR="00102E0D" w:rsidRPr="00953950" w14:paraId="07F8DF91"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6FDF9E20" w14:textId="77777777" w:rsidR="00102E0D" w:rsidRPr="00E7213D" w:rsidRDefault="00102E0D" w:rsidP="00016E4A">
            <w:pPr>
              <w:pStyle w:val="TableBody0"/>
              <w:spacing w:line="312" w:lineRule="auto"/>
              <w:rPr>
                <w:b/>
                <w:bCs w:val="0"/>
              </w:rPr>
            </w:pPr>
            <w:r w:rsidRPr="00E7213D">
              <w:t>Methodology</w:t>
            </w:r>
          </w:p>
        </w:tc>
        <w:tc>
          <w:tcPr>
            <w:tcW w:w="2937" w:type="pct"/>
          </w:tcPr>
          <w:p w14:paraId="09003BFC" w14:textId="77777777" w:rsidR="004C38C3" w:rsidRDefault="004C38C3" w:rsidP="00016E4A">
            <w:pPr>
              <w:spacing w:before="100" w:after="100" w:line="312" w:lineRule="auto"/>
              <w:cnfStyle w:val="000000100000" w:firstRow="0" w:lastRow="0" w:firstColumn="0" w:lastColumn="0" w:oddVBand="0" w:evenVBand="0" w:oddHBand="1" w:evenHBand="0" w:firstRowFirstColumn="0" w:firstRowLastColumn="0" w:lastRowFirstColumn="0" w:lastRowLastColumn="0"/>
            </w:pPr>
            <w:r w:rsidRPr="00027FFB">
              <w:t>This measure is calculated as the number of participants who responded ‘Very good’ or ‘Good’ to the question ‘Overall, how was your experience with the X process?’ (where X is a particular ‘moment’ along the participant pathway), divided by the number of participants surveyed across all moments.</w:t>
            </w:r>
          </w:p>
          <w:p w14:paraId="6909FA07" w14:textId="77777777" w:rsidR="004C38C3" w:rsidRDefault="004C38C3" w:rsidP="00016E4A">
            <w:pPr>
              <w:spacing w:before="100" w:after="100" w:line="312" w:lineRule="auto"/>
              <w:cnfStyle w:val="000000100000" w:firstRow="0" w:lastRow="0" w:firstColumn="0" w:lastColumn="0" w:oddVBand="0" w:evenVBand="0" w:oddHBand="1" w:evenHBand="0" w:firstRowFirstColumn="0" w:firstRowLastColumn="0" w:lastRowFirstColumn="0" w:lastRowLastColumn="0"/>
            </w:pPr>
            <w:r>
              <w:t xml:space="preserve">The moments measured in this metric are: </w:t>
            </w:r>
          </w:p>
          <w:p w14:paraId="3EC9C352" w14:textId="77777777" w:rsidR="004C38C3" w:rsidRDefault="004C38C3" w:rsidP="00016E4A">
            <w:pPr>
              <w:pStyle w:val="TableBullet"/>
              <w:spacing w:line="312" w:lineRule="auto"/>
              <w:cnfStyle w:val="000000100000" w:firstRow="0" w:lastRow="0" w:firstColumn="0" w:lastColumn="0" w:oddVBand="0" w:evenVBand="0" w:oddHBand="1" w:evenHBand="0" w:firstRowFirstColumn="0" w:firstRowLastColumn="0" w:lastRowFirstColumn="0" w:lastRowLastColumn="0"/>
            </w:pPr>
            <w:r>
              <w:t>apply for NDIS process</w:t>
            </w:r>
          </w:p>
          <w:p w14:paraId="5D570664" w14:textId="77777777" w:rsidR="004C38C3" w:rsidRDefault="004C38C3" w:rsidP="00016E4A">
            <w:pPr>
              <w:pStyle w:val="TableBullet"/>
              <w:spacing w:line="312" w:lineRule="auto"/>
              <w:cnfStyle w:val="000000100000" w:firstRow="0" w:lastRow="0" w:firstColumn="0" w:lastColumn="0" w:oddVBand="0" w:evenVBand="0" w:oddHBand="1" w:evenHBand="0" w:firstRowFirstColumn="0" w:firstRowLastColumn="0" w:lastRowFirstColumn="0" w:lastRowLastColumn="0"/>
            </w:pPr>
            <w:r>
              <w:t>plan approval process</w:t>
            </w:r>
          </w:p>
          <w:p w14:paraId="6E9D0FDA" w14:textId="77777777" w:rsidR="004C38C3" w:rsidRDefault="004C38C3" w:rsidP="00016E4A">
            <w:pPr>
              <w:pStyle w:val="TableBullet"/>
              <w:spacing w:line="312" w:lineRule="auto"/>
              <w:cnfStyle w:val="000000100000" w:firstRow="0" w:lastRow="0" w:firstColumn="0" w:lastColumn="0" w:oddVBand="0" w:evenVBand="0" w:oddHBand="1" w:evenHBand="0" w:firstRowFirstColumn="0" w:firstRowLastColumn="0" w:lastRowFirstColumn="0" w:lastRowLastColumn="0"/>
            </w:pPr>
            <w:r>
              <w:t xml:space="preserve">plan implementation process </w:t>
            </w:r>
          </w:p>
          <w:p w14:paraId="1A76231F" w14:textId="77777777" w:rsidR="004C38C3" w:rsidRDefault="004C38C3" w:rsidP="00016E4A">
            <w:pPr>
              <w:pStyle w:val="TableBullet"/>
              <w:spacing w:line="312" w:lineRule="auto"/>
              <w:cnfStyle w:val="000000100000" w:firstRow="0" w:lastRow="0" w:firstColumn="0" w:lastColumn="0" w:oddVBand="0" w:evenVBand="0" w:oddHBand="1" w:evenHBand="0" w:firstRowFirstColumn="0" w:firstRowLastColumn="0" w:lastRowFirstColumn="0" w:lastRowLastColumn="0"/>
            </w:pPr>
            <w:r>
              <w:t>plan reassessment process.</w:t>
            </w:r>
          </w:p>
          <w:p w14:paraId="0860E333" w14:textId="5BC02C92" w:rsidR="00102E0D" w:rsidRPr="00227B33" w:rsidRDefault="004C38C3" w:rsidP="00016E4A">
            <w:pPr>
              <w:spacing w:before="100" w:after="100" w:line="312" w:lineRule="auto"/>
              <w:cnfStyle w:val="000000100000" w:firstRow="0" w:lastRow="0" w:firstColumn="0" w:lastColumn="0" w:oddVBand="0" w:evenVBand="0" w:oddHBand="1" w:evenHBand="0" w:firstRowFirstColumn="0" w:firstRowLastColumn="0" w:lastRowFirstColumn="0" w:lastRowLastColumn="0"/>
            </w:pPr>
            <w:r w:rsidRPr="007A3600">
              <w:t>The satisfaction survey is conducted every month by an independent provider</w:t>
            </w:r>
            <w:r w:rsidR="00641E39">
              <w:t>,</w:t>
            </w:r>
            <w:r w:rsidRPr="007A3600">
              <w:t xml:space="preserve"> </w:t>
            </w:r>
            <w:r>
              <w:t>AHA</w:t>
            </w:r>
            <w:r w:rsidRPr="007A3600">
              <w:t>.</w:t>
            </w:r>
          </w:p>
        </w:tc>
      </w:tr>
    </w:tbl>
    <w:p w14:paraId="71A56E74" w14:textId="77777777" w:rsidR="00102E0D" w:rsidRPr="004A19A4" w:rsidRDefault="00102E0D" w:rsidP="004A19A4">
      <w:pPr>
        <w:spacing w:before="240"/>
        <w:rPr>
          <w:rStyle w:val="Strong"/>
        </w:rPr>
      </w:pPr>
      <w:r w:rsidRPr="004A19A4">
        <w:rPr>
          <w:rStyle w:val="Strong"/>
        </w:rPr>
        <w:t>Analysis</w:t>
      </w:r>
    </w:p>
    <w:p w14:paraId="728B3B7E" w14:textId="2917C730" w:rsidR="00102E0D" w:rsidRPr="00227B33" w:rsidRDefault="00104F2C" w:rsidP="00102E0D">
      <w:r>
        <w:t xml:space="preserve">This measure looks at the average satisfaction across 4 stages of the participant pathway. Results varied across these stages. </w:t>
      </w:r>
      <w:r w:rsidR="008D0293">
        <w:t>Satisfaction was highest for ‘apply for NDIS’ and lower for ‘plan approval’, ‘plan implementation’ and ‘plan reassessment’.</w:t>
      </w:r>
    </w:p>
    <w:p w14:paraId="62764B94" w14:textId="1A8BE62E" w:rsidR="00102E0D" w:rsidRPr="00227B33" w:rsidRDefault="00102E0D" w:rsidP="00102E0D">
      <w:r w:rsidRPr="00227B33">
        <w:t>Participants’ overall experience continues to be influenced by the outcomes of planning decisions</w:t>
      </w:r>
      <w:r w:rsidR="000E0F54">
        <w:t xml:space="preserve"> </w:t>
      </w:r>
      <w:r w:rsidR="000E0F54">
        <w:rPr>
          <w:rFonts w:ascii="Symbol" w:eastAsia="Symbol" w:hAnsi="Symbol" w:cs="Symbol"/>
        </w:rPr>
        <w:t>-</w:t>
      </w:r>
      <w:r w:rsidR="000E0F54">
        <w:t xml:space="preserve"> for example, </w:t>
      </w:r>
      <w:r w:rsidRPr="00227B33">
        <w:t>changes made to a participant’s supports</w:t>
      </w:r>
      <w:r w:rsidR="00EF7750" w:rsidRPr="00227B33">
        <w:t xml:space="preserve"> and </w:t>
      </w:r>
      <w:r w:rsidRPr="00227B33">
        <w:t>requested supports not being approved.</w:t>
      </w:r>
    </w:p>
    <w:p w14:paraId="6F3E61E0" w14:textId="393C876A" w:rsidR="00102E0D" w:rsidRPr="00227B33" w:rsidRDefault="00102E0D" w:rsidP="00102E0D">
      <w:r w:rsidRPr="00227B33">
        <w:t>To improve the participant experience, this year we strengthened the capability of frontline staff and partners through:</w:t>
      </w:r>
    </w:p>
    <w:p w14:paraId="473DCAE8" w14:textId="77777777" w:rsidR="00102E0D" w:rsidRPr="00227B33" w:rsidRDefault="00102E0D" w:rsidP="00102E0D">
      <w:pPr>
        <w:pStyle w:val="Bullet1"/>
        <w:rPr>
          <w:b/>
          <w:bCs/>
        </w:rPr>
      </w:pPr>
      <w:r w:rsidRPr="00227B33">
        <w:t>better training, with enhanced induction program manuals</w:t>
      </w:r>
    </w:p>
    <w:p w14:paraId="289DFBED" w14:textId="77777777" w:rsidR="00102E0D" w:rsidRPr="00227B33" w:rsidRDefault="00102E0D" w:rsidP="00102E0D">
      <w:pPr>
        <w:pStyle w:val="Bullet1"/>
        <w:rPr>
          <w:b/>
          <w:bCs/>
        </w:rPr>
      </w:pPr>
      <w:r w:rsidRPr="00227B33">
        <w:t>a redesigned supported decision-making approach</w:t>
      </w:r>
    </w:p>
    <w:p w14:paraId="4FD67E2D" w14:textId="7210FCE8" w:rsidR="00102E0D" w:rsidRPr="00227B33" w:rsidRDefault="00102E0D" w:rsidP="00102E0D">
      <w:pPr>
        <w:pStyle w:val="Bullet1"/>
        <w:rPr>
          <w:b/>
          <w:bCs/>
        </w:rPr>
      </w:pPr>
      <w:r w:rsidRPr="00227B33">
        <w:t>improved participant support.</w:t>
      </w:r>
    </w:p>
    <w:p w14:paraId="72B35E55" w14:textId="1206FDD5" w:rsidR="00102E0D" w:rsidRPr="00227B33" w:rsidRDefault="00102E0D" w:rsidP="00102E0D">
      <w:r w:rsidRPr="00227B33">
        <w:t xml:space="preserve">We also focused on improving participants’ experience and </w:t>
      </w:r>
      <w:r w:rsidRPr="000E0F54">
        <w:t>PSG</w:t>
      </w:r>
      <w:r w:rsidRPr="00227B33">
        <w:t xml:space="preserve"> timeframes by:</w:t>
      </w:r>
    </w:p>
    <w:p w14:paraId="6636E8D9" w14:textId="77777777" w:rsidR="00102E0D" w:rsidRPr="00227B33" w:rsidRDefault="00102E0D" w:rsidP="00102E0D">
      <w:pPr>
        <w:pStyle w:val="Bullet1"/>
      </w:pPr>
      <w:r w:rsidRPr="00227B33">
        <w:t xml:space="preserve">reducing waiting times for </w:t>
      </w:r>
      <w:r w:rsidRPr="00227B33">
        <w:rPr>
          <w:lang w:val="en-US"/>
        </w:rPr>
        <w:t>unscheduled reassessment requests</w:t>
      </w:r>
    </w:p>
    <w:p w14:paraId="638FC457" w14:textId="77777777" w:rsidR="00102E0D" w:rsidRPr="00227B33" w:rsidRDefault="00102E0D" w:rsidP="00102E0D">
      <w:pPr>
        <w:pStyle w:val="Bullet1"/>
        <w:rPr>
          <w:b/>
          <w:bCs/>
        </w:rPr>
      </w:pPr>
      <w:r w:rsidRPr="00227B33">
        <w:t>supporting participants during the planning process to increase trust and strengthen confidence in the process</w:t>
      </w:r>
    </w:p>
    <w:p w14:paraId="1D6C32F2" w14:textId="77777777" w:rsidR="00102E0D" w:rsidRPr="00227B33" w:rsidRDefault="00102E0D" w:rsidP="00102E0D">
      <w:pPr>
        <w:pStyle w:val="Bullet1"/>
        <w:rPr>
          <w:b/>
          <w:bCs/>
        </w:rPr>
      </w:pPr>
      <w:r w:rsidRPr="00227B33">
        <w:t>providing clearer communication to participants during changes to the NDIS</w:t>
      </w:r>
    </w:p>
    <w:p w14:paraId="5AEB329F" w14:textId="0EB066A3" w:rsidR="00102E0D" w:rsidRPr="00227B33" w:rsidRDefault="00102E0D" w:rsidP="00102E0D">
      <w:pPr>
        <w:pStyle w:val="Bullet1"/>
      </w:pPr>
      <w:r w:rsidRPr="00227B33">
        <w:t>working with partners to improve service delivery timeframes and experience.</w:t>
      </w:r>
    </w:p>
    <w:p w14:paraId="0C01ED42" w14:textId="2DE5E52E" w:rsidR="00102E0D" w:rsidRPr="00227B33" w:rsidRDefault="00102E0D" w:rsidP="00A70B06">
      <w:r w:rsidRPr="000E0F54">
        <w:t>The NDIA is</w:t>
      </w:r>
      <w:r w:rsidR="00463231">
        <w:t xml:space="preserve"> </w:t>
      </w:r>
      <w:r w:rsidRPr="000E0F54">
        <w:t>committed to working collaboratively with participants to build trust in decision</w:t>
      </w:r>
      <w:r w:rsidR="000E0F54">
        <w:t>-</w:t>
      </w:r>
      <w:r w:rsidRPr="000E0F54">
        <w:t>making, strengthen confidence in the NDIS and provide positive experiences across the participant journey.</w:t>
      </w:r>
    </w:p>
    <w:p w14:paraId="4E9BAEB8" w14:textId="44EB5D56" w:rsidR="00E228A7" w:rsidRPr="00227B33" w:rsidRDefault="00E228A7" w:rsidP="00E228A7">
      <w:pPr>
        <w:pStyle w:val="Caption"/>
        <w:rPr>
          <w:lang w:eastAsia="ja-JP"/>
        </w:rPr>
      </w:pPr>
      <w:r w:rsidRPr="00227B33">
        <w:t xml:space="preserve">Table </w:t>
      </w:r>
      <w:r w:rsidRPr="00227B33">
        <w:fldChar w:fldCharType="begin"/>
      </w:r>
      <w:r w:rsidRPr="00227B33">
        <w:instrText>SEQ Table \* ARABIC</w:instrText>
      </w:r>
      <w:r w:rsidRPr="00227B33">
        <w:fldChar w:fldCharType="separate"/>
      </w:r>
      <w:r w:rsidR="0021625A">
        <w:rPr>
          <w:noProof/>
        </w:rPr>
        <w:t>4</w:t>
      </w:r>
      <w:r w:rsidRPr="00227B33">
        <w:fldChar w:fldCharType="end"/>
      </w:r>
      <w:r w:rsidRPr="00227B33">
        <w:t xml:space="preserve">. Performance measure 1.4 – </w:t>
      </w:r>
      <w:r w:rsidRPr="00227B33">
        <w:rPr>
          <w:lang w:eastAsia="ja-JP"/>
        </w:rPr>
        <w:t>Participant satisfaction with progress toward their goals</w:t>
      </w:r>
    </w:p>
    <w:tbl>
      <w:tblPr>
        <w:tblStyle w:val="GridTable4"/>
        <w:tblW w:w="5000" w:type="pct"/>
        <w:tblLayout w:type="fixed"/>
        <w:tblLook w:val="0480" w:firstRow="0" w:lastRow="0" w:firstColumn="1" w:lastColumn="0" w:noHBand="0" w:noVBand="1"/>
        <w:tblDescription w:val="[Insert table description] with columns for [Insert column headings]. The table has [insert number] columns and [insert number] rows."/>
      </w:tblPr>
      <w:tblGrid>
        <w:gridCol w:w="3785"/>
        <w:gridCol w:w="5389"/>
      </w:tblGrid>
      <w:tr w:rsidR="00410841" w:rsidRPr="00953950" w14:paraId="715F6A86" w14:textId="77777777" w:rsidTr="006B09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7D0A8D13" w14:textId="77777777" w:rsidR="00410841" w:rsidRPr="00E7213D" w:rsidRDefault="00410841" w:rsidP="00453AE7">
            <w:pPr>
              <w:pStyle w:val="TableBody0"/>
              <w:spacing w:line="312" w:lineRule="auto"/>
              <w:rPr>
                <w:b/>
                <w:bCs w:val="0"/>
              </w:rPr>
            </w:pPr>
            <w:r w:rsidRPr="00E7213D">
              <w:t>Target</w:t>
            </w:r>
          </w:p>
        </w:tc>
        <w:tc>
          <w:tcPr>
            <w:tcW w:w="2937" w:type="pct"/>
          </w:tcPr>
          <w:p w14:paraId="18D2FDCD" w14:textId="77777777" w:rsidR="00410841" w:rsidRPr="00227B33" w:rsidRDefault="00410841" w:rsidP="00453AE7">
            <w:pPr>
              <w:pStyle w:val="TableBody0"/>
              <w:spacing w:line="312" w:lineRule="auto"/>
              <w:cnfStyle w:val="000000100000" w:firstRow="0" w:lastRow="0" w:firstColumn="0" w:lastColumn="0" w:oddVBand="0" w:evenVBand="0" w:oddHBand="1" w:evenHBand="0" w:firstRowFirstColumn="0" w:firstRowLastColumn="0" w:lastRowFirstColumn="0" w:lastRowLastColumn="0"/>
              <w:rPr>
                <w:bCs/>
              </w:rPr>
            </w:pPr>
            <w:r w:rsidRPr="00227B33">
              <w:t>70%</w:t>
            </w:r>
          </w:p>
        </w:tc>
      </w:tr>
      <w:tr w:rsidR="00410841" w:rsidRPr="00953950" w14:paraId="2590B690"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74869AB3" w14:textId="768F40E9" w:rsidR="00410841" w:rsidRPr="00E7213D" w:rsidRDefault="00410841" w:rsidP="00453AE7">
            <w:pPr>
              <w:pStyle w:val="TableBody0"/>
              <w:spacing w:line="312" w:lineRule="auto"/>
              <w:rPr>
                <w:b/>
                <w:bCs w:val="0"/>
              </w:rPr>
            </w:pPr>
            <w:r w:rsidRPr="00E7213D">
              <w:t>Performance achieved 2025–26</w:t>
            </w:r>
          </w:p>
        </w:tc>
        <w:tc>
          <w:tcPr>
            <w:tcW w:w="2937" w:type="pct"/>
          </w:tcPr>
          <w:p w14:paraId="6AE9C753" w14:textId="77777777" w:rsidR="00410841" w:rsidRPr="00227B33" w:rsidRDefault="00410841" w:rsidP="00453AE7">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227B33">
              <w:t>62.6%. Not achieved.</w:t>
            </w:r>
          </w:p>
        </w:tc>
      </w:tr>
      <w:tr w:rsidR="00410841" w:rsidRPr="00953950" w14:paraId="6F93594A"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3BB86C15" w14:textId="77777777" w:rsidR="00410841" w:rsidRPr="00E7213D" w:rsidRDefault="00410841" w:rsidP="00453AE7">
            <w:pPr>
              <w:pStyle w:val="TableBody0"/>
              <w:spacing w:line="312" w:lineRule="auto"/>
              <w:rPr>
                <w:b/>
                <w:bCs w:val="0"/>
              </w:rPr>
            </w:pPr>
            <w:r w:rsidRPr="00E7213D">
              <w:t>Performance achieved over time</w:t>
            </w:r>
          </w:p>
        </w:tc>
        <w:tc>
          <w:tcPr>
            <w:tcW w:w="2937" w:type="pct"/>
          </w:tcPr>
          <w:p w14:paraId="2D173D31" w14:textId="77777777" w:rsidR="00410841" w:rsidRPr="00227B33" w:rsidRDefault="00410841" w:rsidP="00453AE7">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227B33">
              <w:t>This was slightly below the 2024–25 result of 62.8%.</w:t>
            </w:r>
          </w:p>
        </w:tc>
      </w:tr>
      <w:tr w:rsidR="00410841" w:rsidRPr="00953950" w14:paraId="4CAC7D28"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02D55995" w14:textId="77777777" w:rsidR="00410841" w:rsidRPr="00E7213D" w:rsidRDefault="00410841" w:rsidP="00453AE7">
            <w:pPr>
              <w:pStyle w:val="TableBody0"/>
              <w:spacing w:line="312" w:lineRule="auto"/>
              <w:rPr>
                <w:b/>
                <w:bCs w:val="0"/>
              </w:rPr>
            </w:pPr>
            <w:r w:rsidRPr="00E7213D">
              <w:t>Why we measure this</w:t>
            </w:r>
          </w:p>
        </w:tc>
        <w:tc>
          <w:tcPr>
            <w:tcW w:w="2937" w:type="pct"/>
          </w:tcPr>
          <w:p w14:paraId="4DDA599B" w14:textId="77777777" w:rsidR="00410841" w:rsidRPr="00227B33" w:rsidRDefault="00410841" w:rsidP="00453AE7">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227B33">
              <w:t>This measures the output (quality) of the NDIA in delivering the NDIS to support the independence, and social and economic participation, of people with disability, and enable participants to achieve their goals.</w:t>
            </w:r>
          </w:p>
        </w:tc>
      </w:tr>
      <w:tr w:rsidR="00410841" w:rsidRPr="00953950" w14:paraId="290B9BEB" w14:textId="77777777" w:rsidTr="006B09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104A3CF4" w14:textId="77777777" w:rsidR="00410841" w:rsidRPr="00E7213D" w:rsidRDefault="00410841" w:rsidP="00453AE7">
            <w:pPr>
              <w:pStyle w:val="TableBody0"/>
              <w:spacing w:line="312" w:lineRule="auto"/>
              <w:rPr>
                <w:b/>
                <w:bCs w:val="0"/>
              </w:rPr>
            </w:pPr>
            <w:r w:rsidRPr="00E7213D">
              <w:t>Methodology</w:t>
            </w:r>
          </w:p>
        </w:tc>
        <w:tc>
          <w:tcPr>
            <w:tcW w:w="2937" w:type="pct"/>
          </w:tcPr>
          <w:p w14:paraId="0B1112D1" w14:textId="339F8454" w:rsidR="00410841" w:rsidRPr="00227B33" w:rsidRDefault="00E30B73" w:rsidP="00453AE7">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977336">
              <w:t xml:space="preserve">This measure is calculated monthly and is equal to the number of participants who responded ‘Completely’ or ‘Mostly’ to the question ‘To what extent is your NDIS plan helping you to meet your goals?’, divided by the total number of participant responses received. The participant satisfaction survey continues to be conducted monthly by an independent provider, </w:t>
            </w:r>
            <w:r>
              <w:t>AHA</w:t>
            </w:r>
            <w:r w:rsidRPr="00977336">
              <w:t>. The calculations are completed by the NDIA.</w:t>
            </w:r>
          </w:p>
        </w:tc>
      </w:tr>
    </w:tbl>
    <w:p w14:paraId="3D693E7E" w14:textId="77777777" w:rsidR="00410841" w:rsidRPr="004A19A4" w:rsidRDefault="00410841" w:rsidP="004A19A4">
      <w:pPr>
        <w:spacing w:before="240"/>
        <w:rPr>
          <w:rStyle w:val="Strong"/>
        </w:rPr>
      </w:pPr>
      <w:r w:rsidRPr="004A19A4">
        <w:rPr>
          <w:rStyle w:val="Strong"/>
        </w:rPr>
        <w:t>Analysis</w:t>
      </w:r>
    </w:p>
    <w:p w14:paraId="098F437D" w14:textId="13459864" w:rsidR="00410841" w:rsidRPr="00227B33" w:rsidRDefault="00E651E8" w:rsidP="00410841">
      <w:pPr>
        <w:rPr>
          <w:rFonts w:eastAsia="Arial" w:cs="Arial"/>
        </w:rPr>
      </w:pPr>
      <w:r>
        <w:rPr>
          <w:rFonts w:eastAsia="Arial" w:cs="Arial"/>
        </w:rPr>
        <w:t>T</w:t>
      </w:r>
      <w:r w:rsidR="00410841" w:rsidRPr="00227B33">
        <w:rPr>
          <w:rFonts w:eastAsia="Arial" w:cs="Arial"/>
        </w:rPr>
        <w:t>he NDIA plays an important role in the quality and implementation of participant plans</w:t>
      </w:r>
      <w:r>
        <w:rPr>
          <w:rFonts w:eastAsia="Arial" w:cs="Arial"/>
        </w:rPr>
        <w:t>. However,</w:t>
      </w:r>
      <w:r w:rsidR="00410841" w:rsidRPr="00227B33">
        <w:rPr>
          <w:rFonts w:eastAsia="Arial" w:cs="Arial"/>
        </w:rPr>
        <w:t xml:space="preserve"> progress toward goals can be influenced by factors beyond the NDIA’s control</w:t>
      </w:r>
      <w:r w:rsidR="009C796A" w:rsidRPr="00227B33">
        <w:rPr>
          <w:rFonts w:eastAsia="Arial" w:cs="Arial"/>
        </w:rPr>
        <w:t xml:space="preserve"> </w:t>
      </w:r>
      <w:r w:rsidR="009C796A" w:rsidRPr="00227B33">
        <w:rPr>
          <w:rFonts w:ascii="Symbol" w:eastAsia="Symbol" w:hAnsi="Symbol" w:cs="Symbol"/>
        </w:rPr>
        <w:t>-</w:t>
      </w:r>
      <w:r w:rsidR="009C796A" w:rsidRPr="00227B33">
        <w:rPr>
          <w:rFonts w:eastAsia="Arial" w:cs="Arial"/>
        </w:rPr>
        <w:t xml:space="preserve"> for example, </w:t>
      </w:r>
      <w:r w:rsidR="00410841" w:rsidRPr="00227B33">
        <w:rPr>
          <w:rFonts w:eastAsia="Arial" w:cs="Arial"/>
        </w:rPr>
        <w:t>provider availability and performance, broad economic conditions and the nature of participants’ goals.</w:t>
      </w:r>
    </w:p>
    <w:p w14:paraId="581CD279" w14:textId="4B2D2BDE" w:rsidR="00410841" w:rsidRPr="00227B33" w:rsidRDefault="00410841" w:rsidP="00410841">
      <w:r w:rsidRPr="00227B33">
        <w:t>Participant experience data shows mixed results during plan reassessment. Sixty-nine per cent of participants rated their reassessment experience as good or very good, and 64% said their plan was helping them to meet their goals.</w:t>
      </w:r>
    </w:p>
    <w:p w14:paraId="64C35168" w14:textId="2BC073AC" w:rsidR="00410841" w:rsidRPr="00227B33" w:rsidRDefault="00410841" w:rsidP="00410841">
      <w:r w:rsidRPr="00227B33">
        <w:t xml:space="preserve">In 2025–26 we focused on improving </w:t>
      </w:r>
      <w:r w:rsidR="009C796A" w:rsidRPr="00227B33">
        <w:t xml:space="preserve">the way </w:t>
      </w:r>
      <w:r w:rsidRPr="00227B33">
        <w:t xml:space="preserve">supports align to participant goals. </w:t>
      </w:r>
      <w:r w:rsidR="009C796A" w:rsidRPr="00227B33">
        <w:t>For example, we</w:t>
      </w:r>
      <w:r w:rsidRPr="00227B33">
        <w:t>:</w:t>
      </w:r>
    </w:p>
    <w:p w14:paraId="341700BD" w14:textId="19D7DFE6" w:rsidR="00410841" w:rsidRPr="00227B33" w:rsidRDefault="00410841" w:rsidP="00410841">
      <w:pPr>
        <w:pStyle w:val="Bullet1"/>
        <w:rPr>
          <w:b/>
          <w:bCs/>
        </w:rPr>
      </w:pPr>
      <w:r w:rsidRPr="00227B33">
        <w:t>reinforc</w:t>
      </w:r>
      <w:r w:rsidR="009C796A" w:rsidRPr="00227B33">
        <w:t>ed</w:t>
      </w:r>
      <w:r w:rsidRPr="00227B33">
        <w:t xml:space="preserve"> that conversations with participants about using their funds to achieve their goals are a shared responsibility </w:t>
      </w:r>
      <w:r w:rsidR="009C796A" w:rsidRPr="00227B33">
        <w:t xml:space="preserve">between </w:t>
      </w:r>
      <w:r w:rsidRPr="00227B33">
        <w:t xml:space="preserve">the NDIA, </w:t>
      </w:r>
      <w:r w:rsidR="000B1928">
        <w:t>p</w:t>
      </w:r>
      <w:r w:rsidRPr="00227B33">
        <w:t xml:space="preserve">artners in the </w:t>
      </w:r>
      <w:r w:rsidR="000B1928">
        <w:t>c</w:t>
      </w:r>
      <w:r w:rsidRPr="00227B33">
        <w:t>ommunity and support coordinators</w:t>
      </w:r>
    </w:p>
    <w:p w14:paraId="71841319" w14:textId="65E56972" w:rsidR="00410841" w:rsidRPr="00227B33" w:rsidRDefault="009C796A" w:rsidP="00410841">
      <w:pPr>
        <w:pStyle w:val="Bullet1"/>
        <w:rPr>
          <w:b/>
          <w:bCs/>
        </w:rPr>
      </w:pPr>
      <w:r w:rsidRPr="00227B33">
        <w:t xml:space="preserve">conducted staff training and regular check-ins to </w:t>
      </w:r>
      <w:r w:rsidR="00410841" w:rsidRPr="00227B33">
        <w:t>improv</w:t>
      </w:r>
      <w:r w:rsidRPr="00227B33">
        <w:t>e</w:t>
      </w:r>
      <w:r w:rsidR="00410841" w:rsidRPr="00227B33">
        <w:t xml:space="preserve"> </w:t>
      </w:r>
      <w:r w:rsidRPr="00227B33">
        <w:t xml:space="preserve">the way </w:t>
      </w:r>
      <w:r w:rsidR="00410841" w:rsidRPr="00227B33">
        <w:t>participants use their funding</w:t>
      </w:r>
    </w:p>
    <w:p w14:paraId="72DD8803" w14:textId="1EF8BB9E" w:rsidR="00410841" w:rsidRPr="00227B33" w:rsidRDefault="009C796A" w:rsidP="00410841">
      <w:pPr>
        <w:pStyle w:val="Bullet1"/>
        <w:rPr>
          <w:b/>
          <w:bCs/>
        </w:rPr>
      </w:pPr>
      <w:r w:rsidRPr="00227B33">
        <w:t xml:space="preserve">used education and planning guidance to </w:t>
      </w:r>
      <w:r w:rsidR="00410841" w:rsidRPr="00227B33">
        <w:t>improv</w:t>
      </w:r>
      <w:r w:rsidRPr="00227B33">
        <w:t>e</w:t>
      </w:r>
      <w:r w:rsidR="00410841" w:rsidRPr="00227B33">
        <w:t xml:space="preserve"> planning conversations and decision</w:t>
      </w:r>
      <w:r w:rsidR="000E0F54">
        <w:t>-</w:t>
      </w:r>
      <w:r w:rsidR="00410841" w:rsidRPr="00227B33">
        <w:t>making.</w:t>
      </w:r>
    </w:p>
    <w:p w14:paraId="37B7C484" w14:textId="5BD497EC" w:rsidR="00410841" w:rsidRPr="00227B33" w:rsidRDefault="00410841" w:rsidP="00410841">
      <w:r w:rsidRPr="00227B33">
        <w:t>We will continue to focus on improving the participant experience and better align</w:t>
      </w:r>
      <w:r w:rsidR="00912247">
        <w:t>ing</w:t>
      </w:r>
      <w:r w:rsidRPr="00227B33">
        <w:t xml:space="preserve"> supports to participant goals through clearer communication and stronger support from partners and support coordinators during plan implementation.</w:t>
      </w:r>
    </w:p>
    <w:p w14:paraId="7BB366D5" w14:textId="58567104" w:rsidR="00E228A7" w:rsidRPr="00227B33" w:rsidRDefault="00E228A7" w:rsidP="00E228A7">
      <w:pPr>
        <w:pStyle w:val="Caption"/>
        <w:rPr>
          <w:lang w:eastAsia="ja-JP"/>
        </w:rPr>
      </w:pPr>
      <w:r w:rsidRPr="00227B33">
        <w:t xml:space="preserve">Table </w:t>
      </w:r>
      <w:r w:rsidRPr="00227B33">
        <w:fldChar w:fldCharType="begin"/>
      </w:r>
      <w:r w:rsidRPr="00227B33">
        <w:instrText>SEQ Table \* ARABIC</w:instrText>
      </w:r>
      <w:r w:rsidRPr="00227B33">
        <w:fldChar w:fldCharType="separate"/>
      </w:r>
      <w:r w:rsidR="0021625A">
        <w:rPr>
          <w:noProof/>
        </w:rPr>
        <w:t>5</w:t>
      </w:r>
      <w:r w:rsidRPr="00227B33">
        <w:fldChar w:fldCharType="end"/>
      </w:r>
      <w:r w:rsidRPr="00227B33">
        <w:t xml:space="preserve">. Performance measure 1.5 – </w:t>
      </w:r>
      <w:r w:rsidRPr="00227B33">
        <w:rPr>
          <w:lang w:eastAsia="ja-JP"/>
        </w:rPr>
        <w:t>Participants with community and/or mainstream supports in their plans</w:t>
      </w:r>
    </w:p>
    <w:tbl>
      <w:tblPr>
        <w:tblStyle w:val="GridTable4"/>
        <w:tblW w:w="5000" w:type="pct"/>
        <w:tblLayout w:type="fixed"/>
        <w:tblLook w:val="0480" w:firstRow="0" w:lastRow="0" w:firstColumn="1" w:lastColumn="0" w:noHBand="0" w:noVBand="1"/>
        <w:tblDescription w:val="[Insert table description] with columns for [Insert column headings]. The table has [insert number] columns and [insert number] rows."/>
      </w:tblPr>
      <w:tblGrid>
        <w:gridCol w:w="3785"/>
        <w:gridCol w:w="5389"/>
      </w:tblGrid>
      <w:tr w:rsidR="004325D8" w:rsidRPr="00953950" w14:paraId="5568390A" w14:textId="77777777" w:rsidTr="006B09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389B947B" w14:textId="77777777" w:rsidR="004325D8" w:rsidRPr="00E7213D" w:rsidRDefault="004325D8" w:rsidP="00453AE7">
            <w:pPr>
              <w:pStyle w:val="TableBody0"/>
              <w:spacing w:line="312" w:lineRule="auto"/>
              <w:rPr>
                <w:b/>
                <w:bCs w:val="0"/>
              </w:rPr>
            </w:pPr>
            <w:r w:rsidRPr="00E7213D">
              <w:t>Target</w:t>
            </w:r>
          </w:p>
        </w:tc>
        <w:tc>
          <w:tcPr>
            <w:tcW w:w="2937" w:type="pct"/>
          </w:tcPr>
          <w:p w14:paraId="439C11EB" w14:textId="77777777" w:rsidR="004325D8" w:rsidRPr="00227B33" w:rsidRDefault="004325D8" w:rsidP="00453AE7">
            <w:pPr>
              <w:pStyle w:val="TableBody0"/>
              <w:spacing w:line="312" w:lineRule="auto"/>
              <w:cnfStyle w:val="000000100000" w:firstRow="0" w:lastRow="0" w:firstColumn="0" w:lastColumn="0" w:oddVBand="0" w:evenVBand="0" w:oddHBand="1" w:evenHBand="0" w:firstRowFirstColumn="0" w:firstRowLastColumn="0" w:lastRowFirstColumn="0" w:lastRowLastColumn="0"/>
              <w:rPr>
                <w:b/>
              </w:rPr>
            </w:pPr>
            <w:r w:rsidRPr="00227B33">
              <w:t>&gt;90%</w:t>
            </w:r>
          </w:p>
        </w:tc>
      </w:tr>
      <w:tr w:rsidR="004325D8" w:rsidRPr="00953950" w14:paraId="5CC104AA"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1A611837" w14:textId="09B04374" w:rsidR="004325D8" w:rsidRPr="00E7213D" w:rsidRDefault="004325D8" w:rsidP="00453AE7">
            <w:pPr>
              <w:pStyle w:val="TableBody0"/>
              <w:spacing w:line="312" w:lineRule="auto"/>
              <w:rPr>
                <w:b/>
                <w:bCs w:val="0"/>
              </w:rPr>
            </w:pPr>
            <w:r w:rsidRPr="00E7213D">
              <w:t>Performance achieved 2025–26</w:t>
            </w:r>
          </w:p>
        </w:tc>
        <w:tc>
          <w:tcPr>
            <w:tcW w:w="2937" w:type="pct"/>
          </w:tcPr>
          <w:p w14:paraId="19EAB8D2" w14:textId="37B871FF" w:rsidR="004325D8" w:rsidRPr="00227B33" w:rsidRDefault="004325D8" w:rsidP="00453AE7">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D24554">
              <w:t>96.</w:t>
            </w:r>
            <w:r w:rsidR="001D6E7F" w:rsidRPr="00D24554">
              <w:t>9</w:t>
            </w:r>
            <w:r w:rsidRPr="00D24554">
              <w:t>%</w:t>
            </w:r>
            <w:r w:rsidR="00DB71CB" w:rsidRPr="00D24554">
              <w:t>. Achieved.</w:t>
            </w:r>
          </w:p>
        </w:tc>
      </w:tr>
      <w:tr w:rsidR="004325D8" w:rsidRPr="00953950" w14:paraId="630330EF" w14:textId="77777777" w:rsidTr="006B09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73DCC652" w14:textId="77777777" w:rsidR="004325D8" w:rsidRPr="00E7213D" w:rsidRDefault="004325D8" w:rsidP="00453AE7">
            <w:pPr>
              <w:pStyle w:val="TableBody0"/>
              <w:spacing w:line="312" w:lineRule="auto"/>
              <w:rPr>
                <w:b/>
                <w:bCs w:val="0"/>
              </w:rPr>
            </w:pPr>
            <w:r w:rsidRPr="00E7213D">
              <w:t>Performance achieved over time</w:t>
            </w:r>
          </w:p>
        </w:tc>
        <w:tc>
          <w:tcPr>
            <w:tcW w:w="2937" w:type="pct"/>
          </w:tcPr>
          <w:p w14:paraId="77B12C73" w14:textId="77777777" w:rsidR="004325D8" w:rsidRPr="00227B33" w:rsidRDefault="004325D8" w:rsidP="00453AE7">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227B33">
              <w:t>This is a slight improvement on the 2024–25 result of 96.5%.</w:t>
            </w:r>
          </w:p>
        </w:tc>
      </w:tr>
      <w:tr w:rsidR="004325D8" w:rsidRPr="00953950" w14:paraId="691B6255"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0C793617" w14:textId="77777777" w:rsidR="004325D8" w:rsidRPr="00E7213D" w:rsidRDefault="004325D8" w:rsidP="00453AE7">
            <w:pPr>
              <w:pStyle w:val="TableBody0"/>
              <w:spacing w:line="312" w:lineRule="auto"/>
              <w:rPr>
                <w:b/>
                <w:bCs w:val="0"/>
              </w:rPr>
            </w:pPr>
            <w:r w:rsidRPr="00E7213D">
              <w:t>Why we measure this</w:t>
            </w:r>
          </w:p>
        </w:tc>
        <w:tc>
          <w:tcPr>
            <w:tcW w:w="2937" w:type="pct"/>
          </w:tcPr>
          <w:p w14:paraId="211CCE19" w14:textId="77777777" w:rsidR="004325D8" w:rsidRPr="00227B33" w:rsidRDefault="004325D8" w:rsidP="00453AE7">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227B33">
              <w:t>This measures the output (quality) of the NDIA in delivering the NDIS to support the independence, and social and economic participation, of people with disability. The NDIA supports people with disability and NDIS participants to make and maintain connections to community and mainstream supports, including other agencies, departments and organisations, for the provision of mainstream services.</w:t>
            </w:r>
          </w:p>
        </w:tc>
      </w:tr>
      <w:tr w:rsidR="004325D8" w:rsidRPr="00953950" w14:paraId="1E830D36"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5A983B22" w14:textId="77777777" w:rsidR="004325D8" w:rsidRPr="00E7213D" w:rsidRDefault="004325D8" w:rsidP="00453AE7">
            <w:pPr>
              <w:pStyle w:val="TableBody0"/>
              <w:spacing w:line="312" w:lineRule="auto"/>
              <w:rPr>
                <w:b/>
                <w:bCs w:val="0"/>
              </w:rPr>
            </w:pPr>
            <w:r w:rsidRPr="00E7213D">
              <w:t>Methodology</w:t>
            </w:r>
          </w:p>
        </w:tc>
        <w:tc>
          <w:tcPr>
            <w:tcW w:w="2937" w:type="pct"/>
          </w:tcPr>
          <w:p w14:paraId="134D7B62" w14:textId="682CD6B5" w:rsidR="004325D8" w:rsidRPr="00227B33" w:rsidRDefault="00D27DF3" w:rsidP="00453AE7">
            <w:pPr>
              <w:spacing w:line="312" w:lineRule="auto"/>
              <w:cnfStyle w:val="000000100000" w:firstRow="0" w:lastRow="0" w:firstColumn="0" w:lastColumn="0" w:oddVBand="0" w:evenVBand="0" w:oddHBand="1" w:evenHBand="0" w:firstRowFirstColumn="0" w:firstRowLastColumn="0" w:lastRowFirstColumn="0" w:lastRowLastColumn="0"/>
            </w:pPr>
            <w:r w:rsidRPr="00977336">
              <w:rPr>
                <w:rFonts w:cs="Arial"/>
              </w:rPr>
              <w:t>This measure is calculated as the number of active participants who have either had a check-in or used community connections or early supports in the financial year to date, and indicated they access mainstream and/or community supports, divided by the total number of active participants who have had a check-in or used community connections or early supports in the financial year to date</w:t>
            </w:r>
            <w:r>
              <w:rPr>
                <w:rFonts w:cs="Arial"/>
              </w:rPr>
              <w:t>.</w:t>
            </w:r>
          </w:p>
        </w:tc>
      </w:tr>
    </w:tbl>
    <w:p w14:paraId="249E8358" w14:textId="77777777" w:rsidR="004325D8" w:rsidRPr="0004016D" w:rsidRDefault="004325D8" w:rsidP="0004016D">
      <w:pPr>
        <w:spacing w:before="240"/>
        <w:rPr>
          <w:rStyle w:val="Strong"/>
        </w:rPr>
      </w:pPr>
      <w:r w:rsidRPr="0004016D">
        <w:rPr>
          <w:rStyle w:val="Strong"/>
        </w:rPr>
        <w:t>Analysis</w:t>
      </w:r>
    </w:p>
    <w:p w14:paraId="25F65A1A" w14:textId="77777777" w:rsidR="00DB71CB" w:rsidRPr="00227B33" w:rsidRDefault="00DB71CB" w:rsidP="00DB71CB">
      <w:pPr>
        <w:spacing w:before="240"/>
      </w:pPr>
      <w:r>
        <w:t xml:space="preserve">This measure </w:t>
      </w:r>
      <w:r w:rsidRPr="00227B33">
        <w:t>recognises the importance of participants making and maintaining connections to community and mainstream supports, in addition to accessing funded supports through their NDIS plans.</w:t>
      </w:r>
    </w:p>
    <w:p w14:paraId="54F7D8CF" w14:textId="6A1950B2" w:rsidR="004325D8" w:rsidRPr="00227B33" w:rsidRDefault="00E651E8" w:rsidP="00DB71CB">
      <w:pPr>
        <w:spacing w:before="240"/>
      </w:pPr>
      <w:r>
        <w:t xml:space="preserve">Our </w:t>
      </w:r>
      <w:r w:rsidR="004325D8" w:rsidRPr="00227B33">
        <w:t xml:space="preserve">result </w:t>
      </w:r>
      <w:r>
        <w:t xml:space="preserve">for this performance measure </w:t>
      </w:r>
      <w:r w:rsidR="004325D8" w:rsidRPr="00227B33">
        <w:t xml:space="preserve">reflects the proportion of active participants who </w:t>
      </w:r>
      <w:r>
        <w:t xml:space="preserve">had interacted with the NDIA or </w:t>
      </w:r>
      <w:r w:rsidR="000B1928">
        <w:t>p</w:t>
      </w:r>
      <w:r>
        <w:t xml:space="preserve">artners in the </w:t>
      </w:r>
      <w:r w:rsidR="000B1928">
        <w:t>c</w:t>
      </w:r>
      <w:r>
        <w:t xml:space="preserve">ommunity and indicated </w:t>
      </w:r>
      <w:r w:rsidR="004325D8" w:rsidRPr="00227B33">
        <w:t xml:space="preserve">that they access </w:t>
      </w:r>
      <w:r>
        <w:t xml:space="preserve">informal, </w:t>
      </w:r>
      <w:r w:rsidR="004325D8" w:rsidRPr="00227B33">
        <w:t>mainstream and/or community supports.</w:t>
      </w:r>
      <w:r w:rsidR="00DB71CB">
        <w:t xml:space="preserve"> During these interactions t</w:t>
      </w:r>
      <w:r w:rsidR="004325D8" w:rsidRPr="00227B33">
        <w:t xml:space="preserve">he NDIA </w:t>
      </w:r>
      <w:r w:rsidR="00DB71CB">
        <w:t xml:space="preserve">and </w:t>
      </w:r>
      <w:r w:rsidR="000B1928">
        <w:t>p</w:t>
      </w:r>
      <w:r w:rsidR="004325D8" w:rsidRPr="00227B33">
        <w:t xml:space="preserve">artners in the </w:t>
      </w:r>
      <w:r w:rsidR="000B1928">
        <w:t>c</w:t>
      </w:r>
      <w:r w:rsidR="004325D8" w:rsidRPr="00227B33">
        <w:t xml:space="preserve">ommunity </w:t>
      </w:r>
      <w:r w:rsidR="00DB71CB">
        <w:t xml:space="preserve">can </w:t>
      </w:r>
      <w:r w:rsidR="004325D8" w:rsidRPr="00227B33">
        <w:t>provide advice and guidance to support participants to establish or strengthen these connections across relevant points in the participant pathway.</w:t>
      </w:r>
    </w:p>
    <w:p w14:paraId="43456E1E" w14:textId="48424751" w:rsidR="004325D8" w:rsidRPr="00227B33" w:rsidRDefault="004325D8" w:rsidP="004325D8">
      <w:pPr>
        <w:spacing w:before="240"/>
      </w:pPr>
      <w:r w:rsidRPr="00227B33">
        <w:t xml:space="preserve">Strong performance against this measure indicates that participants are being supported to identify, access and maintain community and mainstream supports alongside funded NDIS supports. The result also demonstrates the role of the NDIA and </w:t>
      </w:r>
      <w:r w:rsidR="000B1928">
        <w:t>p</w:t>
      </w:r>
      <w:r w:rsidRPr="00227B33">
        <w:t xml:space="preserve">artners in the </w:t>
      </w:r>
      <w:r w:rsidR="000B1928">
        <w:t>c</w:t>
      </w:r>
      <w:r w:rsidRPr="00227B33">
        <w:t>ommunity in providing advice about mainstream and community supports</w:t>
      </w:r>
      <w:r w:rsidR="009F40C7">
        <w:t>;</w:t>
      </w:r>
      <w:r w:rsidRPr="00227B33">
        <w:t xml:space="preserve"> and in monitoring participant plans to confirm that these supports are identified and recorded.</w:t>
      </w:r>
    </w:p>
    <w:p w14:paraId="599E4479" w14:textId="1DA20650" w:rsidR="004325D8" w:rsidRPr="00227B33" w:rsidRDefault="004325D8" w:rsidP="004325D8">
      <w:pPr>
        <w:spacing w:before="240"/>
      </w:pPr>
      <w:r w:rsidRPr="00227B33">
        <w:t xml:space="preserve">The NDIA uses </w:t>
      </w:r>
      <w:r w:rsidRPr="009F40C7">
        <w:t>the Partner</w:t>
      </w:r>
      <w:r w:rsidRPr="007D7F04">
        <w:t xml:space="preserve"> Performance Management Framework</w:t>
      </w:r>
      <w:r w:rsidRPr="009F40C7">
        <w:t xml:space="preserve"> to monitor</w:t>
      </w:r>
      <w:r w:rsidRPr="00227B33">
        <w:t xml:space="preserve"> the performance of partners delivering early childhood and local area coordination </w:t>
      </w:r>
      <w:r w:rsidRPr="009F40C7">
        <w:t xml:space="preserve">services. </w:t>
      </w:r>
      <w:r w:rsidR="00DB71CB">
        <w:t xml:space="preserve">The framework guides our focus </w:t>
      </w:r>
      <w:r w:rsidRPr="00227B33">
        <w:t>on strengthening participant connections, supporting consistent conversations at key points in the participant pathway, and maintaining service quality through record reviews and conformance checks.</w:t>
      </w:r>
    </w:p>
    <w:p w14:paraId="7F963D3E" w14:textId="05E775B2" w:rsidR="004325D8" w:rsidRPr="00227B33" w:rsidRDefault="001C4D78" w:rsidP="004325D8">
      <w:pPr>
        <w:spacing w:before="240"/>
      </w:pPr>
      <w:r>
        <w:t xml:space="preserve">We will continue to monitor </w:t>
      </w:r>
      <w:r w:rsidR="004325D8" w:rsidRPr="00227B33">
        <w:t>participant engagement, support consistent partner service quality, and ensur</w:t>
      </w:r>
      <w:r>
        <w:t>e</w:t>
      </w:r>
      <w:r w:rsidR="004325D8" w:rsidRPr="00227B33">
        <w:t xml:space="preserve"> participants remain connected to supports that build individual capacity and contribute to improved social and economic outcomes over time.</w:t>
      </w:r>
    </w:p>
    <w:p w14:paraId="55EFF331" w14:textId="61EBA470" w:rsidR="00E228A7" w:rsidRPr="00227B33" w:rsidRDefault="00E228A7" w:rsidP="00E228A7">
      <w:pPr>
        <w:pStyle w:val="Caption"/>
        <w:rPr>
          <w:lang w:eastAsia="ja-JP"/>
        </w:rPr>
      </w:pPr>
      <w:r w:rsidRPr="00227B33">
        <w:t xml:space="preserve">Table </w:t>
      </w:r>
      <w:r w:rsidRPr="00227B33">
        <w:fldChar w:fldCharType="begin"/>
      </w:r>
      <w:r w:rsidRPr="00227B33">
        <w:instrText>SEQ Table \* ARABIC</w:instrText>
      </w:r>
      <w:r w:rsidRPr="00227B33">
        <w:fldChar w:fldCharType="separate"/>
      </w:r>
      <w:r w:rsidR="0021625A">
        <w:rPr>
          <w:noProof/>
        </w:rPr>
        <w:t>6</w:t>
      </w:r>
      <w:r w:rsidRPr="00227B33">
        <w:fldChar w:fldCharType="end"/>
      </w:r>
      <w:r w:rsidRPr="00227B33">
        <w:t xml:space="preserve">. Performance measure 1.6 – </w:t>
      </w:r>
      <w:r w:rsidRPr="00227B33">
        <w:rPr>
          <w:lang w:eastAsia="ja-JP"/>
        </w:rPr>
        <w:t>Average payment per participant and Performance measure 1.7 – Annualised Scheme growth rate</w:t>
      </w:r>
    </w:p>
    <w:tbl>
      <w:tblPr>
        <w:tblStyle w:val="GridTable4"/>
        <w:tblW w:w="5000" w:type="pct"/>
        <w:tblLayout w:type="fixed"/>
        <w:tblLook w:val="0480" w:firstRow="0" w:lastRow="0" w:firstColumn="1" w:lastColumn="0" w:noHBand="0" w:noVBand="1"/>
        <w:tblDescription w:val="[Insert table description] with columns for [Insert column headings]. The table has [insert number] columns and [insert number] rows."/>
      </w:tblPr>
      <w:tblGrid>
        <w:gridCol w:w="3785"/>
        <w:gridCol w:w="5389"/>
      </w:tblGrid>
      <w:tr w:rsidR="00954BE8" w:rsidRPr="00227B33" w14:paraId="1B6A5C6B" w14:textId="77777777" w:rsidTr="006B09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66393978" w14:textId="77777777" w:rsidR="00954BE8" w:rsidRPr="00E7213D" w:rsidRDefault="00954BE8" w:rsidP="00453AE7">
            <w:pPr>
              <w:pStyle w:val="TableBody0"/>
              <w:spacing w:line="312" w:lineRule="auto"/>
              <w:rPr>
                <w:b/>
                <w:bCs w:val="0"/>
              </w:rPr>
            </w:pPr>
            <w:r w:rsidRPr="00E7213D">
              <w:t>Target</w:t>
            </w:r>
          </w:p>
        </w:tc>
        <w:tc>
          <w:tcPr>
            <w:tcW w:w="2937" w:type="pct"/>
          </w:tcPr>
          <w:p w14:paraId="3C5E9111" w14:textId="54B799AD" w:rsidR="00954BE8" w:rsidRPr="00227B33" w:rsidRDefault="00954BE8" w:rsidP="00453AE7">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227B33">
              <w:rPr>
                <w:b/>
                <w:bCs/>
              </w:rPr>
              <w:t>Measure 1.6</w:t>
            </w:r>
            <w:r w:rsidRPr="00227B33">
              <w:t xml:space="preserve"> – $66</w:t>
            </w:r>
            <w:r w:rsidR="00DB71CB">
              <w:t>,</w:t>
            </w:r>
            <w:r w:rsidRPr="00227B33">
              <w:t>800</w:t>
            </w:r>
          </w:p>
          <w:p w14:paraId="12EFFA84" w14:textId="77777777" w:rsidR="00954BE8" w:rsidRPr="00227B33" w:rsidRDefault="00954BE8" w:rsidP="00453AE7">
            <w:pPr>
              <w:pStyle w:val="TableBody0"/>
              <w:spacing w:line="312" w:lineRule="auto"/>
              <w:cnfStyle w:val="000000100000" w:firstRow="0" w:lastRow="0" w:firstColumn="0" w:lastColumn="0" w:oddVBand="0" w:evenVBand="0" w:oddHBand="1" w:evenHBand="0" w:firstRowFirstColumn="0" w:firstRowLastColumn="0" w:lastRowFirstColumn="0" w:lastRowLastColumn="0"/>
              <w:rPr>
                <w:bCs/>
              </w:rPr>
            </w:pPr>
            <w:r w:rsidRPr="00227B33">
              <w:rPr>
                <w:b/>
                <w:bCs/>
              </w:rPr>
              <w:t>Measure 1.7</w:t>
            </w:r>
            <w:r w:rsidRPr="00227B33">
              <w:t xml:space="preserve"> – 9.4%</w:t>
            </w:r>
          </w:p>
        </w:tc>
      </w:tr>
      <w:tr w:rsidR="00954BE8" w:rsidRPr="00227B33" w14:paraId="29AD094E" w14:textId="77777777" w:rsidTr="006B090D">
        <w:tc>
          <w:tcPr>
            <w:cnfStyle w:val="001000000000" w:firstRow="0" w:lastRow="0" w:firstColumn="1" w:lastColumn="0" w:oddVBand="0" w:evenVBand="0" w:oddHBand="0" w:evenHBand="0" w:firstRowFirstColumn="0" w:firstRowLastColumn="0" w:lastRowFirstColumn="0" w:lastRowLastColumn="0"/>
            <w:tcW w:w="2063" w:type="pct"/>
          </w:tcPr>
          <w:p w14:paraId="5A682CC4" w14:textId="28C28007" w:rsidR="00954BE8" w:rsidRPr="00E7213D" w:rsidRDefault="00954BE8" w:rsidP="00453AE7">
            <w:pPr>
              <w:pStyle w:val="TableBody0"/>
              <w:spacing w:line="312" w:lineRule="auto"/>
              <w:rPr>
                <w:b/>
                <w:bCs w:val="0"/>
              </w:rPr>
            </w:pPr>
            <w:r w:rsidRPr="00E7213D">
              <w:t>Performance achieved 2025–26</w:t>
            </w:r>
          </w:p>
        </w:tc>
        <w:tc>
          <w:tcPr>
            <w:tcW w:w="2937" w:type="pct"/>
          </w:tcPr>
          <w:p w14:paraId="12292F86" w14:textId="77777777" w:rsidR="00347329" w:rsidRPr="00347329" w:rsidRDefault="00347329" w:rsidP="00453AE7">
            <w:pPr>
              <w:spacing w:line="312" w:lineRule="auto"/>
              <w:cnfStyle w:val="000000000000" w:firstRow="0" w:lastRow="0" w:firstColumn="0" w:lastColumn="0" w:oddVBand="0" w:evenVBand="0" w:oddHBand="0" w:evenHBand="0" w:firstRowFirstColumn="0" w:firstRowLastColumn="0" w:lastRowFirstColumn="0" w:lastRowLastColumn="0"/>
            </w:pPr>
            <w:r w:rsidRPr="00347329">
              <w:t>The target for average payment per participant represents expected average payments over 2025–26. Average annualised payments to participants for the 12 months to 30 June 2026 were $67,500, which is above the target.</w:t>
            </w:r>
          </w:p>
          <w:p w14:paraId="7907574C" w14:textId="1CC0EA13" w:rsidR="00954BE8" w:rsidRPr="00227B33" w:rsidRDefault="00347329" w:rsidP="00453AE7">
            <w:pPr>
              <w:spacing w:line="312" w:lineRule="auto"/>
              <w:cnfStyle w:val="000000000000" w:firstRow="0" w:lastRow="0" w:firstColumn="0" w:lastColumn="0" w:oddVBand="0" w:evenVBand="0" w:oddHBand="0" w:evenHBand="0" w:firstRowFirstColumn="0" w:firstRowLastColumn="0" w:lastRowFirstColumn="0" w:lastRowLastColumn="0"/>
            </w:pPr>
            <w:r w:rsidRPr="00347329">
              <w:t>The annualised growth rate of Scheme expenses was 10.5% for the 12 months to 30 June 2026, compared to the 2025–26 target of 9.4%.</w:t>
            </w:r>
          </w:p>
        </w:tc>
      </w:tr>
      <w:tr w:rsidR="00954BE8" w:rsidRPr="00227B33" w14:paraId="4F12FC17"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6E4AB133" w14:textId="77777777" w:rsidR="00954BE8" w:rsidRPr="00E7213D" w:rsidRDefault="00954BE8" w:rsidP="00453AE7">
            <w:pPr>
              <w:pStyle w:val="TableBody0"/>
              <w:spacing w:line="312" w:lineRule="auto"/>
              <w:rPr>
                <w:b/>
                <w:bCs w:val="0"/>
              </w:rPr>
            </w:pPr>
            <w:r w:rsidRPr="00E7213D">
              <w:t>Performance achieved over time</w:t>
            </w:r>
          </w:p>
        </w:tc>
        <w:tc>
          <w:tcPr>
            <w:tcW w:w="2937" w:type="pct"/>
          </w:tcPr>
          <w:p w14:paraId="427CF6C0" w14:textId="77777777" w:rsidR="00954BE8" w:rsidRPr="00227B33" w:rsidRDefault="00954BE8" w:rsidP="00453AE7">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227B33">
              <w:t>The average payment and the annualised growth rate achieved the target in 2024–25.</w:t>
            </w:r>
          </w:p>
        </w:tc>
      </w:tr>
      <w:tr w:rsidR="00954BE8" w:rsidRPr="00227B33" w14:paraId="0D28E37F"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265DDE1E" w14:textId="77777777" w:rsidR="00954BE8" w:rsidRPr="00E7213D" w:rsidRDefault="00954BE8" w:rsidP="00453AE7">
            <w:pPr>
              <w:pStyle w:val="TableBody0"/>
              <w:spacing w:line="312" w:lineRule="auto"/>
              <w:rPr>
                <w:b/>
                <w:bCs w:val="0"/>
              </w:rPr>
            </w:pPr>
            <w:r w:rsidRPr="00E7213D">
              <w:t>Why we measure this</w:t>
            </w:r>
          </w:p>
        </w:tc>
        <w:tc>
          <w:tcPr>
            <w:tcW w:w="2937" w:type="pct"/>
          </w:tcPr>
          <w:p w14:paraId="789813C7" w14:textId="77777777" w:rsidR="00812536" w:rsidRDefault="00812536" w:rsidP="00453AE7">
            <w:pPr>
              <w:spacing w:line="312" w:lineRule="auto"/>
              <w:cnfStyle w:val="000000000000" w:firstRow="0" w:lastRow="0" w:firstColumn="0" w:lastColumn="0" w:oddVBand="0" w:evenVBand="0" w:oddHBand="0" w:evenHBand="0" w:firstRowFirstColumn="0" w:firstRowLastColumn="0" w:lastRowFirstColumn="0" w:lastRowLastColumn="0"/>
              <w:rPr>
                <w:rFonts w:cs="Arial"/>
              </w:rPr>
            </w:pPr>
            <w:r w:rsidRPr="00575600">
              <w:rPr>
                <w:rFonts w:cs="Arial"/>
                <w:b/>
                <w:bCs/>
              </w:rPr>
              <w:t xml:space="preserve">Measure 1.6 </w:t>
            </w:r>
            <w:r>
              <w:rPr>
                <w:lang w:eastAsia="ja-JP"/>
              </w:rPr>
              <w:t>–</w:t>
            </w:r>
            <w:r>
              <w:rPr>
                <w:rFonts w:cs="Arial"/>
              </w:rPr>
              <w:t xml:space="preserve"> </w:t>
            </w:r>
            <w:r w:rsidRPr="00977336">
              <w:rPr>
                <w:rFonts w:cs="Arial"/>
              </w:rPr>
              <w:t>Measures both the effectiveness of the NDIA in ensuring participants know how to use their plans to achieve their goals, and the NDIA’s insurance-based approach to providing and funding supports for people with disability to ensure the financial sustainability of the NDIS.</w:t>
            </w:r>
          </w:p>
          <w:p w14:paraId="7A1EDD9E" w14:textId="4C6581BA" w:rsidR="00954BE8" w:rsidRPr="00227B33" w:rsidRDefault="00812536" w:rsidP="00453AE7">
            <w:pPr>
              <w:spacing w:line="312" w:lineRule="auto"/>
              <w:cnfStyle w:val="000000000000" w:firstRow="0" w:lastRow="0" w:firstColumn="0" w:lastColumn="0" w:oddVBand="0" w:evenVBand="0" w:oddHBand="0" w:evenHBand="0" w:firstRowFirstColumn="0" w:firstRowLastColumn="0" w:lastRowFirstColumn="0" w:lastRowLastColumn="0"/>
              <w:rPr>
                <w:rFonts w:cs="Arial"/>
              </w:rPr>
            </w:pPr>
            <w:r w:rsidRPr="00575600">
              <w:rPr>
                <w:rFonts w:cs="Arial"/>
                <w:b/>
                <w:bCs/>
              </w:rPr>
              <w:t xml:space="preserve">Measure 1.7 </w:t>
            </w:r>
            <w:r>
              <w:rPr>
                <w:lang w:eastAsia="ja-JP"/>
              </w:rPr>
              <w:t>–</w:t>
            </w:r>
            <w:r>
              <w:rPr>
                <w:rFonts w:cs="Arial"/>
              </w:rPr>
              <w:t xml:space="preserve"> </w:t>
            </w:r>
            <w:r w:rsidRPr="00977336">
              <w:rPr>
                <w:rFonts w:cs="Arial"/>
              </w:rPr>
              <w:t>Measures the effectiveness of the NDIA in managing the financial sustainability of the NDIS</w:t>
            </w:r>
            <w:r>
              <w:rPr>
                <w:rFonts w:cs="Arial"/>
              </w:rPr>
              <w:t>.</w:t>
            </w:r>
          </w:p>
        </w:tc>
      </w:tr>
      <w:tr w:rsidR="00954BE8" w:rsidRPr="00227B33" w14:paraId="500CD112"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74AC4498" w14:textId="77777777" w:rsidR="00954BE8" w:rsidRPr="00E7213D" w:rsidRDefault="00954BE8" w:rsidP="00453AE7">
            <w:pPr>
              <w:pStyle w:val="TableBody0"/>
              <w:spacing w:line="312" w:lineRule="auto"/>
              <w:rPr>
                <w:b/>
                <w:bCs w:val="0"/>
              </w:rPr>
            </w:pPr>
            <w:r w:rsidRPr="00E7213D">
              <w:t>Methodology</w:t>
            </w:r>
          </w:p>
        </w:tc>
        <w:tc>
          <w:tcPr>
            <w:tcW w:w="2937" w:type="pct"/>
          </w:tcPr>
          <w:p w14:paraId="19702A3D" w14:textId="77777777" w:rsidR="007814D6" w:rsidRPr="00FF46F3" w:rsidRDefault="007814D6" w:rsidP="00453AE7">
            <w:pPr>
              <w:spacing w:line="312" w:lineRule="auto"/>
              <w:cnfStyle w:val="000000100000" w:firstRow="0" w:lastRow="0" w:firstColumn="0" w:lastColumn="0" w:oddVBand="0" w:evenVBand="0" w:oddHBand="1" w:evenHBand="0" w:firstRowFirstColumn="0" w:firstRowLastColumn="0" w:lastRowFirstColumn="0" w:lastRowLastColumn="0"/>
            </w:pPr>
            <w:r w:rsidRPr="00FF46F3">
              <w:rPr>
                <w:b/>
                <w:bCs/>
                <w:lang w:eastAsia="ja-JP"/>
              </w:rPr>
              <w:t>Measure 1.6</w:t>
            </w:r>
            <w:r w:rsidRPr="00FF46F3">
              <w:rPr>
                <w:lang w:eastAsia="ja-JP"/>
              </w:rPr>
              <w:t xml:space="preserve"> </w:t>
            </w:r>
            <w:r>
              <w:rPr>
                <w:lang w:eastAsia="ja-JP"/>
              </w:rPr>
              <w:t>–</w:t>
            </w:r>
            <w:r w:rsidRPr="00FF46F3">
              <w:rPr>
                <w:lang w:eastAsia="ja-JP"/>
              </w:rPr>
              <w:t xml:space="preserve"> </w:t>
            </w:r>
            <w:r w:rsidRPr="00FF46F3">
              <w:t>The average payment per participant is the Scheme expenses in the current financial year divided by the average number of participants in the year.</w:t>
            </w:r>
          </w:p>
          <w:p w14:paraId="488C790D" w14:textId="1D195459" w:rsidR="00954BE8" w:rsidRPr="00227B33" w:rsidRDefault="007814D6" w:rsidP="00453AE7">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FF46F3">
              <w:rPr>
                <w:b/>
                <w:bCs/>
              </w:rPr>
              <w:t>Measure 1.7</w:t>
            </w:r>
            <w:r w:rsidRPr="00FF46F3">
              <w:t xml:space="preserve"> </w:t>
            </w:r>
            <w:r>
              <w:t>–</w:t>
            </w:r>
            <w:r w:rsidRPr="00FF46F3">
              <w:t xml:space="preserve"> This measure is calculated as Scheme expenses in the current financial year divided by Scheme expenses in the previous financial year, minus one.</w:t>
            </w:r>
          </w:p>
        </w:tc>
      </w:tr>
    </w:tbl>
    <w:p w14:paraId="16BD8837" w14:textId="77777777" w:rsidR="00954BE8" w:rsidRPr="0004016D" w:rsidRDefault="00954BE8" w:rsidP="0004016D">
      <w:pPr>
        <w:spacing w:before="240"/>
        <w:rPr>
          <w:rStyle w:val="Strong"/>
        </w:rPr>
      </w:pPr>
      <w:r w:rsidRPr="0004016D">
        <w:rPr>
          <w:rStyle w:val="Strong"/>
        </w:rPr>
        <w:t>Analysis</w:t>
      </w:r>
    </w:p>
    <w:p w14:paraId="520A5D62" w14:textId="77777777" w:rsidR="00954BE8" w:rsidRPr="00227B33" w:rsidRDefault="00954BE8" w:rsidP="00954BE8">
      <w:r w:rsidRPr="00227B33">
        <w:t>Scheme expenses have been higher than expected in 2025–26, mainly due to higher inter-plan inflation and higher numbers of unscheduled reassessments than expected. While the growth rate is above the 2025–26 target, the impact of NDIA sustainability improvements is evident in the overall reduction in the growth of the NDIS, from 18.9% in 2023–24 to 10.8% in 2024–25.</w:t>
      </w:r>
    </w:p>
    <w:p w14:paraId="72AD6AA4" w14:textId="20BE7EE9" w:rsidR="00954BE8" w:rsidRPr="00227B33" w:rsidRDefault="00954BE8" w:rsidP="00954BE8">
      <w:r w:rsidRPr="00227B33">
        <w:t>The NDIA has a range of initiatives underway to manage the growth of Scheme expenses</w:t>
      </w:r>
      <w:r w:rsidR="00A7665F">
        <w:t>. For example</w:t>
      </w:r>
      <w:r w:rsidR="00DB71CB">
        <w:t>, we</w:t>
      </w:r>
      <w:r w:rsidRPr="00227B33">
        <w:t>:</w:t>
      </w:r>
    </w:p>
    <w:p w14:paraId="01E10F57" w14:textId="6B4E3E0E" w:rsidR="00954BE8" w:rsidRPr="00227B33" w:rsidRDefault="00A7665F" w:rsidP="00954BE8">
      <w:pPr>
        <w:pStyle w:val="ListParagraph"/>
        <w:numPr>
          <w:ilvl w:val="0"/>
          <w:numId w:val="56"/>
        </w:numPr>
        <w:spacing w:after="160"/>
        <w:ind w:left="714" w:hanging="357"/>
      </w:pPr>
      <w:r>
        <w:t xml:space="preserve">introduced </w:t>
      </w:r>
      <w:r w:rsidR="00954BE8" w:rsidRPr="00227B33">
        <w:t xml:space="preserve">funding periods in new budgets to help participants manage their budgets over time and reduce the risk of supports not being available when needed. </w:t>
      </w:r>
      <w:r w:rsidR="00954BE8" w:rsidRPr="00227B33">
        <w:rPr>
          <w:szCs w:val="28"/>
        </w:rPr>
        <w:t>By the end of June 2026, funding periods had been rolled out to 35% of participants and 47% of budgets</w:t>
      </w:r>
    </w:p>
    <w:p w14:paraId="32163687" w14:textId="71D81E90" w:rsidR="00954BE8" w:rsidRPr="00227B33" w:rsidRDefault="00954BE8" w:rsidP="00954BE8">
      <w:pPr>
        <w:pStyle w:val="ListParagraph"/>
        <w:numPr>
          <w:ilvl w:val="0"/>
          <w:numId w:val="56"/>
        </w:numPr>
        <w:spacing w:after="160"/>
        <w:ind w:left="714" w:hanging="357"/>
        <w:rPr>
          <w:szCs w:val="28"/>
        </w:rPr>
      </w:pPr>
      <w:r w:rsidRPr="00227B33">
        <w:rPr>
          <w:szCs w:val="28"/>
        </w:rPr>
        <w:t xml:space="preserve">continued </w:t>
      </w:r>
      <w:r w:rsidR="00A7665F">
        <w:rPr>
          <w:szCs w:val="28"/>
        </w:rPr>
        <w:t xml:space="preserve">our </w:t>
      </w:r>
      <w:r w:rsidRPr="00227B33">
        <w:rPr>
          <w:szCs w:val="28"/>
        </w:rPr>
        <w:t xml:space="preserve">fraud and compliance activity, including </w:t>
      </w:r>
      <w:r w:rsidR="00AF23C2">
        <w:rPr>
          <w:szCs w:val="28"/>
        </w:rPr>
        <w:t xml:space="preserve">by </w:t>
      </w:r>
      <w:r w:rsidRPr="00227B33">
        <w:rPr>
          <w:szCs w:val="28"/>
        </w:rPr>
        <w:t>addressing noncompliant payments</w:t>
      </w:r>
      <w:r w:rsidR="00AF23C2">
        <w:rPr>
          <w:szCs w:val="28"/>
        </w:rPr>
        <w:t xml:space="preserve"> and introducing </w:t>
      </w:r>
      <w:r w:rsidRPr="00227B33">
        <w:rPr>
          <w:szCs w:val="28"/>
        </w:rPr>
        <w:t>stronger claims review processes and measures to ensure provider compliance</w:t>
      </w:r>
    </w:p>
    <w:p w14:paraId="19369C2F" w14:textId="6A391A63" w:rsidR="00954BE8" w:rsidRPr="00227B33" w:rsidRDefault="00A7665F" w:rsidP="00954BE8">
      <w:pPr>
        <w:pStyle w:val="ListParagraph"/>
        <w:numPr>
          <w:ilvl w:val="0"/>
          <w:numId w:val="56"/>
        </w:numPr>
        <w:spacing w:after="160"/>
        <w:ind w:left="714" w:hanging="357"/>
        <w:rPr>
          <w:szCs w:val="28"/>
        </w:rPr>
      </w:pPr>
      <w:r>
        <w:rPr>
          <w:szCs w:val="28"/>
        </w:rPr>
        <w:t xml:space="preserve">established </w:t>
      </w:r>
      <w:r w:rsidR="00954BE8" w:rsidRPr="00227B33">
        <w:rPr>
          <w:szCs w:val="28"/>
        </w:rPr>
        <w:t>further controls for self-managed plans</w:t>
      </w:r>
      <w:r w:rsidR="00DB71CB">
        <w:rPr>
          <w:szCs w:val="28"/>
        </w:rPr>
        <w:t xml:space="preserve"> </w:t>
      </w:r>
      <w:r w:rsidR="00DB71CB">
        <w:rPr>
          <w:rFonts w:ascii="Symbol" w:eastAsia="Symbol" w:hAnsi="Symbol" w:cs="Symbol"/>
          <w:szCs w:val="28"/>
        </w:rPr>
        <w:t>-</w:t>
      </w:r>
      <w:r w:rsidR="00DB71CB">
        <w:rPr>
          <w:szCs w:val="28"/>
        </w:rPr>
        <w:t xml:space="preserve"> for example, </w:t>
      </w:r>
      <w:r w:rsidR="00AF23C2">
        <w:rPr>
          <w:szCs w:val="28"/>
        </w:rPr>
        <w:t xml:space="preserve">we made </w:t>
      </w:r>
      <w:r w:rsidR="00954BE8" w:rsidRPr="00227B33">
        <w:rPr>
          <w:szCs w:val="28"/>
        </w:rPr>
        <w:t>changes to evidence requirements to help participants better manage their funding and to reduce problematic claims.</w:t>
      </w:r>
    </w:p>
    <w:p w14:paraId="5F1277F6" w14:textId="10368DFD" w:rsidR="00954BE8" w:rsidRPr="00227B33" w:rsidRDefault="00A7665F" w:rsidP="00954BE8">
      <w:r>
        <w:t>S</w:t>
      </w:r>
      <w:r w:rsidR="00954BE8" w:rsidRPr="00227B33">
        <w:t>ection 10 of the NDIS Act</w:t>
      </w:r>
      <w:r>
        <w:t>, implemented</w:t>
      </w:r>
      <w:r w:rsidR="00954BE8" w:rsidRPr="00227B33">
        <w:t xml:space="preserve"> in October 2024</w:t>
      </w:r>
      <w:r>
        <w:t>,</w:t>
      </w:r>
      <w:r w:rsidR="00954BE8" w:rsidRPr="00227B33">
        <w:t xml:space="preserve"> clarified the supports that can and cannot be funded by the NDIS. The NDIA continues to provide operational guidance about NDIS supports to participants and providers, including guidance on short-term accommodation and therapy supports</w:t>
      </w:r>
      <w:r>
        <w:t>,</w:t>
      </w:r>
      <w:r w:rsidR="00954BE8" w:rsidRPr="00227B33">
        <w:t xml:space="preserve"> published in December 2025.</w:t>
      </w:r>
    </w:p>
    <w:p w14:paraId="6290FDBE" w14:textId="77777777" w:rsidR="00954BE8" w:rsidRPr="00227B33" w:rsidRDefault="00954BE8" w:rsidP="00954BE8">
      <w:r w:rsidRPr="00227B33">
        <w:t>The NDIA Sustainability Initiative, launched in May 2025, focuses on building frontline capability and controlling plan inflation and growth in Scheme expenses.</w:t>
      </w:r>
    </w:p>
    <w:p w14:paraId="6B704B9C" w14:textId="135AFDCD" w:rsidR="00954BE8" w:rsidRPr="00227B33" w:rsidRDefault="00AF23C2" w:rsidP="00954BE8">
      <w:r>
        <w:t>O</w:t>
      </w:r>
      <w:r w:rsidRPr="00227B33">
        <w:t xml:space="preserve">n 1 July 2025 </w:t>
      </w:r>
      <w:r>
        <w:t>r</w:t>
      </w:r>
      <w:r w:rsidR="00954BE8" w:rsidRPr="00227B33">
        <w:t xml:space="preserve">eforms to the pricing of NDIS supports were introduced to improve alignment with broader markets and support value for money. </w:t>
      </w:r>
      <w:r>
        <w:t xml:space="preserve">As part of these reforms, </w:t>
      </w:r>
      <w:r w:rsidR="00954BE8" w:rsidRPr="00227B33">
        <w:t xml:space="preserve">changes </w:t>
      </w:r>
      <w:r>
        <w:t xml:space="preserve">were made </w:t>
      </w:r>
      <w:r w:rsidR="00954BE8" w:rsidRPr="00227B33">
        <w:t>to therapy pricing and selected price points to better reflect non-NDIS market rates and address the ‘NDIS premium’ previously paid by participants.</w:t>
      </w:r>
    </w:p>
    <w:p w14:paraId="6385D375" w14:textId="1CCE74DE" w:rsidR="008D23B2" w:rsidRPr="00227B33" w:rsidRDefault="004540CE" w:rsidP="004540CE">
      <w:pPr>
        <w:pStyle w:val="Caption"/>
        <w:rPr>
          <w:b w:val="0"/>
          <w:bCs w:val="0"/>
        </w:rPr>
      </w:pPr>
      <w:r>
        <w:t xml:space="preserve">Table </w:t>
      </w:r>
      <w:r>
        <w:fldChar w:fldCharType="begin"/>
      </w:r>
      <w:r>
        <w:instrText>SEQ Table \* ARABIC</w:instrText>
      </w:r>
      <w:r>
        <w:fldChar w:fldCharType="separate"/>
      </w:r>
      <w:r w:rsidR="0021625A">
        <w:rPr>
          <w:noProof/>
        </w:rPr>
        <w:t>7</w:t>
      </w:r>
      <w:r>
        <w:fldChar w:fldCharType="end"/>
      </w:r>
      <w:r>
        <w:t xml:space="preserve">. </w:t>
      </w:r>
      <w:r w:rsidR="008D23B2" w:rsidRPr="00227B33">
        <w:t>Performance measure 1.8 – Claim integrity checks</w:t>
      </w:r>
    </w:p>
    <w:tbl>
      <w:tblPr>
        <w:tblStyle w:val="GridTable4"/>
        <w:tblW w:w="5000" w:type="pct"/>
        <w:tblLayout w:type="fixed"/>
        <w:tblLook w:val="0480" w:firstRow="0" w:lastRow="0" w:firstColumn="1" w:lastColumn="0" w:noHBand="0" w:noVBand="1"/>
        <w:tblDescription w:val="[Insert table description] with columns for [Insert column headings]. The table has [insert number] columns and [insert number] rows."/>
      </w:tblPr>
      <w:tblGrid>
        <w:gridCol w:w="3785"/>
        <w:gridCol w:w="5389"/>
      </w:tblGrid>
      <w:tr w:rsidR="008D23B2" w:rsidRPr="00227B33" w14:paraId="5C8C6C57" w14:textId="77777777" w:rsidTr="006B09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200E2272" w14:textId="77777777" w:rsidR="008D23B2" w:rsidRPr="00E7213D" w:rsidRDefault="008D23B2" w:rsidP="008401D4">
            <w:pPr>
              <w:pStyle w:val="TableBody0"/>
              <w:spacing w:line="312" w:lineRule="auto"/>
              <w:rPr>
                <w:b/>
                <w:bCs w:val="0"/>
              </w:rPr>
            </w:pPr>
            <w:r w:rsidRPr="00E7213D">
              <w:t>Target</w:t>
            </w:r>
          </w:p>
        </w:tc>
        <w:tc>
          <w:tcPr>
            <w:tcW w:w="2937" w:type="pct"/>
          </w:tcPr>
          <w:p w14:paraId="594C3B51" w14:textId="71622EE9" w:rsidR="008D23B2" w:rsidRPr="00227B33" w:rsidRDefault="008D23B2"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rPr>
                <w:bCs/>
              </w:rPr>
            </w:pPr>
            <w:r w:rsidRPr="00227B33">
              <w:t>Baseline being established in 2025–26</w:t>
            </w:r>
            <w:r w:rsidR="00AF23C2">
              <w:t>.</w:t>
            </w:r>
          </w:p>
        </w:tc>
      </w:tr>
      <w:tr w:rsidR="008D23B2" w:rsidRPr="00227B33" w14:paraId="48D8C921"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12251E40" w14:textId="48B64F87" w:rsidR="008D23B2" w:rsidRPr="00E7213D" w:rsidRDefault="008D23B2" w:rsidP="008401D4">
            <w:pPr>
              <w:pStyle w:val="TableBody0"/>
              <w:spacing w:line="312" w:lineRule="auto"/>
              <w:rPr>
                <w:b/>
                <w:bCs w:val="0"/>
              </w:rPr>
            </w:pPr>
            <w:r w:rsidRPr="00E7213D">
              <w:t>Performance achieved 2025–26</w:t>
            </w:r>
          </w:p>
        </w:tc>
        <w:tc>
          <w:tcPr>
            <w:tcW w:w="2937" w:type="pct"/>
          </w:tcPr>
          <w:p w14:paraId="35062C28" w14:textId="77777777" w:rsidR="008D23B2" w:rsidRPr="00227B33" w:rsidRDefault="008D23B2"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227B33">
              <w:rPr>
                <w:rStyle w:val="normaltextrun"/>
              </w:rPr>
              <w:t>72,965 claim integrity reviews completed.</w:t>
            </w:r>
          </w:p>
        </w:tc>
      </w:tr>
      <w:tr w:rsidR="008D23B2" w:rsidRPr="00227B33" w14:paraId="37E99B0B"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3FA8E595" w14:textId="77777777" w:rsidR="008D23B2" w:rsidRPr="00E7213D" w:rsidRDefault="008D23B2" w:rsidP="008401D4">
            <w:pPr>
              <w:pStyle w:val="TableBody0"/>
              <w:spacing w:line="312" w:lineRule="auto"/>
              <w:rPr>
                <w:b/>
                <w:bCs w:val="0"/>
              </w:rPr>
            </w:pPr>
            <w:r w:rsidRPr="00E7213D">
              <w:t>Performance achieved over time</w:t>
            </w:r>
          </w:p>
        </w:tc>
        <w:tc>
          <w:tcPr>
            <w:tcW w:w="2937" w:type="pct"/>
          </w:tcPr>
          <w:p w14:paraId="4D7C62DD" w14:textId="77777777" w:rsidR="008D23B2" w:rsidRPr="00227B33" w:rsidRDefault="008D23B2"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227B33">
              <w:t>N/A</w:t>
            </w:r>
          </w:p>
        </w:tc>
      </w:tr>
      <w:tr w:rsidR="00B17446" w:rsidRPr="00227B33" w14:paraId="60BF5E5A"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17EDB7E9" w14:textId="77777777" w:rsidR="00B17446" w:rsidRPr="00E7213D" w:rsidRDefault="00B17446" w:rsidP="008401D4">
            <w:pPr>
              <w:pStyle w:val="TableBody0"/>
              <w:spacing w:line="312" w:lineRule="auto"/>
              <w:rPr>
                <w:b/>
                <w:bCs w:val="0"/>
              </w:rPr>
            </w:pPr>
            <w:r w:rsidRPr="00E7213D">
              <w:t>Why we measure this</w:t>
            </w:r>
          </w:p>
        </w:tc>
        <w:tc>
          <w:tcPr>
            <w:tcW w:w="2937" w:type="pct"/>
          </w:tcPr>
          <w:p w14:paraId="15B520FE" w14:textId="5B746709" w:rsidR="00B17446" w:rsidRPr="00227B33" w:rsidRDefault="00B17446" w:rsidP="008401D4">
            <w:pPr>
              <w:spacing w:line="312" w:lineRule="auto"/>
              <w:cnfStyle w:val="000000000000" w:firstRow="0" w:lastRow="0" w:firstColumn="0" w:lastColumn="0" w:oddVBand="0" w:evenVBand="0" w:oddHBand="0" w:evenHBand="0" w:firstRowFirstColumn="0" w:firstRowLastColumn="0" w:lastRowFirstColumn="0" w:lastRowLastColumn="0"/>
              <w:rPr>
                <w:rFonts w:cs="Arial"/>
              </w:rPr>
            </w:pPr>
            <w:r w:rsidRPr="00977336">
              <w:rPr>
                <w:rFonts w:cs="Arial"/>
              </w:rPr>
              <w:t>Measures the output of integrity checks conducted on claims for NDIS payments, as part of the NDIA’s function to prevent, detect and respond to misuse or abuse of claims for payment under the NDIS.</w:t>
            </w:r>
          </w:p>
        </w:tc>
      </w:tr>
      <w:tr w:rsidR="00B17446" w:rsidRPr="00227B33" w14:paraId="09A19FC1" w14:textId="77777777" w:rsidTr="006B09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289397BC" w14:textId="77777777" w:rsidR="00B17446" w:rsidRPr="00E7213D" w:rsidRDefault="00B17446" w:rsidP="008401D4">
            <w:pPr>
              <w:pStyle w:val="TableBody0"/>
              <w:spacing w:line="312" w:lineRule="auto"/>
              <w:rPr>
                <w:b/>
                <w:bCs w:val="0"/>
              </w:rPr>
            </w:pPr>
            <w:r w:rsidRPr="00E7213D">
              <w:t>Methodology</w:t>
            </w:r>
          </w:p>
        </w:tc>
        <w:tc>
          <w:tcPr>
            <w:tcW w:w="2937" w:type="pct"/>
          </w:tcPr>
          <w:p w14:paraId="4130D67F" w14:textId="3BA06D58" w:rsidR="00B17446" w:rsidRPr="00227B33" w:rsidRDefault="00B17446"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641093">
              <w:t>This measure is the number of claims for NDIS payments that have had an integrity check (either completed, or a request for evidence has been issued and the NDIA is waiting for a response).</w:t>
            </w:r>
          </w:p>
        </w:tc>
      </w:tr>
    </w:tbl>
    <w:p w14:paraId="187A6BE2" w14:textId="77777777" w:rsidR="008D23B2" w:rsidRPr="0004016D" w:rsidRDefault="008D23B2" w:rsidP="00E03733">
      <w:pPr>
        <w:keepNext/>
        <w:spacing w:before="240"/>
        <w:rPr>
          <w:rStyle w:val="Strong"/>
        </w:rPr>
      </w:pPr>
      <w:r w:rsidRPr="0004016D">
        <w:rPr>
          <w:rStyle w:val="Strong"/>
        </w:rPr>
        <w:t>Analysis</w:t>
      </w:r>
    </w:p>
    <w:p w14:paraId="5479BAE0" w14:textId="080A3CCA" w:rsidR="008D23B2" w:rsidRPr="00227B33" w:rsidRDefault="008D23B2" w:rsidP="008D23B2">
      <w:r w:rsidRPr="00AF23C2">
        <w:t xml:space="preserve">The NDIA has been implementing systems and evidence gathering </w:t>
      </w:r>
      <w:r w:rsidR="004540CE">
        <w:t xml:space="preserve">that will enable us to </w:t>
      </w:r>
      <w:r w:rsidR="00AF23C2">
        <w:t xml:space="preserve">conduct a </w:t>
      </w:r>
      <w:r w:rsidRPr="00AF23C2">
        <w:t>more comprehensive review of claims.</w:t>
      </w:r>
      <w:r w:rsidRPr="00227B33">
        <w:t xml:space="preserve"> </w:t>
      </w:r>
      <w:r w:rsidR="00292773">
        <w:t>T</w:t>
      </w:r>
      <w:r w:rsidR="00AF23C2" w:rsidRPr="00227B33">
        <w:t xml:space="preserve">he pre-payment team </w:t>
      </w:r>
      <w:r w:rsidR="00AF23C2">
        <w:t xml:space="preserve">reviewed </w:t>
      </w:r>
      <w:r w:rsidRPr="00227B33">
        <w:t>72,965 claims</w:t>
      </w:r>
      <w:r w:rsidR="00AF23C2">
        <w:t>. T</w:t>
      </w:r>
      <w:r w:rsidR="00AF23C2" w:rsidRPr="00227B33">
        <w:t xml:space="preserve">he learnings </w:t>
      </w:r>
      <w:r w:rsidR="00A7665F">
        <w:t xml:space="preserve">were </w:t>
      </w:r>
      <w:r w:rsidRPr="00227B33">
        <w:t xml:space="preserve">used as a baseline to inform the development of a broader </w:t>
      </w:r>
      <w:r w:rsidR="000C481B">
        <w:t>c</w:t>
      </w:r>
      <w:r w:rsidRPr="00227B33">
        <w:t xml:space="preserve">laim </w:t>
      </w:r>
      <w:r w:rsidR="000C481B">
        <w:t>i</w:t>
      </w:r>
      <w:r w:rsidRPr="00227B33">
        <w:t xml:space="preserve">ntegrity </w:t>
      </w:r>
      <w:r w:rsidR="000C481B">
        <w:t>i</w:t>
      </w:r>
      <w:r w:rsidRPr="00227B33">
        <w:t>nterventions measure from 2026</w:t>
      </w:r>
      <w:r w:rsidR="002D6771">
        <w:t>–</w:t>
      </w:r>
      <w:r w:rsidRPr="00227B33">
        <w:t xml:space="preserve">27. This enhanced measure will provide a more comprehensive view of integrity activities undertaken across the </w:t>
      </w:r>
      <w:r w:rsidRPr="00AF23C2">
        <w:t>claims life</w:t>
      </w:r>
      <w:r w:rsidR="00AF23C2" w:rsidRPr="003E67C0">
        <w:t xml:space="preserve"> </w:t>
      </w:r>
      <w:r w:rsidRPr="00AF23C2">
        <w:t>cycle</w:t>
      </w:r>
      <w:r w:rsidRPr="00227B33">
        <w:t xml:space="preserve"> and support the establishment of meaningful future performance targets and benchmarks. To support our claim integrity checks</w:t>
      </w:r>
      <w:r w:rsidR="00AF23C2">
        <w:t>,</w:t>
      </w:r>
      <w:r w:rsidRPr="00227B33">
        <w:t xml:space="preserve"> in 2025–26 we:</w:t>
      </w:r>
    </w:p>
    <w:p w14:paraId="5D02F9B1" w14:textId="77777777" w:rsidR="008D23B2" w:rsidRPr="00227B33" w:rsidRDefault="008D23B2" w:rsidP="008D23B2">
      <w:pPr>
        <w:pStyle w:val="ListParagraph"/>
        <w:numPr>
          <w:ilvl w:val="0"/>
          <w:numId w:val="57"/>
        </w:numPr>
        <w:rPr>
          <w:lang w:eastAsia="en-GB"/>
        </w:rPr>
      </w:pPr>
      <w:r w:rsidRPr="00227B33">
        <w:rPr>
          <w:lang w:eastAsia="en-GB"/>
        </w:rPr>
        <w:t>strengthened our capability to prevent, detect and respond to misuse or abuse of NDIS funds</w:t>
      </w:r>
    </w:p>
    <w:p w14:paraId="5631DEBB" w14:textId="457DB106" w:rsidR="008D23B2" w:rsidRPr="00227B33" w:rsidRDefault="008D23B2" w:rsidP="008D23B2">
      <w:pPr>
        <w:pStyle w:val="ListParagraph"/>
        <w:numPr>
          <w:ilvl w:val="0"/>
          <w:numId w:val="57"/>
        </w:numPr>
        <w:rPr>
          <w:lang w:eastAsia="en-GB"/>
        </w:rPr>
      </w:pPr>
      <w:r w:rsidRPr="00227B33">
        <w:rPr>
          <w:lang w:eastAsia="en-GB"/>
        </w:rPr>
        <w:t xml:space="preserve">established reporting arrangements and progressed reforms to embed integrity controls earlier in the claiming and </w:t>
      </w:r>
      <w:r w:rsidRPr="00AF23C2">
        <w:rPr>
          <w:lang w:eastAsia="en-GB"/>
        </w:rPr>
        <w:t>payment life</w:t>
      </w:r>
      <w:r w:rsidR="00AF23C2" w:rsidRPr="003E67C0">
        <w:rPr>
          <w:lang w:eastAsia="en-GB"/>
        </w:rPr>
        <w:t xml:space="preserve"> </w:t>
      </w:r>
      <w:r w:rsidRPr="00AF23C2">
        <w:rPr>
          <w:lang w:eastAsia="en-GB"/>
        </w:rPr>
        <w:t>cycle</w:t>
      </w:r>
    </w:p>
    <w:p w14:paraId="523A8732" w14:textId="77777777" w:rsidR="008D23B2" w:rsidRPr="00227B33" w:rsidRDefault="008D23B2" w:rsidP="008D23B2">
      <w:pPr>
        <w:pStyle w:val="ListParagraph"/>
        <w:numPr>
          <w:ilvl w:val="0"/>
          <w:numId w:val="57"/>
        </w:numPr>
        <w:rPr>
          <w:lang w:eastAsia="en-GB"/>
        </w:rPr>
      </w:pPr>
      <w:r w:rsidRPr="00227B33">
        <w:rPr>
          <w:lang w:eastAsia="en-GB"/>
        </w:rPr>
        <w:t xml:space="preserve">improved </w:t>
      </w:r>
      <w:r w:rsidRPr="00227B33">
        <w:rPr>
          <w:rFonts w:cs="Arial"/>
          <w:lang w:eastAsia="en-GB"/>
        </w:rPr>
        <w:t>our</w:t>
      </w:r>
      <w:r w:rsidRPr="00227B33">
        <w:rPr>
          <w:lang w:eastAsia="en-GB"/>
        </w:rPr>
        <w:t xml:space="preserve"> governance and decision frameworks.</w:t>
      </w:r>
    </w:p>
    <w:p w14:paraId="2A616C25" w14:textId="6CDF3B21" w:rsidR="008D23B2" w:rsidRPr="00227B33" w:rsidRDefault="008D23B2" w:rsidP="008D23B2">
      <w:r w:rsidRPr="00227B33">
        <w:t>Achievements include:</w:t>
      </w:r>
    </w:p>
    <w:p w14:paraId="767E9F41" w14:textId="4691EC3C" w:rsidR="008D23B2" w:rsidRPr="00227B33" w:rsidRDefault="008D23B2" w:rsidP="008D23B2">
      <w:pPr>
        <w:pStyle w:val="ListParagraph"/>
        <w:numPr>
          <w:ilvl w:val="0"/>
          <w:numId w:val="59"/>
        </w:numPr>
        <w:rPr>
          <w:lang w:eastAsia="en-GB"/>
        </w:rPr>
      </w:pPr>
      <w:r w:rsidRPr="00227B33">
        <w:rPr>
          <w:lang w:eastAsia="en-GB"/>
        </w:rPr>
        <w:t>i</w:t>
      </w:r>
      <w:r w:rsidRPr="00227B33">
        <w:t>mproved integrity controls as a result of legislative and administrative changes</w:t>
      </w:r>
      <w:r w:rsidR="00AF23C2">
        <w:t>,</w:t>
      </w:r>
      <w:r w:rsidRPr="00227B33">
        <w:rPr>
          <w:rStyle w:val="cf01"/>
          <w:rFonts w:ascii="Arial" w:hAnsi="Arial" w:cs="Arial"/>
          <w:sz w:val="24"/>
          <w:szCs w:val="24"/>
        </w:rPr>
        <w:t xml:space="preserve"> </w:t>
      </w:r>
      <w:r w:rsidRPr="00227B33">
        <w:rPr>
          <w:lang w:eastAsia="en-GB"/>
        </w:rPr>
        <w:t xml:space="preserve">including </w:t>
      </w:r>
      <w:r w:rsidRPr="00227B33">
        <w:rPr>
          <w:rStyle w:val="cf01"/>
          <w:rFonts w:ascii="Arial" w:hAnsi="Arial" w:cs="Arial"/>
          <w:sz w:val="24"/>
          <w:szCs w:val="24"/>
        </w:rPr>
        <w:t>lower thresholds</w:t>
      </w:r>
      <w:r w:rsidRPr="00227B33">
        <w:rPr>
          <w:rFonts w:cs="Arial"/>
          <w:lang w:eastAsia="en-GB"/>
        </w:rPr>
        <w:t xml:space="preserve"> for evidence requirements for self-managed participant claims</w:t>
      </w:r>
    </w:p>
    <w:p w14:paraId="72B07C51" w14:textId="77777777" w:rsidR="008D23B2" w:rsidRPr="00227B33" w:rsidRDefault="008D23B2" w:rsidP="008D23B2">
      <w:pPr>
        <w:pStyle w:val="ListParagraph"/>
        <w:numPr>
          <w:ilvl w:val="0"/>
          <w:numId w:val="58"/>
        </w:numPr>
        <w:spacing w:before="210" w:after="210"/>
        <w:rPr>
          <w:lang w:eastAsia="en-GB"/>
        </w:rPr>
      </w:pPr>
      <w:r w:rsidRPr="00227B33">
        <w:rPr>
          <w:rFonts w:eastAsiaTheme="minorEastAsia" w:cs="Arial"/>
          <w:lang w:eastAsia="en-GB"/>
        </w:rPr>
        <w:t>streamlined, risk-based review processes that</w:t>
      </w:r>
      <w:r w:rsidRPr="00227B33" w:rsidDel="00CF2612">
        <w:rPr>
          <w:rFonts w:eastAsiaTheme="minorEastAsia" w:cs="Arial"/>
          <w:lang w:eastAsia="en-GB"/>
        </w:rPr>
        <w:t xml:space="preserve"> </w:t>
      </w:r>
      <w:r w:rsidRPr="00227B33">
        <w:rPr>
          <w:rFonts w:eastAsiaTheme="minorEastAsia" w:cs="Arial"/>
          <w:lang w:eastAsia="en-GB"/>
        </w:rPr>
        <w:t>improve efficiency and reduce manual effort in identifying high</w:t>
      </w:r>
      <w:r w:rsidRPr="00227B33">
        <w:rPr>
          <w:lang w:eastAsia="en-GB"/>
        </w:rPr>
        <w:noBreakHyphen/>
      </w:r>
      <w:r w:rsidRPr="00227B33">
        <w:rPr>
          <w:rFonts w:eastAsiaTheme="minorEastAsia" w:cs="Arial"/>
          <w:lang w:eastAsia="en-GB"/>
        </w:rPr>
        <w:t>risk claims, and improve the timeliness of payments and outcomes for participants and providers</w:t>
      </w:r>
    </w:p>
    <w:p w14:paraId="779E2B6E" w14:textId="77777777" w:rsidR="008D23B2" w:rsidRPr="00227B33" w:rsidRDefault="008D23B2" w:rsidP="008D23B2">
      <w:pPr>
        <w:pStyle w:val="ListParagraph"/>
        <w:numPr>
          <w:ilvl w:val="0"/>
          <w:numId w:val="58"/>
        </w:numPr>
        <w:rPr>
          <w:lang w:eastAsia="en-GB"/>
        </w:rPr>
      </w:pPr>
      <w:r w:rsidRPr="00227B33">
        <w:rPr>
          <w:lang w:eastAsia="en-GB"/>
        </w:rPr>
        <w:t xml:space="preserve">a new framework for managing unsubstantiated claims and supporting timely and defensible payment (and rejection) decisions. </w:t>
      </w:r>
    </w:p>
    <w:p w14:paraId="09F50C7B" w14:textId="196B9BF7" w:rsidR="008D23B2" w:rsidRPr="00227B33" w:rsidRDefault="00A7665F" w:rsidP="008D23B2">
      <w:pPr>
        <w:rPr>
          <w:lang w:eastAsia="en-GB"/>
        </w:rPr>
      </w:pPr>
      <w:r>
        <w:rPr>
          <w:lang w:eastAsia="en-GB"/>
        </w:rPr>
        <w:t>S</w:t>
      </w:r>
      <w:r w:rsidRPr="00227B33">
        <w:rPr>
          <w:lang w:eastAsia="en-GB"/>
        </w:rPr>
        <w:t xml:space="preserve">ystem and process enhancements </w:t>
      </w:r>
      <w:r>
        <w:rPr>
          <w:lang w:eastAsia="en-GB"/>
        </w:rPr>
        <w:t>have improved t</w:t>
      </w:r>
      <w:r w:rsidR="008D23B2" w:rsidRPr="00227B33">
        <w:rPr>
          <w:lang w:eastAsia="en-GB"/>
        </w:rPr>
        <w:t>he NDIA</w:t>
      </w:r>
      <w:r>
        <w:rPr>
          <w:lang w:eastAsia="en-GB"/>
        </w:rPr>
        <w:t>’s ability</w:t>
      </w:r>
      <w:r w:rsidR="008D23B2" w:rsidRPr="00227B33">
        <w:rPr>
          <w:lang w:eastAsia="en-GB"/>
        </w:rPr>
        <w:t xml:space="preserve"> to identify, review and report on payment integrity checks. As a result, from 1 July 2026 </w:t>
      </w:r>
      <w:r w:rsidR="00AF23C2">
        <w:rPr>
          <w:lang w:eastAsia="en-GB"/>
        </w:rPr>
        <w:t>p</w:t>
      </w:r>
      <w:r w:rsidR="008D23B2" w:rsidRPr="00227B33">
        <w:rPr>
          <w:lang w:eastAsia="en-GB"/>
        </w:rPr>
        <w:t xml:space="preserve">erformance </w:t>
      </w:r>
      <w:r w:rsidR="00AF23C2">
        <w:rPr>
          <w:lang w:eastAsia="en-GB"/>
        </w:rPr>
        <w:t>m</w:t>
      </w:r>
      <w:r w:rsidR="008D23B2" w:rsidRPr="00227B33">
        <w:rPr>
          <w:lang w:eastAsia="en-GB"/>
        </w:rPr>
        <w:t xml:space="preserve">easure 1.8 – Claim integrity checks will become </w:t>
      </w:r>
      <w:r w:rsidR="00AF23C2">
        <w:rPr>
          <w:lang w:eastAsia="en-GB"/>
        </w:rPr>
        <w:t>p</w:t>
      </w:r>
      <w:r w:rsidR="008D23B2" w:rsidRPr="00227B33">
        <w:rPr>
          <w:lang w:eastAsia="en-GB"/>
        </w:rPr>
        <w:t xml:space="preserve">erformance </w:t>
      </w:r>
      <w:r w:rsidR="00AF23C2">
        <w:rPr>
          <w:lang w:eastAsia="en-GB"/>
        </w:rPr>
        <w:t>m</w:t>
      </w:r>
      <w:r w:rsidR="008D23B2" w:rsidRPr="00227B33">
        <w:rPr>
          <w:lang w:eastAsia="en-GB"/>
        </w:rPr>
        <w:t>easure 1.8 – Claim integrity interventions, providing a more comprehensive view of payment integrity activity and outcomes.</w:t>
      </w:r>
    </w:p>
    <w:p w14:paraId="18EC855B" w14:textId="77777777" w:rsidR="008D23B2" w:rsidRPr="00227B33" w:rsidRDefault="008D23B2" w:rsidP="008D23B2">
      <w:pPr>
        <w:rPr>
          <w:lang w:eastAsia="en-GB"/>
        </w:rPr>
      </w:pPr>
      <w:r w:rsidRPr="00227B33">
        <w:rPr>
          <w:lang w:eastAsia="en-GB"/>
        </w:rPr>
        <w:t>The changes will initially capture more claim reviews and ultimately capture a broader range of integrity interventions. It will also more accurately reflect reviewed claims, including those substantiated and approved for payment.</w:t>
      </w:r>
    </w:p>
    <w:p w14:paraId="44C4B027" w14:textId="52CDBEB8" w:rsidR="008D23B2" w:rsidRPr="00227B33" w:rsidRDefault="008D23B2" w:rsidP="008D23B2">
      <w:pPr>
        <w:rPr>
          <w:lang w:eastAsia="en-GB"/>
        </w:rPr>
      </w:pPr>
      <w:r w:rsidRPr="00227B33">
        <w:rPr>
          <w:lang w:eastAsia="en-GB"/>
        </w:rPr>
        <w:t>Because we have improved how we identify, review and report on claims, we expect the proportion of noncompliant claims compared to claims reviewed to reduce. It is important to note that the reduction would reflect a reporting change to capture more claims reviewed, rather than less effective payment integrity controls.</w:t>
      </w:r>
    </w:p>
    <w:p w14:paraId="48A69592" w14:textId="77777777" w:rsidR="008D23B2" w:rsidRPr="00227B33" w:rsidRDefault="008D23B2" w:rsidP="008D23B2">
      <w:pPr>
        <w:rPr>
          <w:lang w:eastAsia="en-GB"/>
        </w:rPr>
      </w:pPr>
      <w:r w:rsidRPr="00227B33">
        <w:rPr>
          <w:lang w:eastAsia="en-GB"/>
        </w:rPr>
        <w:t>The revised reporting methodology reflects the NDIA’s ongoing commitment to the integrity of the NDIS by providing greater transparency and a more complete representation of payment integrity activity.</w:t>
      </w:r>
    </w:p>
    <w:p w14:paraId="39C4CDDE" w14:textId="46ABD193" w:rsidR="008D23B2" w:rsidRPr="00227B33" w:rsidRDefault="008D23B2" w:rsidP="008D23B2">
      <w:pPr>
        <w:rPr>
          <w:lang w:eastAsia="en-GB"/>
        </w:rPr>
      </w:pPr>
      <w:r w:rsidRPr="00227B33">
        <w:rPr>
          <w:lang w:eastAsia="en-GB"/>
        </w:rPr>
        <w:t>In the coming year, the NDIA will continue to strengthen its payment integrity capabilities through better oversight, risk detection and targeted interventions.</w:t>
      </w:r>
    </w:p>
    <w:p w14:paraId="53CDADBF" w14:textId="77777777" w:rsidR="00E228A7" w:rsidRPr="00227B33" w:rsidRDefault="00E228A7" w:rsidP="00E228A7">
      <w:pPr>
        <w:pStyle w:val="Heading4"/>
      </w:pPr>
      <w:r w:rsidRPr="00227B33">
        <w:t>Program 1.2 performance statement</w:t>
      </w:r>
    </w:p>
    <w:p w14:paraId="59C5FC36" w14:textId="78ACAF7C" w:rsidR="00590027" w:rsidRPr="00227B33" w:rsidRDefault="00590027" w:rsidP="00590027">
      <w:pPr>
        <w:pStyle w:val="Heading5"/>
      </w:pPr>
      <w:r w:rsidRPr="00227B33">
        <w:t xml:space="preserve">Program 1.2 – </w:t>
      </w:r>
      <w:r w:rsidR="00DE1F04" w:rsidRPr="00227B33">
        <w:t xml:space="preserve">NDIA and general </w:t>
      </w:r>
      <w:r w:rsidR="004732B1" w:rsidRPr="00227B33">
        <w:t>supports</w:t>
      </w:r>
    </w:p>
    <w:p w14:paraId="1B699AAE" w14:textId="2AEAF863" w:rsidR="00590027" w:rsidRPr="00227B33" w:rsidRDefault="00590027" w:rsidP="00590027">
      <w:r w:rsidRPr="00227B33">
        <w:t xml:space="preserve">There </w:t>
      </w:r>
      <w:r w:rsidR="00A54DBF" w:rsidRPr="00227B33">
        <w:t>are</w:t>
      </w:r>
      <w:r w:rsidRPr="00227B33">
        <w:t xml:space="preserve"> </w:t>
      </w:r>
      <w:r w:rsidR="00790115" w:rsidRPr="00227B33">
        <w:t>2</w:t>
      </w:r>
      <w:r w:rsidRPr="00227B33">
        <w:t xml:space="preserve"> key activit</w:t>
      </w:r>
      <w:r w:rsidR="00A54DBF" w:rsidRPr="00227B33">
        <w:t>ies</w:t>
      </w:r>
      <w:r w:rsidRPr="00227B33">
        <w:t xml:space="preserve"> for Program 1.</w:t>
      </w:r>
      <w:r w:rsidR="00AD75F1" w:rsidRPr="00227B33">
        <w:t>2</w:t>
      </w:r>
      <w:r w:rsidR="00FA2059" w:rsidRPr="00227B33">
        <w:t xml:space="preserve">. </w:t>
      </w:r>
      <w:r w:rsidR="00CE0EC4" w:rsidRPr="00227B33">
        <w:t>Key activity 2 has</w:t>
      </w:r>
      <w:r w:rsidRPr="00227B33">
        <w:t xml:space="preserve"> </w:t>
      </w:r>
      <w:r w:rsidR="00CE0EC4" w:rsidRPr="00227B33">
        <w:t>5</w:t>
      </w:r>
      <w:r w:rsidRPr="00227B33">
        <w:t xml:space="preserve"> performance measure</w:t>
      </w:r>
      <w:r w:rsidR="000F02A9" w:rsidRPr="00227B33">
        <w:t>s</w:t>
      </w:r>
      <w:r w:rsidR="00167019" w:rsidRPr="00227B33">
        <w:t xml:space="preserve"> and key activity 3 h</w:t>
      </w:r>
      <w:r w:rsidR="003D06DB" w:rsidRPr="00227B33">
        <w:t>as</w:t>
      </w:r>
      <w:r w:rsidR="00167019" w:rsidRPr="00227B33">
        <w:t xml:space="preserve"> </w:t>
      </w:r>
      <w:r w:rsidR="003D06DB" w:rsidRPr="00227B33">
        <w:t>one</w:t>
      </w:r>
      <w:r w:rsidR="00167019" w:rsidRPr="00227B33">
        <w:t xml:space="preserve"> performance measure</w:t>
      </w:r>
      <w:r w:rsidRPr="00227B33">
        <w:t>.</w:t>
      </w:r>
    </w:p>
    <w:p w14:paraId="3D5FD0BD" w14:textId="4AD5863B" w:rsidR="00590027" w:rsidRPr="00227B33" w:rsidRDefault="00590027" w:rsidP="00590027">
      <w:pPr>
        <w:pStyle w:val="Heading5"/>
      </w:pPr>
      <w:r w:rsidRPr="00227B33">
        <w:t xml:space="preserve">Key activity </w:t>
      </w:r>
      <w:r w:rsidR="00FA2059" w:rsidRPr="00227B33">
        <w:t>2</w:t>
      </w:r>
      <w:r w:rsidRPr="00227B33">
        <w:t xml:space="preserve"> – </w:t>
      </w:r>
      <w:r w:rsidR="00E7404D" w:rsidRPr="00227B33">
        <w:t>Develop a high-performing NDIA for participants</w:t>
      </w:r>
    </w:p>
    <w:p w14:paraId="05EDFB0D" w14:textId="119DB32D" w:rsidR="00E228A7" w:rsidRPr="00227B33" w:rsidRDefault="004540CE" w:rsidP="004540CE">
      <w:pPr>
        <w:pStyle w:val="Caption"/>
      </w:pPr>
      <w:r>
        <w:t xml:space="preserve">Table </w:t>
      </w:r>
      <w:r>
        <w:fldChar w:fldCharType="begin"/>
      </w:r>
      <w:r>
        <w:instrText>SEQ Table \* ARABIC</w:instrText>
      </w:r>
      <w:r>
        <w:fldChar w:fldCharType="separate"/>
      </w:r>
      <w:r w:rsidR="0021625A">
        <w:rPr>
          <w:noProof/>
        </w:rPr>
        <w:t>8</w:t>
      </w:r>
      <w:r>
        <w:fldChar w:fldCharType="end"/>
      </w:r>
      <w:r>
        <w:t xml:space="preserve">. </w:t>
      </w:r>
      <w:r w:rsidR="00E228A7" w:rsidRPr="00227B33">
        <w:t>Performance measure 2.1 – Staff with disability</w:t>
      </w:r>
    </w:p>
    <w:tbl>
      <w:tblPr>
        <w:tblStyle w:val="GridTable4"/>
        <w:tblW w:w="5000" w:type="pct"/>
        <w:tblLayout w:type="fixed"/>
        <w:tblLook w:val="0480" w:firstRow="0" w:lastRow="0" w:firstColumn="1" w:lastColumn="0" w:noHBand="0" w:noVBand="1"/>
        <w:tblDescription w:val="[Insert table description] with columns for [Insert column headings]. The table has [insert number] columns and [insert number] rows."/>
      </w:tblPr>
      <w:tblGrid>
        <w:gridCol w:w="3785"/>
        <w:gridCol w:w="5389"/>
      </w:tblGrid>
      <w:tr w:rsidR="003B0046" w:rsidRPr="00953950" w14:paraId="005541FA" w14:textId="77777777" w:rsidTr="00C86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007CC457" w14:textId="77777777" w:rsidR="003B0046" w:rsidRPr="00E7213D" w:rsidRDefault="003B0046" w:rsidP="008401D4">
            <w:pPr>
              <w:pStyle w:val="TableBody0"/>
              <w:spacing w:line="312" w:lineRule="auto"/>
              <w:rPr>
                <w:b/>
                <w:bCs w:val="0"/>
              </w:rPr>
            </w:pPr>
            <w:r w:rsidRPr="00E7213D">
              <w:t>Target</w:t>
            </w:r>
          </w:p>
        </w:tc>
        <w:tc>
          <w:tcPr>
            <w:tcW w:w="2937" w:type="pct"/>
          </w:tcPr>
          <w:p w14:paraId="4D84F26E" w14:textId="77777777" w:rsidR="003B0046" w:rsidRPr="00A7665F" w:rsidRDefault="003B0046"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rPr>
                <w:bCs/>
              </w:rPr>
            </w:pPr>
            <w:r w:rsidRPr="00A7665F">
              <w:rPr>
                <w:bCs/>
              </w:rPr>
              <w:t>22%</w:t>
            </w:r>
          </w:p>
        </w:tc>
      </w:tr>
      <w:tr w:rsidR="003B0046" w:rsidRPr="00953950" w14:paraId="6B611024" w14:textId="77777777" w:rsidTr="00C86572">
        <w:tc>
          <w:tcPr>
            <w:cnfStyle w:val="001000000000" w:firstRow="0" w:lastRow="0" w:firstColumn="1" w:lastColumn="0" w:oddVBand="0" w:evenVBand="0" w:oddHBand="0" w:evenHBand="0" w:firstRowFirstColumn="0" w:firstRowLastColumn="0" w:lastRowFirstColumn="0" w:lastRowLastColumn="0"/>
            <w:tcW w:w="2063" w:type="pct"/>
          </w:tcPr>
          <w:p w14:paraId="61D0D4DB" w14:textId="2A080715" w:rsidR="003B0046" w:rsidRPr="00E7213D" w:rsidRDefault="003B0046" w:rsidP="008401D4">
            <w:pPr>
              <w:pStyle w:val="TableBody0"/>
              <w:spacing w:line="312" w:lineRule="auto"/>
              <w:rPr>
                <w:b/>
                <w:bCs w:val="0"/>
              </w:rPr>
            </w:pPr>
            <w:r w:rsidRPr="00E7213D">
              <w:t>Performance achieved 2025–26</w:t>
            </w:r>
          </w:p>
        </w:tc>
        <w:tc>
          <w:tcPr>
            <w:tcW w:w="2937" w:type="pct"/>
          </w:tcPr>
          <w:p w14:paraId="2382C8E0" w14:textId="60550D9A" w:rsidR="003B0046" w:rsidRPr="00A7665F" w:rsidRDefault="003B0046"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A7665F">
              <w:t>2</w:t>
            </w:r>
            <w:r w:rsidR="00FF484A">
              <w:t>4</w:t>
            </w:r>
            <w:r w:rsidRPr="00A7665F">
              <w:t>%. Achieved.</w:t>
            </w:r>
          </w:p>
        </w:tc>
      </w:tr>
      <w:tr w:rsidR="003B0046" w:rsidRPr="00953950" w14:paraId="29349B3C" w14:textId="77777777" w:rsidTr="00C86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05B51BF5" w14:textId="77777777" w:rsidR="003B0046" w:rsidRPr="00E7213D" w:rsidRDefault="003B0046" w:rsidP="008401D4">
            <w:pPr>
              <w:pStyle w:val="TableBody0"/>
              <w:spacing w:line="312" w:lineRule="auto"/>
              <w:rPr>
                <w:b/>
                <w:bCs w:val="0"/>
              </w:rPr>
            </w:pPr>
            <w:r w:rsidRPr="00E7213D">
              <w:t>Performance achieved over time</w:t>
            </w:r>
          </w:p>
        </w:tc>
        <w:tc>
          <w:tcPr>
            <w:tcW w:w="2937" w:type="pct"/>
          </w:tcPr>
          <w:p w14:paraId="0FFE489E" w14:textId="77777777" w:rsidR="003B0046" w:rsidRPr="00A7665F" w:rsidRDefault="003B0046"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A7665F">
              <w:t>This result is consistent with the 2024–25 result of 23.4% and reflects the NDIA’s focus on inclusion, accessibility and staff support.</w:t>
            </w:r>
          </w:p>
        </w:tc>
      </w:tr>
      <w:tr w:rsidR="003B0046" w:rsidRPr="00953950" w14:paraId="27CBA9A8" w14:textId="77777777" w:rsidTr="00C86572">
        <w:tc>
          <w:tcPr>
            <w:cnfStyle w:val="001000000000" w:firstRow="0" w:lastRow="0" w:firstColumn="1" w:lastColumn="0" w:oddVBand="0" w:evenVBand="0" w:oddHBand="0" w:evenHBand="0" w:firstRowFirstColumn="0" w:firstRowLastColumn="0" w:lastRowFirstColumn="0" w:lastRowLastColumn="0"/>
            <w:tcW w:w="2063" w:type="pct"/>
          </w:tcPr>
          <w:p w14:paraId="62340B5C" w14:textId="77777777" w:rsidR="003B0046" w:rsidRPr="00E7213D" w:rsidRDefault="003B0046" w:rsidP="008401D4">
            <w:pPr>
              <w:pStyle w:val="TableBody0"/>
              <w:spacing w:line="312" w:lineRule="auto"/>
              <w:rPr>
                <w:b/>
                <w:bCs w:val="0"/>
              </w:rPr>
            </w:pPr>
            <w:r w:rsidRPr="00E7213D">
              <w:t>Why we measure this</w:t>
            </w:r>
          </w:p>
        </w:tc>
        <w:tc>
          <w:tcPr>
            <w:tcW w:w="2937" w:type="pct"/>
          </w:tcPr>
          <w:p w14:paraId="01A4BBF7" w14:textId="293E13CE" w:rsidR="003B0046" w:rsidRPr="00A7665F" w:rsidRDefault="00DD0BCD"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641093">
              <w:t>Measures the output of NDIA internal management actions related to inclusion and diversity, and supports the effectiveness of NDIA staff interactions with participants. The lived experience that staff with disability bring to the NDIA is vital to our ability to connect, communicate, understand, empathise and provide quality services to participants and their families and carers.</w:t>
            </w:r>
          </w:p>
        </w:tc>
      </w:tr>
      <w:tr w:rsidR="003B0046" w:rsidRPr="00953950" w14:paraId="4A1F8826" w14:textId="77777777" w:rsidTr="00C86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4B384AFA" w14:textId="77777777" w:rsidR="003B0046" w:rsidRPr="00E7213D" w:rsidRDefault="003B0046" w:rsidP="008401D4">
            <w:pPr>
              <w:pStyle w:val="TableBody0"/>
              <w:spacing w:line="312" w:lineRule="auto"/>
              <w:rPr>
                <w:b/>
                <w:bCs w:val="0"/>
              </w:rPr>
            </w:pPr>
            <w:r w:rsidRPr="00E7213D">
              <w:t>Methodology</w:t>
            </w:r>
          </w:p>
        </w:tc>
        <w:tc>
          <w:tcPr>
            <w:tcW w:w="2937" w:type="pct"/>
          </w:tcPr>
          <w:p w14:paraId="49A13FF5" w14:textId="4E8D9A71" w:rsidR="003B0046" w:rsidRPr="00A7665F" w:rsidRDefault="00DC3136"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641093">
              <w:t>This measure is the number of staff (</w:t>
            </w:r>
            <w:r w:rsidR="005032F0">
              <w:t>Australian Public Service (</w:t>
            </w:r>
            <w:r w:rsidRPr="00641093">
              <w:t>APS</w:t>
            </w:r>
            <w:r w:rsidR="005032F0">
              <w:t>)</w:t>
            </w:r>
            <w:r w:rsidRPr="00641093">
              <w:t xml:space="preserve"> and labour hire) who responded ‘Yes’ to the question ‘Do you have an ongoing disability?’, divided by the total number of respondents.</w:t>
            </w:r>
            <w:r w:rsidRPr="00986381">
              <w:rPr>
                <w:rFonts w:ascii="Segoe UI" w:eastAsia="Times New Roman" w:hAnsi="Segoe UI" w:cs="Segoe UI"/>
                <w:sz w:val="18"/>
                <w:szCs w:val="18"/>
                <w:lang w:eastAsia="en-AU"/>
              </w:rPr>
              <w:t xml:space="preserve"> </w:t>
            </w:r>
            <w:r w:rsidRPr="00986381">
              <w:t>Data source Australian Public Service Employee Census.</w:t>
            </w:r>
          </w:p>
        </w:tc>
      </w:tr>
    </w:tbl>
    <w:p w14:paraId="36B6F418" w14:textId="77777777" w:rsidR="003B0046" w:rsidRPr="0004016D" w:rsidRDefault="003B0046" w:rsidP="0004016D">
      <w:pPr>
        <w:spacing w:before="240"/>
        <w:rPr>
          <w:rStyle w:val="Strong"/>
        </w:rPr>
      </w:pPr>
      <w:r w:rsidRPr="0004016D">
        <w:rPr>
          <w:rStyle w:val="Strong"/>
        </w:rPr>
        <w:t>Analysis</w:t>
      </w:r>
    </w:p>
    <w:p w14:paraId="23BF11D7" w14:textId="1DB8684E" w:rsidR="003B0046" w:rsidRPr="00A7665F" w:rsidRDefault="003B0046" w:rsidP="003B0046">
      <w:pPr>
        <w:pStyle w:val="Caption"/>
        <w:rPr>
          <w:b w:val="0"/>
          <w:bCs w:val="0"/>
          <w:color w:val="auto"/>
        </w:rPr>
      </w:pPr>
      <w:r w:rsidRPr="00A7665F">
        <w:rPr>
          <w:b w:val="0"/>
          <w:bCs w:val="0"/>
          <w:color w:val="auto"/>
        </w:rPr>
        <w:t xml:space="preserve">The NDIA takes a whole-of-organisation approach to inclusion, with a focus on attracting, supporting and retaining staff with disability. We aim to be an employer of choice and to lead the </w:t>
      </w:r>
      <w:r w:rsidR="00BA63A0">
        <w:rPr>
          <w:b w:val="0"/>
          <w:bCs w:val="0"/>
          <w:color w:val="auto"/>
        </w:rPr>
        <w:t>APS</w:t>
      </w:r>
      <w:r w:rsidR="00AF23C2">
        <w:rPr>
          <w:b w:val="0"/>
          <w:bCs w:val="0"/>
          <w:color w:val="auto"/>
        </w:rPr>
        <w:t xml:space="preserve"> </w:t>
      </w:r>
      <w:r w:rsidRPr="00A7665F">
        <w:rPr>
          <w:b w:val="0"/>
          <w:bCs w:val="0"/>
          <w:color w:val="auto"/>
        </w:rPr>
        <w:t>in creating an inclusive workplace for our diverse staff. During the year, we introduced a range of initiatives to support inclusion and accessibility</w:t>
      </w:r>
      <w:r w:rsidR="00AF23C2">
        <w:rPr>
          <w:b w:val="0"/>
          <w:bCs w:val="0"/>
          <w:color w:val="auto"/>
        </w:rPr>
        <w:t>. For example, we</w:t>
      </w:r>
      <w:r w:rsidRPr="00A7665F">
        <w:rPr>
          <w:b w:val="0"/>
          <w:bCs w:val="0"/>
          <w:color w:val="auto"/>
        </w:rPr>
        <w:t>:</w:t>
      </w:r>
    </w:p>
    <w:p w14:paraId="741C25C4" w14:textId="66C57FB3" w:rsidR="003B0046" w:rsidRPr="00A7665F" w:rsidRDefault="003B0046" w:rsidP="003B0046">
      <w:pPr>
        <w:pStyle w:val="Bullet1"/>
      </w:pPr>
      <w:r w:rsidRPr="00A7665F">
        <w:t>launch</w:t>
      </w:r>
      <w:r w:rsidR="00AF23C2">
        <w:t>ed</w:t>
      </w:r>
      <w:r w:rsidRPr="00A7665F">
        <w:t xml:space="preserve"> the </w:t>
      </w:r>
      <w:r w:rsidR="006645E3" w:rsidRPr="00A4275A">
        <w:rPr>
          <w:rFonts w:eastAsia="Arial" w:cs="Arial"/>
          <w:color w:val="000000"/>
          <w:lang w:eastAsia="ja-JP"/>
        </w:rPr>
        <w:t>Accessibility and Inclusion Service Desk</w:t>
      </w:r>
    </w:p>
    <w:p w14:paraId="76E1C709" w14:textId="5E1DF5EC" w:rsidR="003B0046" w:rsidRPr="00A7665F" w:rsidRDefault="003B0046" w:rsidP="003B0046">
      <w:pPr>
        <w:pStyle w:val="Bullet1"/>
      </w:pPr>
      <w:r w:rsidRPr="00A7665F">
        <w:t>establish</w:t>
      </w:r>
      <w:r w:rsidR="00AF23C2">
        <w:t>ed</w:t>
      </w:r>
      <w:r w:rsidRPr="00A7665F">
        <w:t xml:space="preserve"> an in</w:t>
      </w:r>
      <w:r w:rsidRPr="00A7665F">
        <w:rPr>
          <w:rFonts w:ascii="Cambria Math" w:hAnsi="Cambria Math" w:cs="Cambria Math"/>
        </w:rPr>
        <w:t>‑</w:t>
      </w:r>
      <w:r w:rsidRPr="00A7665F">
        <w:t>house neuroinclusion specialist role</w:t>
      </w:r>
    </w:p>
    <w:p w14:paraId="4E9DA7C5" w14:textId="3A838874" w:rsidR="003B0046" w:rsidRPr="006645E3" w:rsidRDefault="003B0046" w:rsidP="003B0046">
      <w:pPr>
        <w:pStyle w:val="Bullet1"/>
      </w:pPr>
      <w:r w:rsidRPr="006645E3">
        <w:t>expand</w:t>
      </w:r>
      <w:r w:rsidR="00AF23C2" w:rsidRPr="006645E3">
        <w:t>ed</w:t>
      </w:r>
      <w:r w:rsidRPr="006645E3">
        <w:t xml:space="preserve"> the use of the Spiky Profile Assessment Tool</w:t>
      </w:r>
    </w:p>
    <w:p w14:paraId="113A0204" w14:textId="029A7298" w:rsidR="003B0046" w:rsidRPr="00A7665F" w:rsidRDefault="003B0046" w:rsidP="003B0046">
      <w:pPr>
        <w:pStyle w:val="Bullet1"/>
      </w:pPr>
      <w:r w:rsidRPr="00A7665F">
        <w:t>releas</w:t>
      </w:r>
      <w:r w:rsidR="00AF23C2">
        <w:t>ed</w:t>
      </w:r>
      <w:r w:rsidRPr="00A7665F">
        <w:t xml:space="preserve"> a neurodiversity toolkit for staff and managers</w:t>
      </w:r>
    </w:p>
    <w:p w14:paraId="796C17EF" w14:textId="15FDD821" w:rsidR="003B0046" w:rsidRPr="00A7665F" w:rsidRDefault="003B0046" w:rsidP="003B0046">
      <w:pPr>
        <w:pStyle w:val="Bullet1"/>
      </w:pPr>
      <w:r w:rsidRPr="00A7665F">
        <w:t>expand</w:t>
      </w:r>
      <w:r w:rsidR="00AF23C2">
        <w:t>ed</w:t>
      </w:r>
      <w:r w:rsidRPr="00A7665F">
        <w:t xml:space="preserve"> an in-house Auslan interpreting service pilot as an ongoing offering</w:t>
      </w:r>
    </w:p>
    <w:p w14:paraId="42DF2CC7" w14:textId="335E4C2B" w:rsidR="003B0046" w:rsidRPr="00A7665F" w:rsidRDefault="00AF23C2" w:rsidP="003B0046">
      <w:pPr>
        <w:pStyle w:val="Bullet1"/>
      </w:pPr>
      <w:r>
        <w:t xml:space="preserve">held </w:t>
      </w:r>
      <w:r w:rsidR="003B0046" w:rsidRPr="00A7665F">
        <w:t>awareness sessions to support a menopause</w:t>
      </w:r>
      <w:r w:rsidR="003B0046" w:rsidRPr="00A7665F">
        <w:rPr>
          <w:rFonts w:ascii="Cambria Math" w:hAnsi="Cambria Math" w:cs="Cambria Math"/>
        </w:rPr>
        <w:t>‑</w:t>
      </w:r>
      <w:r w:rsidR="003B0046" w:rsidRPr="00A7665F">
        <w:t>friendly workplace</w:t>
      </w:r>
    </w:p>
    <w:p w14:paraId="06C59900" w14:textId="08BE7F03" w:rsidR="003B0046" w:rsidRPr="00A7665F" w:rsidRDefault="003B0046" w:rsidP="003B0046">
      <w:pPr>
        <w:pStyle w:val="Bullet1"/>
      </w:pPr>
      <w:r w:rsidRPr="00A7665F">
        <w:t>host</w:t>
      </w:r>
      <w:r w:rsidR="00AF23C2">
        <w:t>ed</w:t>
      </w:r>
      <w:r w:rsidRPr="00A7665F">
        <w:t xml:space="preserve"> the first Harmony Week virtual event</w:t>
      </w:r>
    </w:p>
    <w:p w14:paraId="658B4C25" w14:textId="1299DDB8" w:rsidR="003B0046" w:rsidRPr="00A7665F" w:rsidRDefault="003B0046" w:rsidP="003B0046">
      <w:pPr>
        <w:pStyle w:val="Bullet1"/>
      </w:pPr>
      <w:r w:rsidRPr="00A7665F">
        <w:t>provid</w:t>
      </w:r>
      <w:r w:rsidR="00AF23C2">
        <w:t>ed</w:t>
      </w:r>
      <w:r w:rsidRPr="00A7665F">
        <w:t xml:space="preserve"> a new learning program and guidance about culturally and linguistically diverse workplaces</w:t>
      </w:r>
    </w:p>
    <w:p w14:paraId="2BF51BA8" w14:textId="40C3509D" w:rsidR="003B0046" w:rsidRPr="00A7665F" w:rsidRDefault="003B0046" w:rsidP="003B0046">
      <w:pPr>
        <w:pStyle w:val="Bullet1"/>
      </w:pPr>
      <w:r w:rsidRPr="00A7665F">
        <w:t>appoint</w:t>
      </w:r>
      <w:r w:rsidR="00AF23C2">
        <w:t>ed</w:t>
      </w:r>
      <w:r w:rsidRPr="00A7665F">
        <w:t xml:space="preserve"> a second Senior Executive Service Disability Champion.</w:t>
      </w:r>
    </w:p>
    <w:p w14:paraId="7532CB4D" w14:textId="77777777" w:rsidR="003B0046" w:rsidRPr="00A7665F" w:rsidRDefault="003B0046" w:rsidP="003B0046">
      <w:pPr>
        <w:pStyle w:val="Caption"/>
        <w:rPr>
          <w:b w:val="0"/>
          <w:bCs w:val="0"/>
          <w:color w:val="auto"/>
        </w:rPr>
      </w:pPr>
      <w:r w:rsidRPr="00A7665F">
        <w:rPr>
          <w:b w:val="0"/>
          <w:bCs w:val="0"/>
          <w:color w:val="auto"/>
        </w:rPr>
        <w:t>These initiatives provide a more consistent and embedded approach to inclusion across the organisation.</w:t>
      </w:r>
    </w:p>
    <w:p w14:paraId="38AE4FEB" w14:textId="77777777" w:rsidR="003B0046" w:rsidRPr="00A7665F" w:rsidRDefault="003B0046" w:rsidP="003B0046">
      <w:pPr>
        <w:pStyle w:val="Caption"/>
        <w:rPr>
          <w:b w:val="0"/>
          <w:bCs w:val="0"/>
          <w:color w:val="auto"/>
        </w:rPr>
      </w:pPr>
      <w:r w:rsidRPr="00A7665F">
        <w:rPr>
          <w:b w:val="0"/>
          <w:bCs w:val="0"/>
          <w:color w:val="auto"/>
        </w:rPr>
        <w:t>We will build on this work in the coming year with:</w:t>
      </w:r>
    </w:p>
    <w:p w14:paraId="123CC975" w14:textId="77777777" w:rsidR="003B0046" w:rsidRPr="00A7665F" w:rsidRDefault="003B0046" w:rsidP="003B0046">
      <w:pPr>
        <w:pStyle w:val="Bullet1"/>
      </w:pPr>
      <w:r w:rsidRPr="00A7665F">
        <w:t>a refreshed Belonging Framework</w:t>
      </w:r>
    </w:p>
    <w:p w14:paraId="4109543D" w14:textId="77777777" w:rsidR="003B0046" w:rsidRPr="00A7665F" w:rsidRDefault="003B0046" w:rsidP="003B0046">
      <w:pPr>
        <w:pStyle w:val="Bullet1"/>
      </w:pPr>
      <w:r w:rsidRPr="00A7665F">
        <w:t>a new accessibility position statement</w:t>
      </w:r>
    </w:p>
    <w:p w14:paraId="1DF16D9F" w14:textId="77777777" w:rsidR="003B0046" w:rsidRPr="00A7665F" w:rsidRDefault="003B0046" w:rsidP="003B0046">
      <w:pPr>
        <w:pStyle w:val="Bullet1"/>
      </w:pPr>
      <w:r w:rsidRPr="00A7665F">
        <w:t>better processes for workplace adjustments</w:t>
      </w:r>
    </w:p>
    <w:p w14:paraId="52072ED9" w14:textId="77777777" w:rsidR="003B0046" w:rsidRPr="00A7665F" w:rsidRDefault="003B0046" w:rsidP="003B0046">
      <w:pPr>
        <w:pStyle w:val="Bullet1"/>
      </w:pPr>
      <w:r w:rsidRPr="00A7665F">
        <w:t>ongoing training and development for staff.</w:t>
      </w:r>
    </w:p>
    <w:p w14:paraId="5BA14502" w14:textId="6D4CD5E0" w:rsidR="00E228A7" w:rsidRPr="00A7665F" w:rsidRDefault="004540CE" w:rsidP="004540CE">
      <w:pPr>
        <w:pStyle w:val="Caption"/>
      </w:pPr>
      <w:r>
        <w:t xml:space="preserve">Table </w:t>
      </w:r>
      <w:r>
        <w:fldChar w:fldCharType="begin"/>
      </w:r>
      <w:r>
        <w:instrText>SEQ Table \* ARABIC</w:instrText>
      </w:r>
      <w:r>
        <w:fldChar w:fldCharType="separate"/>
      </w:r>
      <w:r w:rsidR="0021625A">
        <w:rPr>
          <w:noProof/>
        </w:rPr>
        <w:t>9</w:t>
      </w:r>
      <w:r>
        <w:fldChar w:fldCharType="end"/>
      </w:r>
      <w:r>
        <w:t xml:space="preserve">. </w:t>
      </w:r>
      <w:r w:rsidR="00E228A7" w:rsidRPr="00A7665F">
        <w:t>Performance measure 2.2 – Payments made within agreed timeframes</w:t>
      </w:r>
    </w:p>
    <w:tbl>
      <w:tblPr>
        <w:tblStyle w:val="GridTable4"/>
        <w:tblW w:w="5000" w:type="pct"/>
        <w:tblLayout w:type="fixed"/>
        <w:tblLook w:val="0480" w:firstRow="0" w:lastRow="0" w:firstColumn="1" w:lastColumn="0" w:noHBand="0" w:noVBand="1"/>
        <w:tblDescription w:val="[Insert table description] with columns for [Insert column headings]. The table has [insert number] columns and [insert number] rows."/>
      </w:tblPr>
      <w:tblGrid>
        <w:gridCol w:w="3785"/>
        <w:gridCol w:w="5389"/>
      </w:tblGrid>
      <w:tr w:rsidR="00CA2AFD" w:rsidRPr="00A7665F" w14:paraId="0E791397" w14:textId="77777777" w:rsidTr="00C86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4E356F87" w14:textId="77777777" w:rsidR="00CA2AFD" w:rsidRPr="00E7213D" w:rsidRDefault="00CA2AFD" w:rsidP="008401D4">
            <w:pPr>
              <w:pStyle w:val="TableBody0"/>
              <w:spacing w:line="312" w:lineRule="auto"/>
              <w:rPr>
                <w:b/>
                <w:bCs w:val="0"/>
              </w:rPr>
            </w:pPr>
            <w:r w:rsidRPr="00E7213D">
              <w:t>Target</w:t>
            </w:r>
          </w:p>
        </w:tc>
        <w:tc>
          <w:tcPr>
            <w:tcW w:w="2937" w:type="pct"/>
          </w:tcPr>
          <w:p w14:paraId="73047E95" w14:textId="77777777" w:rsidR="00CA2AFD" w:rsidRPr="00A7665F" w:rsidRDefault="00CA2AFD"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rPr>
                <w:bCs/>
              </w:rPr>
            </w:pPr>
            <w:r w:rsidRPr="00A7665F">
              <w:t>&gt;90%</w:t>
            </w:r>
          </w:p>
        </w:tc>
      </w:tr>
      <w:tr w:rsidR="00CA2AFD" w:rsidRPr="00A7665F" w14:paraId="309E5EE7"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55F14C44" w14:textId="2B4E73E4" w:rsidR="00CA2AFD" w:rsidRPr="00E7213D" w:rsidRDefault="00CA2AFD" w:rsidP="008401D4">
            <w:pPr>
              <w:pStyle w:val="TableBody0"/>
              <w:spacing w:line="312" w:lineRule="auto"/>
              <w:rPr>
                <w:b/>
                <w:bCs w:val="0"/>
              </w:rPr>
            </w:pPr>
            <w:r w:rsidRPr="00E7213D">
              <w:t>Performance achieved 2025–26</w:t>
            </w:r>
          </w:p>
        </w:tc>
        <w:tc>
          <w:tcPr>
            <w:tcW w:w="2937" w:type="pct"/>
          </w:tcPr>
          <w:p w14:paraId="2507A053" w14:textId="77777777" w:rsidR="00CA2AFD" w:rsidRPr="00A7665F" w:rsidRDefault="00CA2AFD"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A7665F">
              <w:t>98.5%. Achieved.</w:t>
            </w:r>
          </w:p>
        </w:tc>
      </w:tr>
      <w:tr w:rsidR="00CA2AFD" w:rsidRPr="00A7665F" w14:paraId="684F5F8D"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46AB9A16" w14:textId="77777777" w:rsidR="00CA2AFD" w:rsidRPr="00E7213D" w:rsidRDefault="00CA2AFD" w:rsidP="008401D4">
            <w:pPr>
              <w:pStyle w:val="TableBody0"/>
              <w:spacing w:line="312" w:lineRule="auto"/>
              <w:rPr>
                <w:b/>
                <w:bCs w:val="0"/>
              </w:rPr>
            </w:pPr>
            <w:r w:rsidRPr="00E7213D">
              <w:t>Performance achieved over time</w:t>
            </w:r>
          </w:p>
        </w:tc>
        <w:tc>
          <w:tcPr>
            <w:tcW w:w="2937" w:type="pct"/>
          </w:tcPr>
          <w:p w14:paraId="4043137C" w14:textId="77777777" w:rsidR="00CA2AFD" w:rsidRPr="00A7665F" w:rsidRDefault="00CA2AFD"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A7665F">
              <w:t>This result is slightly below the 2024–25 result of 99.0%.</w:t>
            </w:r>
          </w:p>
        </w:tc>
      </w:tr>
      <w:tr w:rsidR="00CA2AFD" w:rsidRPr="00A7665F" w14:paraId="7260AB30"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48118674" w14:textId="77777777" w:rsidR="00CA2AFD" w:rsidRPr="00E7213D" w:rsidRDefault="00CA2AFD" w:rsidP="008401D4">
            <w:pPr>
              <w:pStyle w:val="TableBody0"/>
              <w:spacing w:line="312" w:lineRule="auto"/>
              <w:rPr>
                <w:b/>
                <w:bCs w:val="0"/>
              </w:rPr>
            </w:pPr>
            <w:r w:rsidRPr="00E7213D">
              <w:t>Why we measure this</w:t>
            </w:r>
          </w:p>
        </w:tc>
        <w:tc>
          <w:tcPr>
            <w:tcW w:w="2937" w:type="pct"/>
          </w:tcPr>
          <w:p w14:paraId="635FEEFF" w14:textId="5447E716" w:rsidR="00CA2AFD" w:rsidRPr="00A7665F" w:rsidRDefault="00221D08"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641093">
              <w:t>Measures the output of payable NDIS claims, made by the NDIA to participants, nominees and providers, within the agreed timeframe of 3 business days.</w:t>
            </w:r>
          </w:p>
        </w:tc>
      </w:tr>
      <w:tr w:rsidR="00CA2AFD" w:rsidRPr="00A7665F" w14:paraId="59BEAF57"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019448A0" w14:textId="77777777" w:rsidR="00CA2AFD" w:rsidRPr="00E7213D" w:rsidRDefault="00CA2AFD" w:rsidP="008401D4">
            <w:pPr>
              <w:pStyle w:val="TableBody0"/>
              <w:spacing w:line="312" w:lineRule="auto"/>
              <w:rPr>
                <w:b/>
                <w:bCs w:val="0"/>
              </w:rPr>
            </w:pPr>
            <w:r w:rsidRPr="00E7213D">
              <w:t>Methodology</w:t>
            </w:r>
          </w:p>
        </w:tc>
        <w:tc>
          <w:tcPr>
            <w:tcW w:w="2937" w:type="pct"/>
          </w:tcPr>
          <w:p w14:paraId="30B2E317" w14:textId="05E45422" w:rsidR="00CA2AFD" w:rsidRPr="00A7665F" w:rsidRDefault="00A01AC9"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A01AC9">
              <w:rPr>
                <w:lang w:eastAsia="ja-JP"/>
              </w:rPr>
              <w:t>This measure is the percentage of claims that pass validations and become payable within 3 business days, as per the NDIA’s payment terms.</w:t>
            </w:r>
          </w:p>
        </w:tc>
      </w:tr>
    </w:tbl>
    <w:p w14:paraId="0359749D" w14:textId="77777777" w:rsidR="00CA2AFD" w:rsidRPr="0004016D" w:rsidRDefault="00CA2AFD" w:rsidP="0004016D">
      <w:pPr>
        <w:spacing w:before="240"/>
        <w:rPr>
          <w:rStyle w:val="Strong"/>
        </w:rPr>
      </w:pPr>
      <w:r w:rsidRPr="0004016D">
        <w:rPr>
          <w:rStyle w:val="Strong"/>
        </w:rPr>
        <w:t>Analysis</w:t>
      </w:r>
    </w:p>
    <w:p w14:paraId="54A25176" w14:textId="2AF03098" w:rsidR="004540CE" w:rsidRDefault="00CA2AFD" w:rsidP="00CA2AFD">
      <w:r w:rsidRPr="00A7665F">
        <w:t>This result shows the NDIA’s ongoing ability to make most payments within 3 business days. Some higher</w:t>
      </w:r>
      <w:r w:rsidR="00900F8B">
        <w:t xml:space="preserve"> </w:t>
      </w:r>
      <w:r w:rsidRPr="00A7665F">
        <w:t xml:space="preserve">risk claims are held for longer while pre-payment integrity checks are undertaken to prevent payment of noncompliant claims. </w:t>
      </w:r>
    </w:p>
    <w:p w14:paraId="19DB584B" w14:textId="4DC0C218" w:rsidR="00CA2AFD" w:rsidRPr="00A7665F" w:rsidRDefault="00CA2AFD" w:rsidP="00CA2AFD">
      <w:r w:rsidRPr="00A7665F">
        <w:t xml:space="preserve">In 2025–26 </w:t>
      </w:r>
      <w:r w:rsidR="00F07BB1">
        <w:t xml:space="preserve">we held </w:t>
      </w:r>
      <w:r w:rsidRPr="00A7665F">
        <w:t>an increas</w:t>
      </w:r>
      <w:r w:rsidR="00F07BB1">
        <w:t>ed</w:t>
      </w:r>
      <w:r w:rsidRPr="00A7665F">
        <w:t xml:space="preserve"> number of claims </w:t>
      </w:r>
      <w:r w:rsidR="00F07BB1">
        <w:t xml:space="preserve">for </w:t>
      </w:r>
      <w:r w:rsidRPr="00A7665F">
        <w:t>longer than 3 days for integrity checks</w:t>
      </w:r>
      <w:r w:rsidR="004540CE">
        <w:t>,</w:t>
      </w:r>
      <w:r w:rsidR="006645E3">
        <w:t xml:space="preserve"> </w:t>
      </w:r>
      <w:r w:rsidR="004540CE">
        <w:t xml:space="preserve">as </w:t>
      </w:r>
      <w:r w:rsidR="006645E3">
        <w:t>we</w:t>
      </w:r>
      <w:r w:rsidRPr="00A7665F">
        <w:t>:</w:t>
      </w:r>
    </w:p>
    <w:p w14:paraId="0ED70400" w14:textId="291A544A" w:rsidR="00CA2AFD" w:rsidRPr="00A7665F" w:rsidRDefault="00CA2AFD" w:rsidP="00CA2AFD">
      <w:pPr>
        <w:pStyle w:val="ListParagraph"/>
        <w:numPr>
          <w:ilvl w:val="0"/>
          <w:numId w:val="60"/>
        </w:numPr>
      </w:pPr>
      <w:r w:rsidRPr="00A7665F">
        <w:t xml:space="preserve">improved </w:t>
      </w:r>
      <w:r w:rsidR="006645E3">
        <w:t xml:space="preserve">our </w:t>
      </w:r>
      <w:r w:rsidRPr="00A7665F">
        <w:t>capacity to review more high-risk claims before payment</w:t>
      </w:r>
      <w:r w:rsidR="00F07BB1">
        <w:t xml:space="preserve"> as a result of </w:t>
      </w:r>
      <w:r w:rsidRPr="00A7665F">
        <w:t>investment in our pre-payment detection and review processes</w:t>
      </w:r>
    </w:p>
    <w:p w14:paraId="69C123CD" w14:textId="00246BF5" w:rsidR="00CA2AFD" w:rsidRPr="00A7665F" w:rsidRDefault="006645E3" w:rsidP="00CA2AFD">
      <w:pPr>
        <w:pStyle w:val="ListParagraph"/>
        <w:numPr>
          <w:ilvl w:val="0"/>
          <w:numId w:val="60"/>
        </w:numPr>
      </w:pPr>
      <w:r>
        <w:t xml:space="preserve">introduced </w:t>
      </w:r>
      <w:r w:rsidR="00CA2AFD" w:rsidRPr="00A7665F">
        <w:t>a 7-day hold on claims for support coordination where there is no established provider relationship, aligning this category of supports with other categories.</w:t>
      </w:r>
    </w:p>
    <w:p w14:paraId="31876B55" w14:textId="15740B60" w:rsidR="00CA2AFD" w:rsidRPr="00A7665F" w:rsidRDefault="00CA2AFD" w:rsidP="00CA2AFD">
      <w:r w:rsidRPr="00A7665F">
        <w:t>In 2025–26 the number of payments made within 3 business days declined slightly from 98.7% in quarter 1 to 98.5% in quarter 4</w:t>
      </w:r>
      <w:r w:rsidR="00F4794F" w:rsidRPr="00A7665F">
        <w:t>;</w:t>
      </w:r>
      <w:r w:rsidRPr="00A7665F">
        <w:t xml:space="preserve"> however, performance remains well above the 90% target. This small decrease reflects stronger integrity controls.</w:t>
      </w:r>
    </w:p>
    <w:p w14:paraId="332D5906" w14:textId="4F62BC14" w:rsidR="00CA2AFD" w:rsidRPr="00A7665F" w:rsidRDefault="00CA2AFD" w:rsidP="00CA2AFD">
      <w:pPr>
        <w:pStyle w:val="Bullet1"/>
        <w:numPr>
          <w:ilvl w:val="0"/>
          <w:numId w:val="0"/>
        </w:numPr>
      </w:pPr>
      <w:r w:rsidRPr="00A7665F">
        <w:t xml:space="preserve">The NDIA continues to improve its monitoring and responsiveness to issues in the payment system. For example, </w:t>
      </w:r>
      <w:r w:rsidR="00F07BB1">
        <w:t xml:space="preserve">we prevent avoidable payment delays by </w:t>
      </w:r>
      <w:r w:rsidRPr="00A7665F">
        <w:t xml:space="preserve">reporting outstanding payments </w:t>
      </w:r>
      <w:r w:rsidR="00F07BB1">
        <w:t xml:space="preserve">daily </w:t>
      </w:r>
      <w:r w:rsidRPr="00A7665F">
        <w:t>to triage teams.</w:t>
      </w:r>
    </w:p>
    <w:p w14:paraId="6DBCF70C" w14:textId="770B6E2F" w:rsidR="00CA2AFD" w:rsidRPr="00A7665F" w:rsidRDefault="00CA2AFD" w:rsidP="00CA2AFD">
      <w:r w:rsidRPr="00A7665F">
        <w:t>Our focus continues to be on making timely payments while strengthening checks to manage integrity risk.</w:t>
      </w:r>
    </w:p>
    <w:p w14:paraId="19DD0CCE" w14:textId="06D45501" w:rsidR="00E228A7" w:rsidRPr="00A7665F" w:rsidRDefault="004540CE" w:rsidP="004540CE">
      <w:pPr>
        <w:pStyle w:val="Caption"/>
      </w:pPr>
      <w:r>
        <w:t xml:space="preserve">Table </w:t>
      </w:r>
      <w:r>
        <w:fldChar w:fldCharType="begin"/>
      </w:r>
      <w:r>
        <w:instrText>SEQ Table \* ARABIC</w:instrText>
      </w:r>
      <w:r>
        <w:fldChar w:fldCharType="separate"/>
      </w:r>
      <w:r w:rsidR="0021625A">
        <w:rPr>
          <w:noProof/>
        </w:rPr>
        <w:t>10</w:t>
      </w:r>
      <w:r>
        <w:fldChar w:fldCharType="end"/>
      </w:r>
      <w:r>
        <w:t xml:space="preserve">. </w:t>
      </w:r>
      <w:r w:rsidR="00E228A7" w:rsidRPr="00A7665F">
        <w:t>Performance measure 2.3 – Participant Service Guarantee timeframes met 95% of the time</w:t>
      </w:r>
    </w:p>
    <w:tbl>
      <w:tblPr>
        <w:tblStyle w:val="GridTable4"/>
        <w:tblW w:w="5000" w:type="pct"/>
        <w:tblLayout w:type="fixed"/>
        <w:tblLook w:val="0480" w:firstRow="0" w:lastRow="0" w:firstColumn="1" w:lastColumn="0" w:noHBand="0" w:noVBand="1"/>
        <w:tblDescription w:val="[Insert table description] with columns for [Insert column headings]. The table has [insert number] columns and [insert number] rows."/>
      </w:tblPr>
      <w:tblGrid>
        <w:gridCol w:w="3745"/>
        <w:gridCol w:w="5429"/>
      </w:tblGrid>
      <w:tr w:rsidR="0096130D" w:rsidRPr="00A7665F" w14:paraId="7CB6D096" w14:textId="77777777" w:rsidTr="00C86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p w14:paraId="519EB2CC" w14:textId="77777777" w:rsidR="0096130D" w:rsidRPr="00E7213D" w:rsidRDefault="0096130D" w:rsidP="008401D4">
            <w:pPr>
              <w:pStyle w:val="TableBody0"/>
              <w:spacing w:line="312" w:lineRule="auto"/>
              <w:rPr>
                <w:b/>
                <w:bCs w:val="0"/>
              </w:rPr>
            </w:pPr>
            <w:r w:rsidRPr="00E7213D">
              <w:t>Target</w:t>
            </w:r>
          </w:p>
        </w:tc>
        <w:tc>
          <w:tcPr>
            <w:tcW w:w="2959" w:type="pct"/>
          </w:tcPr>
          <w:p w14:paraId="503E2FA6" w14:textId="77777777" w:rsidR="0096130D" w:rsidRPr="00A7665F" w:rsidRDefault="0096130D"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rPr>
                <w:bCs/>
              </w:rPr>
            </w:pPr>
            <w:r w:rsidRPr="00A7665F">
              <w:t>80%</w:t>
            </w:r>
          </w:p>
        </w:tc>
      </w:tr>
      <w:tr w:rsidR="0096130D" w:rsidRPr="00A7665F" w14:paraId="7F398EA6" w14:textId="77777777" w:rsidTr="002D3A0D">
        <w:tc>
          <w:tcPr>
            <w:cnfStyle w:val="001000000000" w:firstRow="0" w:lastRow="0" w:firstColumn="1" w:lastColumn="0" w:oddVBand="0" w:evenVBand="0" w:oddHBand="0" w:evenHBand="0" w:firstRowFirstColumn="0" w:firstRowLastColumn="0" w:lastRowFirstColumn="0" w:lastRowLastColumn="0"/>
            <w:tcW w:w="2041" w:type="pct"/>
          </w:tcPr>
          <w:p w14:paraId="0C6D102B" w14:textId="0CE0D597" w:rsidR="0096130D" w:rsidRPr="00E7213D" w:rsidRDefault="0096130D" w:rsidP="008401D4">
            <w:pPr>
              <w:pStyle w:val="TableBody0"/>
              <w:spacing w:line="312" w:lineRule="auto"/>
              <w:rPr>
                <w:b/>
                <w:bCs w:val="0"/>
              </w:rPr>
            </w:pPr>
            <w:r w:rsidRPr="00E7213D">
              <w:t>Performance achieved 2025–26</w:t>
            </w:r>
          </w:p>
        </w:tc>
        <w:tc>
          <w:tcPr>
            <w:tcW w:w="2959" w:type="pct"/>
          </w:tcPr>
          <w:p w14:paraId="4F11F6E5" w14:textId="77777777" w:rsidR="0096130D" w:rsidRPr="00A7665F" w:rsidRDefault="0096130D"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A7665F">
              <w:t xml:space="preserve">46.6%. Not achieved. </w:t>
            </w:r>
          </w:p>
        </w:tc>
      </w:tr>
      <w:tr w:rsidR="0096130D" w:rsidRPr="00A7665F" w14:paraId="0E5187D7"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p w14:paraId="5E225FE1" w14:textId="77777777" w:rsidR="0096130D" w:rsidRPr="00E7213D" w:rsidRDefault="0096130D" w:rsidP="008401D4">
            <w:pPr>
              <w:pStyle w:val="TableBody0"/>
              <w:spacing w:line="312" w:lineRule="auto"/>
              <w:rPr>
                <w:b/>
                <w:bCs w:val="0"/>
              </w:rPr>
            </w:pPr>
            <w:r w:rsidRPr="00E7213D">
              <w:t>Performance achieved over time</w:t>
            </w:r>
          </w:p>
        </w:tc>
        <w:tc>
          <w:tcPr>
            <w:tcW w:w="2959" w:type="pct"/>
          </w:tcPr>
          <w:p w14:paraId="67C51207" w14:textId="77777777" w:rsidR="0096130D" w:rsidRPr="00A7665F" w:rsidRDefault="0096130D"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A7665F">
              <w:t>This is an improvement on the 2024–25 result of 10%.</w:t>
            </w:r>
          </w:p>
        </w:tc>
      </w:tr>
      <w:tr w:rsidR="0096130D" w:rsidRPr="00A7665F" w14:paraId="7EA50CFA" w14:textId="77777777" w:rsidTr="002D3A0D">
        <w:tc>
          <w:tcPr>
            <w:cnfStyle w:val="001000000000" w:firstRow="0" w:lastRow="0" w:firstColumn="1" w:lastColumn="0" w:oddVBand="0" w:evenVBand="0" w:oddHBand="0" w:evenHBand="0" w:firstRowFirstColumn="0" w:firstRowLastColumn="0" w:lastRowFirstColumn="0" w:lastRowLastColumn="0"/>
            <w:tcW w:w="2041" w:type="pct"/>
          </w:tcPr>
          <w:p w14:paraId="68D4E8CB" w14:textId="77777777" w:rsidR="0096130D" w:rsidRPr="00E7213D" w:rsidRDefault="0096130D" w:rsidP="008401D4">
            <w:pPr>
              <w:pStyle w:val="TableBody0"/>
              <w:spacing w:line="312" w:lineRule="auto"/>
              <w:rPr>
                <w:b/>
                <w:bCs w:val="0"/>
              </w:rPr>
            </w:pPr>
            <w:r w:rsidRPr="00E7213D">
              <w:t>Why we measure this</w:t>
            </w:r>
          </w:p>
        </w:tc>
        <w:tc>
          <w:tcPr>
            <w:tcW w:w="2959" w:type="pct"/>
          </w:tcPr>
          <w:p w14:paraId="4AF39B99" w14:textId="51DE4282" w:rsidR="0096130D" w:rsidRPr="00A7665F" w:rsidRDefault="006E48B1"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641093">
              <w:t>Measures the output of the NDIA to meet the PSG timeframes and the implementation of the Participant Service Improvement Plan</w:t>
            </w:r>
            <w:r>
              <w:t>.</w:t>
            </w:r>
          </w:p>
        </w:tc>
      </w:tr>
      <w:tr w:rsidR="0096130D" w:rsidRPr="00A7665F" w14:paraId="51771060"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p w14:paraId="1CEFCF34" w14:textId="77777777" w:rsidR="0096130D" w:rsidRPr="00E7213D" w:rsidRDefault="0096130D" w:rsidP="008401D4">
            <w:pPr>
              <w:pStyle w:val="TableBody0"/>
              <w:spacing w:line="312" w:lineRule="auto"/>
              <w:rPr>
                <w:b/>
                <w:bCs w:val="0"/>
              </w:rPr>
            </w:pPr>
            <w:r w:rsidRPr="00E7213D">
              <w:t>Methodology</w:t>
            </w:r>
          </w:p>
        </w:tc>
        <w:tc>
          <w:tcPr>
            <w:tcW w:w="2959" w:type="pct"/>
          </w:tcPr>
          <w:p w14:paraId="552BBF8A" w14:textId="77777777" w:rsidR="007A40B8" w:rsidRDefault="007A40B8"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641093">
              <w:t>An individual PSG measure is considered to have been met overall if 95% or more of the tasks being measured meet the PSG timeframe as specified in legislation or the commitment.</w:t>
            </w:r>
          </w:p>
          <w:p w14:paraId="0A60064E" w14:textId="77777777" w:rsidR="007A40B8" w:rsidRDefault="007A40B8"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641093">
              <w:t xml:space="preserve">The measure is then calculated as the proportion of reportable PSGs where 95% or more of the tasks being measured met the service guarantee timeframe. </w:t>
            </w:r>
          </w:p>
          <w:p w14:paraId="345F9229" w14:textId="49253C93" w:rsidR="0096130D" w:rsidRPr="00A7665F" w:rsidRDefault="007A40B8"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641093">
              <w:t>A PSG timeframe is available for reporting if it meets operational thresholds for data viability.</w:t>
            </w:r>
          </w:p>
        </w:tc>
      </w:tr>
    </w:tbl>
    <w:p w14:paraId="5FBC18C7" w14:textId="77777777" w:rsidR="0096130D" w:rsidRPr="0004016D" w:rsidRDefault="0096130D" w:rsidP="0004016D">
      <w:pPr>
        <w:spacing w:before="240"/>
        <w:rPr>
          <w:rStyle w:val="Strong"/>
        </w:rPr>
      </w:pPr>
      <w:r w:rsidRPr="0004016D">
        <w:rPr>
          <w:rStyle w:val="Strong"/>
        </w:rPr>
        <w:t>Analysis</w:t>
      </w:r>
    </w:p>
    <w:p w14:paraId="1315BDC9" w14:textId="73501364" w:rsidR="0093493D" w:rsidRPr="0093493D" w:rsidRDefault="0093493D" w:rsidP="0093493D">
      <w:pPr>
        <w:rPr>
          <w:rFonts w:eastAsia="Arial" w:cs="Arial"/>
        </w:rPr>
      </w:pPr>
      <w:r w:rsidRPr="0093493D">
        <w:rPr>
          <w:rFonts w:eastAsia="Arial" w:cs="Arial"/>
        </w:rPr>
        <w:t>This year, the NDIA monitored and reported on 18 PSG measures</w:t>
      </w:r>
      <w:r>
        <w:rPr>
          <w:rFonts w:eastAsia="Arial" w:cs="Arial"/>
        </w:rPr>
        <w:t xml:space="preserve"> (see Table 11)</w:t>
      </w:r>
      <w:r w:rsidRPr="0093493D">
        <w:rPr>
          <w:rFonts w:eastAsia="Arial" w:cs="Arial"/>
        </w:rPr>
        <w:t>. Three measures are not yet available for reporting due to process and business system limitations.</w:t>
      </w:r>
    </w:p>
    <w:p w14:paraId="3FAF3BF4" w14:textId="24CDDAAA" w:rsidR="0096130D" w:rsidRPr="00A7665F" w:rsidRDefault="0096130D" w:rsidP="0096130D">
      <w:pPr>
        <w:rPr>
          <w:rFonts w:eastAsia="Arial" w:cs="Arial"/>
        </w:rPr>
      </w:pPr>
      <w:r w:rsidRPr="00A7665F">
        <w:rPr>
          <w:rFonts w:eastAsia="Arial" w:cs="Arial"/>
        </w:rPr>
        <w:t>Nine of those met agreed timeframes at least 95% of the time. Performance for measures related to first plans was particularly strong, with more than 96% delivered within agreed timeframes.</w:t>
      </w:r>
    </w:p>
    <w:p w14:paraId="409BE3D2" w14:textId="77777777" w:rsidR="0096130D" w:rsidRPr="00A7665F" w:rsidRDefault="0096130D" w:rsidP="0096130D">
      <w:pPr>
        <w:rPr>
          <w:rFonts w:eastAsia="Arial" w:cs="Arial"/>
        </w:rPr>
      </w:pPr>
      <w:r w:rsidRPr="00A7665F">
        <w:t>High</w:t>
      </w:r>
      <w:r w:rsidRPr="00A7665F">
        <w:rPr>
          <w:rFonts w:eastAsia="Arial" w:cs="Arial"/>
        </w:rPr>
        <w:t xml:space="preserve"> demand for plan changes</w:t>
      </w:r>
      <w:r w:rsidRPr="00A7665F">
        <w:t xml:space="preserve"> affected processing time performance </w:t>
      </w:r>
      <w:r w:rsidRPr="00A7665F">
        <w:rPr>
          <w:rFonts w:eastAsia="Arial" w:cs="Arial"/>
        </w:rPr>
        <w:t>for participant</w:t>
      </w:r>
      <w:r w:rsidRPr="00A7665F">
        <w:t>-</w:t>
      </w:r>
      <w:r w:rsidRPr="00A7665F">
        <w:rPr>
          <w:rFonts w:eastAsia="Arial" w:cs="Arial"/>
        </w:rPr>
        <w:t xml:space="preserve">requested reassessments, plan variations and related activities. </w:t>
      </w:r>
      <w:r w:rsidRPr="00A7665F">
        <w:t>In contrast</w:t>
      </w:r>
      <w:r w:rsidRPr="00A7665F">
        <w:rPr>
          <w:rFonts w:eastAsia="Arial" w:cs="Arial"/>
        </w:rPr>
        <w:t xml:space="preserve">, performance </w:t>
      </w:r>
      <w:r w:rsidRPr="00A7665F">
        <w:t>remained</w:t>
      </w:r>
      <w:r w:rsidRPr="00A7665F">
        <w:rPr>
          <w:rFonts w:eastAsia="Arial" w:cs="Arial"/>
        </w:rPr>
        <w:t xml:space="preserve"> strong for participant communication</w:t>
      </w:r>
      <w:r w:rsidRPr="00A7665F">
        <w:t>,</w:t>
      </w:r>
      <w:r w:rsidRPr="00A7665F">
        <w:rPr>
          <w:rFonts w:eastAsia="Arial" w:cs="Arial"/>
        </w:rPr>
        <w:t xml:space="preserve"> administration and plan implementation meetings.</w:t>
      </w:r>
    </w:p>
    <w:p w14:paraId="377FC382" w14:textId="77777777" w:rsidR="0096130D" w:rsidRPr="00A7665F" w:rsidRDefault="0096130D" w:rsidP="0096130D">
      <w:pPr>
        <w:rPr>
          <w:rFonts w:eastAsia="Arial" w:cs="Arial"/>
        </w:rPr>
      </w:pPr>
      <w:r w:rsidRPr="00A7665F">
        <w:rPr>
          <w:rFonts w:eastAsia="Arial" w:cs="Arial"/>
        </w:rPr>
        <w:t>We are focused on improving performance by:</w:t>
      </w:r>
    </w:p>
    <w:p w14:paraId="3B7C325C" w14:textId="77777777" w:rsidR="0096130D" w:rsidRPr="00A7665F" w:rsidRDefault="0096130D" w:rsidP="0096130D">
      <w:pPr>
        <w:pStyle w:val="ListParagraph"/>
        <w:numPr>
          <w:ilvl w:val="0"/>
          <w:numId w:val="61"/>
        </w:numPr>
        <w:rPr>
          <w:rFonts w:eastAsia="Arial" w:cs="Arial"/>
        </w:rPr>
      </w:pPr>
      <w:r w:rsidRPr="00A7665F">
        <w:rPr>
          <w:rFonts w:eastAsia="Arial" w:cs="Arial"/>
        </w:rPr>
        <w:t>prioritising plan changes</w:t>
      </w:r>
    </w:p>
    <w:p w14:paraId="26A4CEFC" w14:textId="70AE037B" w:rsidR="0096130D" w:rsidRPr="00A7665F" w:rsidRDefault="0096130D" w:rsidP="0096130D">
      <w:pPr>
        <w:pStyle w:val="ListParagraph"/>
        <w:numPr>
          <w:ilvl w:val="0"/>
          <w:numId w:val="61"/>
        </w:numPr>
        <w:rPr>
          <w:rFonts w:eastAsia="Arial" w:cs="Arial"/>
        </w:rPr>
      </w:pPr>
      <w:r w:rsidRPr="00A7665F">
        <w:rPr>
          <w:rFonts w:eastAsia="Arial" w:cs="Arial"/>
        </w:rPr>
        <w:t xml:space="preserve">improving </w:t>
      </w:r>
      <w:r w:rsidR="00F07BB1">
        <w:rPr>
          <w:rFonts w:eastAsia="Arial" w:cs="Arial"/>
        </w:rPr>
        <w:t xml:space="preserve">the way </w:t>
      </w:r>
      <w:r w:rsidRPr="00A7665F">
        <w:rPr>
          <w:rFonts w:eastAsia="Arial" w:cs="Arial"/>
        </w:rPr>
        <w:t>work is managed and allocated</w:t>
      </w:r>
    </w:p>
    <w:p w14:paraId="1BA5720A" w14:textId="77777777" w:rsidR="0096130D" w:rsidRPr="00A7665F" w:rsidRDefault="0096130D" w:rsidP="0096130D">
      <w:pPr>
        <w:pStyle w:val="ListParagraph"/>
        <w:numPr>
          <w:ilvl w:val="0"/>
          <w:numId w:val="61"/>
        </w:numPr>
        <w:rPr>
          <w:rFonts w:eastAsia="Arial" w:cs="Arial"/>
        </w:rPr>
      </w:pPr>
      <w:r w:rsidRPr="00A7665F">
        <w:rPr>
          <w:rFonts w:eastAsia="Arial" w:cs="Arial"/>
        </w:rPr>
        <w:t xml:space="preserve">better understanding the reasons for increased demand. </w:t>
      </w:r>
    </w:p>
    <w:p w14:paraId="3514B0F7" w14:textId="173BC3B3" w:rsidR="0096130D" w:rsidRPr="00A7665F" w:rsidRDefault="0096130D" w:rsidP="0096130D">
      <w:pPr>
        <w:rPr>
          <w:lang w:val="en-US"/>
        </w:rPr>
        <w:sectPr w:rsidR="0096130D" w:rsidRPr="00A7665F" w:rsidSect="00EB1047">
          <w:type w:val="continuous"/>
          <w:pgSz w:w="11906" w:h="16838"/>
          <w:pgMar w:top="1247" w:right="1361" w:bottom="1247" w:left="1361" w:header="567" w:footer="454" w:gutter="0"/>
          <w:cols w:space="708"/>
          <w:docGrid w:linePitch="360"/>
        </w:sectPr>
      </w:pPr>
      <w:r w:rsidRPr="00A7665F">
        <w:rPr>
          <w:lang w:val="en-US"/>
        </w:rPr>
        <w:t xml:space="preserve">The NDIA is also looking for ways to streamline and improve the participant experience. The Government has introduced legislation to </w:t>
      </w:r>
      <w:r w:rsidR="00EE46DC">
        <w:rPr>
          <w:lang w:val="en-US"/>
        </w:rPr>
        <w:t>P</w:t>
      </w:r>
      <w:r w:rsidRPr="00A7665F">
        <w:rPr>
          <w:lang w:val="en-US"/>
        </w:rPr>
        <w:t>arliament that will clarify the circumstances in which a participant can request a reassessment of their plan. If the legislation is passed, it may impact the volume of plan change requests in the future.</w:t>
      </w:r>
    </w:p>
    <w:p w14:paraId="2612511C" w14:textId="30C2EAC7" w:rsidR="00E228A7" w:rsidRPr="00A7665F" w:rsidRDefault="004540CE" w:rsidP="004540CE">
      <w:pPr>
        <w:pStyle w:val="Caption"/>
      </w:pPr>
      <w:r>
        <w:t xml:space="preserve">Table </w:t>
      </w:r>
      <w:r>
        <w:fldChar w:fldCharType="begin"/>
      </w:r>
      <w:r>
        <w:instrText>SEQ Table \* ARABIC</w:instrText>
      </w:r>
      <w:r>
        <w:fldChar w:fldCharType="separate"/>
      </w:r>
      <w:r w:rsidR="0021625A">
        <w:rPr>
          <w:noProof/>
        </w:rPr>
        <w:t>11</w:t>
      </w:r>
      <w:r>
        <w:fldChar w:fldCharType="end"/>
      </w:r>
      <w:r>
        <w:t xml:space="preserve">. </w:t>
      </w:r>
      <w:r w:rsidR="00E228A7" w:rsidRPr="00A7665F">
        <w:t xml:space="preserve">Reportable </w:t>
      </w:r>
      <w:r w:rsidR="00F07BB1">
        <w:t xml:space="preserve">Participant Service Guarantee measures </w:t>
      </w:r>
      <w:r w:rsidR="00E228A7" w:rsidRPr="00A7665F">
        <w:t>in 2025–26</w:t>
      </w:r>
    </w:p>
    <w:tbl>
      <w:tblPr>
        <w:tblStyle w:val="NDISTable1"/>
        <w:tblW w:w="5000" w:type="pct"/>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957"/>
        <w:gridCol w:w="6125"/>
        <w:gridCol w:w="1380"/>
        <w:gridCol w:w="1411"/>
        <w:gridCol w:w="1411"/>
        <w:gridCol w:w="1411"/>
        <w:gridCol w:w="1411"/>
      </w:tblGrid>
      <w:tr w:rsidR="00A20ED5" w:rsidRPr="00E7213D" w14:paraId="3D34321C" w14:textId="77777777" w:rsidTr="00327F78">
        <w:trPr>
          <w:cnfStyle w:val="100000000000" w:firstRow="1" w:lastRow="0" w:firstColumn="0" w:lastColumn="0" w:oddVBand="0" w:evenVBand="0" w:oddHBand="0" w:evenHBand="0" w:firstRowFirstColumn="0" w:firstRowLastColumn="0" w:lastRowFirstColumn="0" w:lastRowLastColumn="0"/>
          <w:trHeight w:val="794"/>
        </w:trPr>
        <w:tc>
          <w:tcPr>
            <w:tcW w:w="339" w:type="pct"/>
          </w:tcPr>
          <w:p w14:paraId="4E379B89" w14:textId="77777777" w:rsidR="00A20ED5" w:rsidRPr="00E7213D" w:rsidRDefault="00A20ED5" w:rsidP="008401D4">
            <w:pPr>
              <w:pStyle w:val="TableBody0"/>
              <w:spacing w:line="312" w:lineRule="auto"/>
            </w:pPr>
            <w:r w:rsidRPr="00CD348A">
              <w:rPr>
                <w:lang w:eastAsia="ja-JP"/>
              </w:rPr>
              <w:t>PSG</w:t>
            </w:r>
          </w:p>
        </w:tc>
        <w:tc>
          <w:tcPr>
            <w:tcW w:w="2171" w:type="pct"/>
          </w:tcPr>
          <w:p w14:paraId="4656C54A" w14:textId="77777777" w:rsidR="00A20ED5" w:rsidRPr="00E7213D" w:rsidRDefault="00A20ED5" w:rsidP="008401D4">
            <w:pPr>
              <w:pStyle w:val="TableBody0"/>
              <w:spacing w:line="312" w:lineRule="auto"/>
            </w:pPr>
            <w:r w:rsidRPr="00CD348A">
              <w:rPr>
                <w:lang w:eastAsia="ja-JP"/>
              </w:rPr>
              <w:t>Description of service being guaranteed</w:t>
            </w:r>
          </w:p>
        </w:tc>
        <w:tc>
          <w:tcPr>
            <w:tcW w:w="489" w:type="pct"/>
          </w:tcPr>
          <w:p w14:paraId="09DB7EA7" w14:textId="77777777" w:rsidR="00A20ED5" w:rsidRPr="00E7213D" w:rsidRDefault="00A20ED5" w:rsidP="008401D4">
            <w:pPr>
              <w:pStyle w:val="TableBody0"/>
              <w:spacing w:line="312" w:lineRule="auto"/>
            </w:pPr>
            <w:r w:rsidRPr="00CD348A">
              <w:rPr>
                <w:lang w:eastAsia="ja-JP"/>
              </w:rPr>
              <w:t>Service guarantee</w:t>
            </w:r>
          </w:p>
        </w:tc>
        <w:tc>
          <w:tcPr>
            <w:tcW w:w="500" w:type="pct"/>
          </w:tcPr>
          <w:p w14:paraId="44968D2E" w14:textId="77777777" w:rsidR="00A20ED5" w:rsidRPr="00E7213D" w:rsidRDefault="00A20ED5" w:rsidP="008401D4">
            <w:pPr>
              <w:pStyle w:val="TableBody0"/>
              <w:spacing w:line="312" w:lineRule="auto"/>
              <w:jc w:val="right"/>
            </w:pPr>
            <w:r w:rsidRPr="00CD348A">
              <w:t>2025–26 quarter 1</w:t>
            </w:r>
          </w:p>
        </w:tc>
        <w:tc>
          <w:tcPr>
            <w:tcW w:w="500" w:type="pct"/>
          </w:tcPr>
          <w:p w14:paraId="5EB3069C" w14:textId="77777777" w:rsidR="00A20ED5" w:rsidRPr="00E7213D" w:rsidRDefault="00A20ED5" w:rsidP="008401D4">
            <w:pPr>
              <w:pStyle w:val="TableBody0"/>
              <w:spacing w:line="312" w:lineRule="auto"/>
              <w:jc w:val="right"/>
            </w:pPr>
            <w:r w:rsidRPr="00CD348A">
              <w:t>2025–26 quarter 2</w:t>
            </w:r>
          </w:p>
        </w:tc>
        <w:tc>
          <w:tcPr>
            <w:tcW w:w="500" w:type="pct"/>
          </w:tcPr>
          <w:p w14:paraId="151173E7" w14:textId="77777777" w:rsidR="00A20ED5" w:rsidRPr="00E7213D" w:rsidRDefault="00A20ED5" w:rsidP="008401D4">
            <w:pPr>
              <w:pStyle w:val="TableBody0"/>
              <w:spacing w:line="312" w:lineRule="auto"/>
              <w:jc w:val="right"/>
            </w:pPr>
            <w:r w:rsidRPr="00CD348A">
              <w:t>2025–26 quarter 3</w:t>
            </w:r>
          </w:p>
        </w:tc>
        <w:tc>
          <w:tcPr>
            <w:tcW w:w="500" w:type="pct"/>
          </w:tcPr>
          <w:p w14:paraId="5998279A" w14:textId="77777777" w:rsidR="00A20ED5" w:rsidRPr="00E7213D" w:rsidRDefault="00A20ED5" w:rsidP="008401D4">
            <w:pPr>
              <w:pStyle w:val="TableBody0"/>
              <w:spacing w:line="312" w:lineRule="auto"/>
              <w:jc w:val="right"/>
            </w:pPr>
            <w:r w:rsidRPr="00CD348A">
              <w:t>2025–26 quarter 4</w:t>
            </w:r>
          </w:p>
        </w:tc>
      </w:tr>
      <w:tr w:rsidR="00A20ED5" w:rsidRPr="00A7665F" w14:paraId="038CAAB5" w14:textId="77777777" w:rsidTr="0052305F">
        <w:trPr>
          <w:cnfStyle w:val="000000100000" w:firstRow="0" w:lastRow="0" w:firstColumn="0" w:lastColumn="0" w:oddVBand="0" w:evenVBand="0" w:oddHBand="1" w:evenHBand="0" w:firstRowFirstColumn="0" w:firstRowLastColumn="0" w:lastRowFirstColumn="0" w:lastRowLastColumn="0"/>
          <w:cantSplit/>
          <w:trHeight w:val="689"/>
        </w:trPr>
        <w:tc>
          <w:tcPr>
            <w:tcW w:w="339" w:type="pct"/>
          </w:tcPr>
          <w:p w14:paraId="16733CFB" w14:textId="64BFC512" w:rsidR="00A20ED5" w:rsidRPr="00A7665F" w:rsidRDefault="00A20ED5" w:rsidP="008401D4">
            <w:pPr>
              <w:pStyle w:val="TableBody0"/>
              <w:spacing w:line="312" w:lineRule="auto"/>
              <w:rPr>
                <w:lang w:eastAsia="ja-JP"/>
              </w:rPr>
            </w:pPr>
            <w:r w:rsidRPr="00A7665F">
              <w:t>1</w:t>
            </w:r>
          </w:p>
        </w:tc>
        <w:tc>
          <w:tcPr>
            <w:tcW w:w="2171" w:type="pct"/>
          </w:tcPr>
          <w:p w14:paraId="5DF736BC" w14:textId="31780A66" w:rsidR="00A20ED5" w:rsidRPr="00A7665F" w:rsidRDefault="00A20ED5" w:rsidP="008401D4">
            <w:pPr>
              <w:pStyle w:val="TableBody0"/>
              <w:spacing w:line="312" w:lineRule="auto"/>
              <w:rPr>
                <w:lang w:eastAsia="ja-JP"/>
              </w:rPr>
            </w:pPr>
            <w:r w:rsidRPr="00A7665F">
              <w:t>Explain</w:t>
            </w:r>
            <w:r w:rsidR="00F27696">
              <w:t xml:space="preserve"> </w:t>
            </w:r>
            <w:r w:rsidRPr="00A7665F">
              <w:t>a previous</w:t>
            </w:r>
            <w:r w:rsidR="00F27696">
              <w:t xml:space="preserve"> </w:t>
            </w:r>
            <w:r w:rsidRPr="00A7665F">
              <w:t>decision, after a request for explanation is received</w:t>
            </w:r>
          </w:p>
        </w:tc>
        <w:tc>
          <w:tcPr>
            <w:tcW w:w="489" w:type="pct"/>
          </w:tcPr>
          <w:p w14:paraId="6FFBA40F" w14:textId="6533B6A8" w:rsidR="00A20ED5" w:rsidRPr="00A7665F" w:rsidRDefault="00A20ED5" w:rsidP="008401D4">
            <w:pPr>
              <w:pStyle w:val="TableBody0"/>
              <w:spacing w:line="312" w:lineRule="auto"/>
              <w:rPr>
                <w:lang w:eastAsia="ja-JP"/>
              </w:rPr>
            </w:pPr>
            <w:r w:rsidRPr="00A7665F">
              <w:t>28 days</w:t>
            </w:r>
          </w:p>
        </w:tc>
        <w:tc>
          <w:tcPr>
            <w:tcW w:w="500" w:type="pct"/>
          </w:tcPr>
          <w:p w14:paraId="23D1C485" w14:textId="0B6F9E74" w:rsidR="00A20ED5" w:rsidRPr="00A7665F" w:rsidRDefault="009B3E4D" w:rsidP="008401D4">
            <w:pPr>
              <w:pStyle w:val="TableBody0"/>
              <w:spacing w:line="312" w:lineRule="auto"/>
              <w:jc w:val="right"/>
            </w:pPr>
            <w:r w:rsidRPr="00785389">
              <w:t>95% </w:t>
            </w:r>
          </w:p>
        </w:tc>
        <w:tc>
          <w:tcPr>
            <w:tcW w:w="500" w:type="pct"/>
          </w:tcPr>
          <w:p w14:paraId="416CD98A" w14:textId="541E758C" w:rsidR="00A20ED5" w:rsidRPr="00A7665F" w:rsidRDefault="00A20ED5" w:rsidP="008401D4">
            <w:pPr>
              <w:pStyle w:val="TableBody0"/>
              <w:spacing w:line="312" w:lineRule="auto"/>
              <w:jc w:val="right"/>
            </w:pPr>
            <w:r w:rsidRPr="00A7665F">
              <w:t>96%</w:t>
            </w:r>
          </w:p>
        </w:tc>
        <w:tc>
          <w:tcPr>
            <w:tcW w:w="500" w:type="pct"/>
          </w:tcPr>
          <w:p w14:paraId="07E257F5" w14:textId="2F90588C" w:rsidR="00A20ED5" w:rsidRPr="00A7665F" w:rsidRDefault="00A20ED5" w:rsidP="008401D4">
            <w:pPr>
              <w:pStyle w:val="TableBody0"/>
              <w:spacing w:line="312" w:lineRule="auto"/>
              <w:jc w:val="right"/>
            </w:pPr>
            <w:r w:rsidRPr="00A7665F">
              <w:t>96%</w:t>
            </w:r>
          </w:p>
        </w:tc>
        <w:tc>
          <w:tcPr>
            <w:tcW w:w="500" w:type="pct"/>
          </w:tcPr>
          <w:p w14:paraId="1154F6CC" w14:textId="4FA1C0C9" w:rsidR="00A20ED5" w:rsidRPr="00A7665F" w:rsidRDefault="00A20ED5" w:rsidP="008401D4">
            <w:pPr>
              <w:pStyle w:val="TableBody0"/>
              <w:spacing w:line="312" w:lineRule="auto"/>
              <w:jc w:val="right"/>
            </w:pPr>
            <w:r w:rsidRPr="00A7665F">
              <w:t>96%</w:t>
            </w:r>
          </w:p>
        </w:tc>
      </w:tr>
      <w:tr w:rsidR="00A20ED5" w:rsidRPr="00A7665F" w14:paraId="67237CA0" w14:textId="77777777" w:rsidTr="009C4843">
        <w:trPr>
          <w:cnfStyle w:val="000000010000" w:firstRow="0" w:lastRow="0" w:firstColumn="0" w:lastColumn="0" w:oddVBand="0" w:evenVBand="0" w:oddHBand="0" w:evenHBand="1" w:firstRowFirstColumn="0" w:firstRowLastColumn="0" w:lastRowFirstColumn="0" w:lastRowLastColumn="0"/>
          <w:cantSplit/>
        </w:trPr>
        <w:tc>
          <w:tcPr>
            <w:tcW w:w="339" w:type="pct"/>
          </w:tcPr>
          <w:p w14:paraId="467D96E1" w14:textId="0B6DB544" w:rsidR="00A20ED5" w:rsidRPr="00A7665F" w:rsidRDefault="00A20ED5" w:rsidP="008401D4">
            <w:pPr>
              <w:pStyle w:val="TableBody0"/>
              <w:spacing w:line="312" w:lineRule="auto"/>
            </w:pPr>
            <w:r w:rsidRPr="00A7665F">
              <w:t>2</w:t>
            </w:r>
          </w:p>
        </w:tc>
        <w:tc>
          <w:tcPr>
            <w:tcW w:w="2171" w:type="pct"/>
          </w:tcPr>
          <w:p w14:paraId="5B120742" w14:textId="0ACFA7CE" w:rsidR="00A20ED5" w:rsidRPr="00A7665F" w:rsidRDefault="00A20ED5" w:rsidP="008401D4">
            <w:pPr>
              <w:pStyle w:val="TableBody0"/>
              <w:spacing w:line="312" w:lineRule="auto"/>
            </w:pPr>
            <w:r w:rsidRPr="00A7665F">
              <w:t>Make an access decision, or request for more information, after an access request has been received</w:t>
            </w:r>
          </w:p>
        </w:tc>
        <w:tc>
          <w:tcPr>
            <w:tcW w:w="489" w:type="pct"/>
          </w:tcPr>
          <w:p w14:paraId="5DAD60CB" w14:textId="5B6542DB" w:rsidR="00A20ED5" w:rsidRPr="00A7665F" w:rsidRDefault="00A20ED5" w:rsidP="008401D4">
            <w:pPr>
              <w:pStyle w:val="TableBody0"/>
              <w:spacing w:line="312" w:lineRule="auto"/>
            </w:pPr>
            <w:r w:rsidRPr="00A7665F">
              <w:t>21 days</w:t>
            </w:r>
          </w:p>
        </w:tc>
        <w:tc>
          <w:tcPr>
            <w:tcW w:w="500" w:type="pct"/>
          </w:tcPr>
          <w:p w14:paraId="5F672236" w14:textId="05A05C99" w:rsidR="00A20ED5" w:rsidRPr="00A7665F" w:rsidRDefault="009B3E4D" w:rsidP="008401D4">
            <w:pPr>
              <w:pStyle w:val="TableBody0"/>
              <w:spacing w:line="312" w:lineRule="auto"/>
              <w:jc w:val="right"/>
            </w:pPr>
            <w:r w:rsidRPr="00785389">
              <w:t>9</w:t>
            </w:r>
            <w:r>
              <w:t>1</w:t>
            </w:r>
            <w:r w:rsidRPr="00785389">
              <w:t>% </w:t>
            </w:r>
          </w:p>
        </w:tc>
        <w:tc>
          <w:tcPr>
            <w:tcW w:w="500" w:type="pct"/>
          </w:tcPr>
          <w:p w14:paraId="129862FD" w14:textId="740D1D2A" w:rsidR="00A20ED5" w:rsidRPr="00A7665F" w:rsidRDefault="00A20ED5" w:rsidP="008401D4">
            <w:pPr>
              <w:pStyle w:val="TableBody0"/>
              <w:spacing w:line="312" w:lineRule="auto"/>
              <w:jc w:val="right"/>
            </w:pPr>
            <w:r w:rsidRPr="00A7665F">
              <w:t>92%</w:t>
            </w:r>
          </w:p>
        </w:tc>
        <w:tc>
          <w:tcPr>
            <w:tcW w:w="500" w:type="pct"/>
          </w:tcPr>
          <w:p w14:paraId="7B1A3090" w14:textId="3624CE51" w:rsidR="00A20ED5" w:rsidRPr="00A7665F" w:rsidRDefault="00A20ED5" w:rsidP="008401D4">
            <w:pPr>
              <w:pStyle w:val="TableBody0"/>
              <w:spacing w:line="312" w:lineRule="auto"/>
              <w:jc w:val="right"/>
            </w:pPr>
            <w:r w:rsidRPr="00A7665F">
              <w:t>82%</w:t>
            </w:r>
          </w:p>
        </w:tc>
        <w:tc>
          <w:tcPr>
            <w:tcW w:w="500" w:type="pct"/>
          </w:tcPr>
          <w:p w14:paraId="36C60E68" w14:textId="3D0BCF38" w:rsidR="00A20ED5" w:rsidRPr="00A7665F" w:rsidRDefault="00A20ED5" w:rsidP="008401D4">
            <w:pPr>
              <w:pStyle w:val="TableBody0"/>
              <w:spacing w:line="312" w:lineRule="auto"/>
              <w:jc w:val="right"/>
            </w:pPr>
            <w:r w:rsidRPr="00A7665F">
              <w:t>96%</w:t>
            </w:r>
          </w:p>
        </w:tc>
      </w:tr>
      <w:tr w:rsidR="00A20ED5" w:rsidRPr="00A7665F" w14:paraId="6A681176" w14:textId="77777777" w:rsidTr="009C4843">
        <w:trPr>
          <w:cnfStyle w:val="000000100000" w:firstRow="0" w:lastRow="0" w:firstColumn="0" w:lastColumn="0" w:oddVBand="0" w:evenVBand="0" w:oddHBand="1" w:evenHBand="0" w:firstRowFirstColumn="0" w:firstRowLastColumn="0" w:lastRowFirstColumn="0" w:lastRowLastColumn="0"/>
          <w:cantSplit/>
        </w:trPr>
        <w:tc>
          <w:tcPr>
            <w:tcW w:w="339" w:type="pct"/>
          </w:tcPr>
          <w:p w14:paraId="577105F4" w14:textId="0919705D" w:rsidR="00A20ED5" w:rsidRPr="00A7665F" w:rsidRDefault="00A20ED5" w:rsidP="008401D4">
            <w:pPr>
              <w:pStyle w:val="TableBody0"/>
              <w:spacing w:line="312" w:lineRule="auto"/>
              <w:rPr>
                <w:lang w:eastAsia="ja-JP"/>
              </w:rPr>
            </w:pPr>
            <w:r w:rsidRPr="00A7665F">
              <w:rPr>
                <w:color w:val="000000"/>
              </w:rPr>
              <w:t>4</w:t>
            </w:r>
          </w:p>
        </w:tc>
        <w:tc>
          <w:tcPr>
            <w:tcW w:w="2171" w:type="pct"/>
          </w:tcPr>
          <w:p w14:paraId="25FE36D6" w14:textId="3D8EB74A" w:rsidR="00A20ED5" w:rsidRPr="00A7665F" w:rsidRDefault="00A20ED5" w:rsidP="008401D4">
            <w:pPr>
              <w:pStyle w:val="TableBody0"/>
              <w:spacing w:line="312" w:lineRule="auto"/>
              <w:rPr>
                <w:lang w:eastAsia="ja-JP"/>
              </w:rPr>
            </w:pPr>
            <w:r w:rsidRPr="00A7665F">
              <w:rPr>
                <w:color w:val="000000"/>
              </w:rPr>
              <w:t>Make an access decision, or request for</w:t>
            </w:r>
            <w:r w:rsidR="00F27696">
              <w:rPr>
                <w:color w:val="000000"/>
              </w:rPr>
              <w:t xml:space="preserve"> </w:t>
            </w:r>
            <w:r w:rsidRPr="00A7665F">
              <w:rPr>
                <w:color w:val="000000"/>
              </w:rPr>
              <w:t>additional</w:t>
            </w:r>
            <w:r w:rsidR="00F27696">
              <w:rPr>
                <w:color w:val="000000"/>
              </w:rPr>
              <w:t xml:space="preserve"> </w:t>
            </w:r>
            <w:r w:rsidRPr="00A7665F">
              <w:rPr>
                <w:color w:val="000000"/>
              </w:rPr>
              <w:t>information, after more information has been provided</w:t>
            </w:r>
          </w:p>
        </w:tc>
        <w:tc>
          <w:tcPr>
            <w:tcW w:w="489" w:type="pct"/>
          </w:tcPr>
          <w:p w14:paraId="248A7760" w14:textId="271A5E03" w:rsidR="00A20ED5" w:rsidRPr="00A7665F" w:rsidRDefault="00A20ED5" w:rsidP="008401D4">
            <w:pPr>
              <w:pStyle w:val="TableBody0"/>
              <w:spacing w:line="312" w:lineRule="auto"/>
              <w:rPr>
                <w:lang w:eastAsia="ja-JP"/>
              </w:rPr>
            </w:pPr>
            <w:r w:rsidRPr="00A7665F">
              <w:rPr>
                <w:color w:val="000000"/>
              </w:rPr>
              <w:t>14 days</w:t>
            </w:r>
          </w:p>
        </w:tc>
        <w:tc>
          <w:tcPr>
            <w:tcW w:w="500" w:type="pct"/>
          </w:tcPr>
          <w:p w14:paraId="6F126A39" w14:textId="32CC0423" w:rsidR="00A20ED5" w:rsidRPr="00A7665F" w:rsidRDefault="009B3E4D" w:rsidP="008401D4">
            <w:pPr>
              <w:pStyle w:val="TableBody0"/>
              <w:spacing w:line="312" w:lineRule="auto"/>
              <w:jc w:val="right"/>
            </w:pPr>
            <w:r w:rsidRPr="00C43679">
              <w:rPr>
                <w:color w:val="000000"/>
              </w:rPr>
              <w:t>5</w:t>
            </w:r>
            <w:r>
              <w:rPr>
                <w:color w:val="000000"/>
              </w:rPr>
              <w:t>5</w:t>
            </w:r>
            <w:r w:rsidRPr="00C43679">
              <w:rPr>
                <w:color w:val="000000"/>
              </w:rPr>
              <w:t>% </w:t>
            </w:r>
          </w:p>
        </w:tc>
        <w:tc>
          <w:tcPr>
            <w:tcW w:w="500" w:type="pct"/>
          </w:tcPr>
          <w:p w14:paraId="3082106F" w14:textId="57C7891B" w:rsidR="00A20ED5" w:rsidRPr="00A7665F" w:rsidRDefault="00A20ED5" w:rsidP="008401D4">
            <w:pPr>
              <w:pStyle w:val="TableBody0"/>
              <w:spacing w:line="312" w:lineRule="auto"/>
              <w:jc w:val="right"/>
            </w:pPr>
            <w:r w:rsidRPr="00A7665F">
              <w:rPr>
                <w:color w:val="000000"/>
              </w:rPr>
              <w:t>69%</w:t>
            </w:r>
          </w:p>
        </w:tc>
        <w:tc>
          <w:tcPr>
            <w:tcW w:w="500" w:type="pct"/>
          </w:tcPr>
          <w:p w14:paraId="08BD3264" w14:textId="1CE3BB36" w:rsidR="00A20ED5" w:rsidRPr="00A7665F" w:rsidRDefault="00A20ED5" w:rsidP="008401D4">
            <w:pPr>
              <w:pStyle w:val="TableBody0"/>
              <w:spacing w:line="312" w:lineRule="auto"/>
              <w:jc w:val="right"/>
            </w:pPr>
            <w:r w:rsidRPr="00A7665F">
              <w:rPr>
                <w:color w:val="000000"/>
              </w:rPr>
              <w:t>68%</w:t>
            </w:r>
          </w:p>
        </w:tc>
        <w:tc>
          <w:tcPr>
            <w:tcW w:w="500" w:type="pct"/>
          </w:tcPr>
          <w:p w14:paraId="5D42E56B" w14:textId="6791B765" w:rsidR="00A20ED5" w:rsidRPr="00A7665F" w:rsidRDefault="00A20ED5" w:rsidP="008401D4">
            <w:pPr>
              <w:pStyle w:val="TableBody0"/>
              <w:spacing w:line="312" w:lineRule="auto"/>
              <w:jc w:val="right"/>
            </w:pPr>
            <w:r w:rsidRPr="00A7665F">
              <w:rPr>
                <w:color w:val="000000"/>
              </w:rPr>
              <w:t>79%</w:t>
            </w:r>
          </w:p>
        </w:tc>
      </w:tr>
      <w:tr w:rsidR="00A20ED5" w:rsidRPr="00A7665F" w14:paraId="3386ABE6" w14:textId="77777777" w:rsidTr="009C4843">
        <w:trPr>
          <w:cnfStyle w:val="000000010000" w:firstRow="0" w:lastRow="0" w:firstColumn="0" w:lastColumn="0" w:oddVBand="0" w:evenVBand="0" w:oddHBand="0" w:evenHBand="1" w:firstRowFirstColumn="0" w:firstRowLastColumn="0" w:lastRowFirstColumn="0" w:lastRowLastColumn="0"/>
          <w:cantSplit/>
        </w:trPr>
        <w:tc>
          <w:tcPr>
            <w:tcW w:w="339" w:type="pct"/>
          </w:tcPr>
          <w:p w14:paraId="3572C2AB" w14:textId="5C35810C" w:rsidR="00A20ED5" w:rsidRPr="00A7665F" w:rsidRDefault="00A20ED5" w:rsidP="008401D4">
            <w:pPr>
              <w:pStyle w:val="TableBody0"/>
              <w:spacing w:line="312" w:lineRule="auto"/>
            </w:pPr>
            <w:r w:rsidRPr="00A7665F">
              <w:t>6</w:t>
            </w:r>
          </w:p>
        </w:tc>
        <w:tc>
          <w:tcPr>
            <w:tcW w:w="2171" w:type="pct"/>
          </w:tcPr>
          <w:p w14:paraId="0EA2FC0E" w14:textId="2507FE44" w:rsidR="00A20ED5" w:rsidRPr="00A7665F" w:rsidRDefault="00A20ED5" w:rsidP="008401D4">
            <w:pPr>
              <w:pStyle w:val="TableBody0"/>
              <w:spacing w:line="312" w:lineRule="auto"/>
            </w:pPr>
            <w:r w:rsidRPr="00A7665F">
              <w:t>Approve a participant</w:t>
            </w:r>
            <w:r w:rsidR="00AF0D99">
              <w:t>’</w:t>
            </w:r>
            <w:r w:rsidRPr="00A7665F">
              <w:t>s plan, after an access decision has been made (excludes those</w:t>
            </w:r>
            <w:r w:rsidR="00F27696">
              <w:t xml:space="preserve"> </w:t>
            </w:r>
            <w:r w:rsidR="00B16A62">
              <w:t>Early Childhood Approach (</w:t>
            </w:r>
            <w:r w:rsidRPr="00A7665F">
              <w:t>ECA</w:t>
            </w:r>
            <w:r w:rsidR="00B16A62">
              <w:t>)</w:t>
            </w:r>
            <w:r w:rsidR="00F27696">
              <w:t xml:space="preserve"> </w:t>
            </w:r>
            <w:r w:rsidRPr="00A7665F">
              <w:t>that have received initial supports)</w:t>
            </w:r>
          </w:p>
        </w:tc>
        <w:tc>
          <w:tcPr>
            <w:tcW w:w="489" w:type="pct"/>
          </w:tcPr>
          <w:p w14:paraId="1DAC6813" w14:textId="29DD7498" w:rsidR="00A20ED5" w:rsidRPr="00A7665F" w:rsidRDefault="00A20ED5" w:rsidP="008401D4">
            <w:pPr>
              <w:pStyle w:val="TableBody0"/>
              <w:spacing w:line="312" w:lineRule="auto"/>
            </w:pPr>
            <w:r w:rsidRPr="00A7665F">
              <w:t>56 days</w:t>
            </w:r>
          </w:p>
        </w:tc>
        <w:tc>
          <w:tcPr>
            <w:tcW w:w="500" w:type="pct"/>
          </w:tcPr>
          <w:p w14:paraId="7A216336" w14:textId="272347E3" w:rsidR="00A20ED5" w:rsidRPr="00A7665F" w:rsidRDefault="009B3E4D" w:rsidP="008401D4">
            <w:pPr>
              <w:pStyle w:val="TableBody0"/>
              <w:spacing w:line="312" w:lineRule="auto"/>
              <w:jc w:val="right"/>
            </w:pPr>
            <w:r w:rsidRPr="00785389">
              <w:t>9</w:t>
            </w:r>
            <w:r>
              <w:t>6</w:t>
            </w:r>
            <w:r w:rsidRPr="00785389">
              <w:t>% </w:t>
            </w:r>
          </w:p>
        </w:tc>
        <w:tc>
          <w:tcPr>
            <w:tcW w:w="500" w:type="pct"/>
          </w:tcPr>
          <w:p w14:paraId="6DE8054D" w14:textId="0F899095" w:rsidR="00A20ED5" w:rsidRPr="00A7665F" w:rsidRDefault="00A20ED5" w:rsidP="008401D4">
            <w:pPr>
              <w:pStyle w:val="TableBody0"/>
              <w:spacing w:line="312" w:lineRule="auto"/>
              <w:jc w:val="right"/>
            </w:pPr>
            <w:r w:rsidRPr="00A7665F">
              <w:t>97%</w:t>
            </w:r>
          </w:p>
        </w:tc>
        <w:tc>
          <w:tcPr>
            <w:tcW w:w="500" w:type="pct"/>
          </w:tcPr>
          <w:p w14:paraId="79205062" w14:textId="2B7C51B0" w:rsidR="00A20ED5" w:rsidRPr="00A7665F" w:rsidRDefault="00A20ED5" w:rsidP="008401D4">
            <w:pPr>
              <w:pStyle w:val="TableBody0"/>
              <w:spacing w:line="312" w:lineRule="auto"/>
              <w:jc w:val="right"/>
            </w:pPr>
            <w:r w:rsidRPr="00A7665F">
              <w:t>96%</w:t>
            </w:r>
          </w:p>
        </w:tc>
        <w:tc>
          <w:tcPr>
            <w:tcW w:w="500" w:type="pct"/>
          </w:tcPr>
          <w:p w14:paraId="67B8B1B7" w14:textId="5B569132" w:rsidR="00A20ED5" w:rsidRPr="00A7665F" w:rsidRDefault="00A20ED5" w:rsidP="008401D4">
            <w:pPr>
              <w:pStyle w:val="TableBody0"/>
              <w:spacing w:line="312" w:lineRule="auto"/>
              <w:jc w:val="right"/>
            </w:pPr>
            <w:r w:rsidRPr="00A7665F">
              <w:t>96%</w:t>
            </w:r>
          </w:p>
        </w:tc>
      </w:tr>
      <w:tr w:rsidR="00A20ED5" w:rsidRPr="00A7665F" w14:paraId="41CF58E3" w14:textId="77777777" w:rsidTr="009C4843">
        <w:trPr>
          <w:cnfStyle w:val="000000100000" w:firstRow="0" w:lastRow="0" w:firstColumn="0" w:lastColumn="0" w:oddVBand="0" w:evenVBand="0" w:oddHBand="1" w:evenHBand="0" w:firstRowFirstColumn="0" w:firstRowLastColumn="0" w:lastRowFirstColumn="0" w:lastRowLastColumn="0"/>
          <w:cantSplit/>
        </w:trPr>
        <w:tc>
          <w:tcPr>
            <w:tcW w:w="339" w:type="pct"/>
          </w:tcPr>
          <w:p w14:paraId="507D580B" w14:textId="230D1736" w:rsidR="00A20ED5" w:rsidRPr="00A7665F" w:rsidRDefault="00A20ED5" w:rsidP="008401D4">
            <w:pPr>
              <w:pStyle w:val="TableBody0"/>
              <w:spacing w:line="312" w:lineRule="auto"/>
              <w:rPr>
                <w:lang w:eastAsia="ja-JP"/>
              </w:rPr>
            </w:pPr>
            <w:r w:rsidRPr="00A7665F">
              <w:t>7</w:t>
            </w:r>
          </w:p>
        </w:tc>
        <w:tc>
          <w:tcPr>
            <w:tcW w:w="2171" w:type="pct"/>
          </w:tcPr>
          <w:p w14:paraId="73A76E64" w14:textId="6554BB17" w:rsidR="00A20ED5" w:rsidRPr="00A7665F" w:rsidRDefault="00A20ED5" w:rsidP="008401D4">
            <w:pPr>
              <w:pStyle w:val="TableBody0"/>
              <w:spacing w:line="312" w:lineRule="auto"/>
              <w:rPr>
                <w:lang w:eastAsia="ja-JP"/>
              </w:rPr>
            </w:pPr>
            <w:r w:rsidRPr="00A7665F">
              <w:t>Approve a plan for ECA</w:t>
            </w:r>
            <w:r w:rsidR="00F27696">
              <w:t xml:space="preserve"> </w:t>
            </w:r>
            <w:r w:rsidRPr="00A7665F">
              <w:t>participants, after an access decision has been made</w:t>
            </w:r>
          </w:p>
        </w:tc>
        <w:tc>
          <w:tcPr>
            <w:tcW w:w="489" w:type="pct"/>
          </w:tcPr>
          <w:p w14:paraId="7942EEB5" w14:textId="7E9A3DE3" w:rsidR="00A20ED5" w:rsidRPr="00A7665F" w:rsidRDefault="00A20ED5" w:rsidP="008401D4">
            <w:pPr>
              <w:pStyle w:val="TableBody0"/>
              <w:spacing w:line="312" w:lineRule="auto"/>
              <w:rPr>
                <w:lang w:eastAsia="ja-JP"/>
              </w:rPr>
            </w:pPr>
            <w:r w:rsidRPr="00A7665F">
              <w:t>56 days</w:t>
            </w:r>
          </w:p>
        </w:tc>
        <w:tc>
          <w:tcPr>
            <w:tcW w:w="500" w:type="pct"/>
          </w:tcPr>
          <w:p w14:paraId="17CC83AD" w14:textId="40D5D558" w:rsidR="00A20ED5" w:rsidRPr="00A7665F" w:rsidRDefault="009B3E4D" w:rsidP="008401D4">
            <w:pPr>
              <w:pStyle w:val="TableBody0"/>
              <w:spacing w:line="312" w:lineRule="auto"/>
              <w:jc w:val="right"/>
            </w:pPr>
            <w:r>
              <w:t>100</w:t>
            </w:r>
            <w:r w:rsidRPr="00785389">
              <w:t>% </w:t>
            </w:r>
          </w:p>
        </w:tc>
        <w:tc>
          <w:tcPr>
            <w:tcW w:w="500" w:type="pct"/>
          </w:tcPr>
          <w:p w14:paraId="1BE4494F" w14:textId="66667AB1" w:rsidR="00A20ED5" w:rsidRPr="00A7665F" w:rsidRDefault="00A20ED5" w:rsidP="008401D4">
            <w:pPr>
              <w:pStyle w:val="TableBody0"/>
              <w:spacing w:line="312" w:lineRule="auto"/>
              <w:jc w:val="right"/>
            </w:pPr>
            <w:r w:rsidRPr="00A7665F">
              <w:t>99%</w:t>
            </w:r>
          </w:p>
        </w:tc>
        <w:tc>
          <w:tcPr>
            <w:tcW w:w="500" w:type="pct"/>
          </w:tcPr>
          <w:p w14:paraId="1FDD1DCA" w14:textId="047DBD75" w:rsidR="00A20ED5" w:rsidRPr="00A7665F" w:rsidRDefault="00A20ED5" w:rsidP="008401D4">
            <w:pPr>
              <w:pStyle w:val="TableBody0"/>
              <w:spacing w:line="312" w:lineRule="auto"/>
              <w:jc w:val="right"/>
            </w:pPr>
            <w:r w:rsidRPr="00A7665F">
              <w:t>100%</w:t>
            </w:r>
          </w:p>
        </w:tc>
        <w:tc>
          <w:tcPr>
            <w:tcW w:w="500" w:type="pct"/>
          </w:tcPr>
          <w:p w14:paraId="00CC89CE" w14:textId="66D9ED38" w:rsidR="00A20ED5" w:rsidRPr="00A7665F" w:rsidRDefault="00A20ED5" w:rsidP="008401D4">
            <w:pPr>
              <w:pStyle w:val="TableBody0"/>
              <w:spacing w:line="312" w:lineRule="auto"/>
              <w:jc w:val="right"/>
            </w:pPr>
            <w:r w:rsidRPr="00A7665F">
              <w:t>100%</w:t>
            </w:r>
          </w:p>
        </w:tc>
      </w:tr>
      <w:tr w:rsidR="00A20ED5" w:rsidRPr="00A7665F" w14:paraId="5CF1DF1F" w14:textId="77777777" w:rsidTr="009C4843">
        <w:trPr>
          <w:cnfStyle w:val="000000010000" w:firstRow="0" w:lastRow="0" w:firstColumn="0" w:lastColumn="0" w:oddVBand="0" w:evenVBand="0" w:oddHBand="0" w:evenHBand="1" w:firstRowFirstColumn="0" w:firstRowLastColumn="0" w:lastRowFirstColumn="0" w:lastRowLastColumn="0"/>
          <w:cantSplit/>
        </w:trPr>
        <w:tc>
          <w:tcPr>
            <w:tcW w:w="339" w:type="pct"/>
          </w:tcPr>
          <w:p w14:paraId="4A91C705" w14:textId="516E74A1" w:rsidR="00A20ED5" w:rsidRPr="00A7665F" w:rsidRDefault="00A20ED5" w:rsidP="008401D4">
            <w:pPr>
              <w:pStyle w:val="TableBody0"/>
              <w:spacing w:line="312" w:lineRule="auto"/>
            </w:pPr>
            <w:r w:rsidRPr="00A7665F">
              <w:t>8</w:t>
            </w:r>
          </w:p>
        </w:tc>
        <w:tc>
          <w:tcPr>
            <w:tcW w:w="2171" w:type="pct"/>
          </w:tcPr>
          <w:p w14:paraId="558CE5DA" w14:textId="157D24ED" w:rsidR="00A20ED5" w:rsidRPr="00A7665F" w:rsidRDefault="00A20ED5" w:rsidP="008401D4">
            <w:pPr>
              <w:pStyle w:val="TableBody0"/>
              <w:spacing w:line="312" w:lineRule="auto"/>
            </w:pPr>
            <w:r w:rsidRPr="00A7665F">
              <w:t>Offer to hold a plan implementation meeting, after the plan is approved</w:t>
            </w:r>
          </w:p>
        </w:tc>
        <w:tc>
          <w:tcPr>
            <w:tcW w:w="489" w:type="pct"/>
          </w:tcPr>
          <w:p w14:paraId="195AD0A3" w14:textId="7CFE42CE" w:rsidR="00A20ED5" w:rsidRPr="00A7665F" w:rsidRDefault="00A20ED5" w:rsidP="008401D4">
            <w:pPr>
              <w:pStyle w:val="TableBody0"/>
              <w:spacing w:line="312" w:lineRule="auto"/>
            </w:pPr>
            <w:r w:rsidRPr="00A7665F">
              <w:t>7 days</w:t>
            </w:r>
          </w:p>
        </w:tc>
        <w:tc>
          <w:tcPr>
            <w:tcW w:w="500" w:type="pct"/>
          </w:tcPr>
          <w:p w14:paraId="4C02BB08" w14:textId="12C8052A" w:rsidR="00A20ED5" w:rsidRPr="00A7665F" w:rsidRDefault="009B3E4D" w:rsidP="008401D4">
            <w:pPr>
              <w:pStyle w:val="TableBody0"/>
              <w:spacing w:line="312" w:lineRule="auto"/>
              <w:jc w:val="right"/>
            </w:pPr>
            <w:r w:rsidRPr="00785389">
              <w:t>8</w:t>
            </w:r>
            <w:r>
              <w:t>5</w:t>
            </w:r>
            <w:r w:rsidRPr="00785389">
              <w:t>% </w:t>
            </w:r>
          </w:p>
        </w:tc>
        <w:tc>
          <w:tcPr>
            <w:tcW w:w="500" w:type="pct"/>
          </w:tcPr>
          <w:p w14:paraId="1FCDF621" w14:textId="1E7AC59F" w:rsidR="00A20ED5" w:rsidRPr="00A7665F" w:rsidRDefault="00A20ED5" w:rsidP="008401D4">
            <w:pPr>
              <w:pStyle w:val="TableBody0"/>
              <w:spacing w:line="312" w:lineRule="auto"/>
              <w:jc w:val="right"/>
            </w:pPr>
            <w:r w:rsidRPr="00A7665F">
              <w:t>86%</w:t>
            </w:r>
          </w:p>
        </w:tc>
        <w:tc>
          <w:tcPr>
            <w:tcW w:w="500" w:type="pct"/>
          </w:tcPr>
          <w:p w14:paraId="3B6809C2" w14:textId="66FC226D" w:rsidR="00A20ED5" w:rsidRPr="00A7665F" w:rsidRDefault="00A20ED5" w:rsidP="008401D4">
            <w:pPr>
              <w:pStyle w:val="TableBody0"/>
              <w:spacing w:line="312" w:lineRule="auto"/>
              <w:jc w:val="right"/>
            </w:pPr>
            <w:r w:rsidRPr="00A7665F">
              <w:t>85%</w:t>
            </w:r>
          </w:p>
        </w:tc>
        <w:tc>
          <w:tcPr>
            <w:tcW w:w="500" w:type="pct"/>
          </w:tcPr>
          <w:p w14:paraId="214B330B" w14:textId="71C19C3E" w:rsidR="00A20ED5" w:rsidRPr="00A7665F" w:rsidRDefault="00A20ED5" w:rsidP="008401D4">
            <w:pPr>
              <w:pStyle w:val="TableBody0"/>
              <w:spacing w:line="312" w:lineRule="auto"/>
              <w:jc w:val="right"/>
            </w:pPr>
            <w:r w:rsidRPr="00A7665F">
              <w:t>89%</w:t>
            </w:r>
          </w:p>
        </w:tc>
      </w:tr>
      <w:tr w:rsidR="000A08F6" w:rsidRPr="00A7665F" w14:paraId="5BE662AE" w14:textId="77777777" w:rsidTr="009C4843">
        <w:trPr>
          <w:cnfStyle w:val="000000100000" w:firstRow="0" w:lastRow="0" w:firstColumn="0" w:lastColumn="0" w:oddVBand="0" w:evenVBand="0" w:oddHBand="1" w:evenHBand="0" w:firstRowFirstColumn="0" w:firstRowLastColumn="0" w:lastRowFirstColumn="0" w:lastRowLastColumn="0"/>
          <w:cantSplit/>
        </w:trPr>
        <w:tc>
          <w:tcPr>
            <w:tcW w:w="339" w:type="pct"/>
          </w:tcPr>
          <w:p w14:paraId="460995F5" w14:textId="2B93DEE6" w:rsidR="000A08F6" w:rsidRPr="00A7665F" w:rsidRDefault="000A08F6" w:rsidP="008401D4">
            <w:pPr>
              <w:pStyle w:val="TableBody0"/>
              <w:spacing w:line="312" w:lineRule="auto"/>
            </w:pPr>
            <w:r w:rsidRPr="00A7665F">
              <w:t>9</w:t>
            </w:r>
          </w:p>
        </w:tc>
        <w:tc>
          <w:tcPr>
            <w:tcW w:w="2171" w:type="pct"/>
          </w:tcPr>
          <w:p w14:paraId="78CAAED8" w14:textId="62DAF871" w:rsidR="000A08F6" w:rsidRPr="00A7665F" w:rsidRDefault="000A08F6" w:rsidP="008401D4">
            <w:pPr>
              <w:pStyle w:val="TableBody0"/>
              <w:spacing w:line="312" w:lineRule="auto"/>
            </w:pPr>
            <w:r w:rsidRPr="00A7665F">
              <w:t>If the participant accepts the offer, hold a plan implementation meeting</w:t>
            </w:r>
          </w:p>
        </w:tc>
        <w:tc>
          <w:tcPr>
            <w:tcW w:w="489" w:type="pct"/>
          </w:tcPr>
          <w:p w14:paraId="12A28251" w14:textId="0579ED8E" w:rsidR="000A08F6" w:rsidRPr="00A7665F" w:rsidRDefault="000A08F6" w:rsidP="008401D4">
            <w:pPr>
              <w:pStyle w:val="TableBody0"/>
              <w:spacing w:line="312" w:lineRule="auto"/>
            </w:pPr>
            <w:r w:rsidRPr="00A7665F">
              <w:t>28 days</w:t>
            </w:r>
          </w:p>
        </w:tc>
        <w:tc>
          <w:tcPr>
            <w:tcW w:w="500" w:type="pct"/>
          </w:tcPr>
          <w:p w14:paraId="7F6E1BFD" w14:textId="319B26A5" w:rsidR="000A08F6" w:rsidRPr="00A7665F" w:rsidRDefault="009B3E4D" w:rsidP="008401D4">
            <w:pPr>
              <w:pStyle w:val="TableBody0"/>
              <w:spacing w:line="312" w:lineRule="auto"/>
              <w:jc w:val="right"/>
            </w:pPr>
            <w:r w:rsidRPr="00785389">
              <w:t>98</w:t>
            </w:r>
            <w:r w:rsidR="000A08F6" w:rsidRPr="00785389">
              <w:t>% </w:t>
            </w:r>
          </w:p>
        </w:tc>
        <w:tc>
          <w:tcPr>
            <w:tcW w:w="500" w:type="pct"/>
          </w:tcPr>
          <w:p w14:paraId="3E34AC73" w14:textId="28265B6A" w:rsidR="000A08F6" w:rsidRPr="00A7665F" w:rsidRDefault="000A08F6" w:rsidP="008401D4">
            <w:pPr>
              <w:pStyle w:val="TableBody0"/>
              <w:spacing w:line="312" w:lineRule="auto"/>
              <w:jc w:val="right"/>
            </w:pPr>
            <w:r w:rsidRPr="00A7665F">
              <w:t>98%</w:t>
            </w:r>
          </w:p>
        </w:tc>
        <w:tc>
          <w:tcPr>
            <w:tcW w:w="500" w:type="pct"/>
          </w:tcPr>
          <w:p w14:paraId="05C89538" w14:textId="628DB252" w:rsidR="000A08F6" w:rsidRPr="00A7665F" w:rsidRDefault="000A08F6" w:rsidP="008401D4">
            <w:pPr>
              <w:pStyle w:val="TableBody0"/>
              <w:spacing w:line="312" w:lineRule="auto"/>
              <w:jc w:val="right"/>
            </w:pPr>
            <w:r w:rsidRPr="00A7665F">
              <w:t>98%</w:t>
            </w:r>
          </w:p>
        </w:tc>
        <w:tc>
          <w:tcPr>
            <w:tcW w:w="500" w:type="pct"/>
          </w:tcPr>
          <w:p w14:paraId="7B1125DC" w14:textId="70FED232" w:rsidR="000A08F6" w:rsidRPr="00A7665F" w:rsidRDefault="000A08F6" w:rsidP="008401D4">
            <w:pPr>
              <w:pStyle w:val="TableBody0"/>
              <w:spacing w:line="312" w:lineRule="auto"/>
              <w:jc w:val="right"/>
            </w:pPr>
            <w:r w:rsidRPr="00A7665F">
              <w:t>98%</w:t>
            </w:r>
          </w:p>
        </w:tc>
      </w:tr>
      <w:tr w:rsidR="000A08F6" w:rsidRPr="00A7665F" w14:paraId="2AA05BDC" w14:textId="77777777" w:rsidTr="009C4843">
        <w:trPr>
          <w:cnfStyle w:val="000000010000" w:firstRow="0" w:lastRow="0" w:firstColumn="0" w:lastColumn="0" w:oddVBand="0" w:evenVBand="0" w:oddHBand="0" w:evenHBand="1" w:firstRowFirstColumn="0" w:firstRowLastColumn="0" w:lastRowFirstColumn="0" w:lastRowLastColumn="0"/>
          <w:cantSplit/>
        </w:trPr>
        <w:tc>
          <w:tcPr>
            <w:tcW w:w="339" w:type="pct"/>
          </w:tcPr>
          <w:p w14:paraId="30648D7F" w14:textId="7AD2C345" w:rsidR="000A08F6" w:rsidRPr="00A7665F" w:rsidRDefault="000A08F6" w:rsidP="008401D4">
            <w:pPr>
              <w:pStyle w:val="TableBody0"/>
              <w:spacing w:line="312" w:lineRule="auto"/>
            </w:pPr>
            <w:r w:rsidRPr="00A7665F">
              <w:t>10</w:t>
            </w:r>
          </w:p>
        </w:tc>
        <w:tc>
          <w:tcPr>
            <w:tcW w:w="2171" w:type="pct"/>
          </w:tcPr>
          <w:p w14:paraId="1C950446" w14:textId="029A18B2" w:rsidR="000A08F6" w:rsidRPr="00A7665F" w:rsidRDefault="000A08F6" w:rsidP="008401D4">
            <w:pPr>
              <w:pStyle w:val="TableBody0"/>
              <w:spacing w:line="312" w:lineRule="auto"/>
            </w:pPr>
            <w:r w:rsidRPr="00A7665F">
              <w:t>Provide a copy of the plan to a participant, after the plan is approved</w:t>
            </w:r>
          </w:p>
        </w:tc>
        <w:tc>
          <w:tcPr>
            <w:tcW w:w="489" w:type="pct"/>
          </w:tcPr>
          <w:p w14:paraId="1BD1C1AE" w14:textId="6CB2040E" w:rsidR="000A08F6" w:rsidRPr="00A7665F" w:rsidRDefault="000A08F6" w:rsidP="008401D4">
            <w:pPr>
              <w:pStyle w:val="TableBody0"/>
              <w:spacing w:line="312" w:lineRule="auto"/>
            </w:pPr>
            <w:r w:rsidRPr="00A7665F">
              <w:t>7 days</w:t>
            </w:r>
          </w:p>
        </w:tc>
        <w:tc>
          <w:tcPr>
            <w:tcW w:w="500" w:type="pct"/>
          </w:tcPr>
          <w:p w14:paraId="58FFF84A" w14:textId="0452916A" w:rsidR="000A08F6" w:rsidRPr="00A7665F" w:rsidRDefault="009B3E4D" w:rsidP="008401D4">
            <w:pPr>
              <w:pStyle w:val="TableBody0"/>
              <w:spacing w:line="312" w:lineRule="auto"/>
              <w:jc w:val="right"/>
            </w:pPr>
            <w:r w:rsidRPr="00785389">
              <w:t>99</w:t>
            </w:r>
            <w:r w:rsidR="000A08F6" w:rsidRPr="00785389">
              <w:t>% </w:t>
            </w:r>
          </w:p>
        </w:tc>
        <w:tc>
          <w:tcPr>
            <w:tcW w:w="500" w:type="pct"/>
          </w:tcPr>
          <w:p w14:paraId="6EE5250B" w14:textId="6EA15184" w:rsidR="000A08F6" w:rsidRPr="00A7665F" w:rsidRDefault="000A08F6" w:rsidP="008401D4">
            <w:pPr>
              <w:pStyle w:val="TableBody0"/>
              <w:spacing w:line="312" w:lineRule="auto"/>
              <w:jc w:val="right"/>
            </w:pPr>
            <w:r w:rsidRPr="00A7665F">
              <w:t>99%</w:t>
            </w:r>
          </w:p>
        </w:tc>
        <w:tc>
          <w:tcPr>
            <w:tcW w:w="500" w:type="pct"/>
          </w:tcPr>
          <w:p w14:paraId="67CB01FE" w14:textId="3DC13621" w:rsidR="000A08F6" w:rsidRPr="00A7665F" w:rsidRDefault="000A08F6" w:rsidP="008401D4">
            <w:pPr>
              <w:pStyle w:val="TableBody0"/>
              <w:spacing w:line="312" w:lineRule="auto"/>
              <w:jc w:val="right"/>
            </w:pPr>
            <w:r w:rsidRPr="00A7665F">
              <w:t>99%</w:t>
            </w:r>
          </w:p>
        </w:tc>
        <w:tc>
          <w:tcPr>
            <w:tcW w:w="500" w:type="pct"/>
          </w:tcPr>
          <w:p w14:paraId="721855CC" w14:textId="38466F86" w:rsidR="000A08F6" w:rsidRPr="00A7665F" w:rsidRDefault="000A08F6" w:rsidP="008401D4">
            <w:pPr>
              <w:pStyle w:val="TableBody0"/>
              <w:spacing w:line="312" w:lineRule="auto"/>
              <w:jc w:val="right"/>
            </w:pPr>
            <w:r w:rsidRPr="00A7665F">
              <w:t>99%</w:t>
            </w:r>
          </w:p>
        </w:tc>
      </w:tr>
      <w:tr w:rsidR="000A08F6" w:rsidRPr="00A7665F" w14:paraId="1FDF96E8" w14:textId="77777777" w:rsidTr="009C4843">
        <w:trPr>
          <w:cnfStyle w:val="000000100000" w:firstRow="0" w:lastRow="0" w:firstColumn="0" w:lastColumn="0" w:oddVBand="0" w:evenVBand="0" w:oddHBand="1" w:evenHBand="0" w:firstRowFirstColumn="0" w:firstRowLastColumn="0" w:lastRowFirstColumn="0" w:lastRowLastColumn="0"/>
          <w:cantSplit/>
        </w:trPr>
        <w:tc>
          <w:tcPr>
            <w:tcW w:w="339" w:type="pct"/>
          </w:tcPr>
          <w:p w14:paraId="64F0DE5C" w14:textId="013131DD" w:rsidR="000A08F6" w:rsidRPr="00A7665F" w:rsidRDefault="000A08F6" w:rsidP="008401D4">
            <w:pPr>
              <w:pStyle w:val="TableBody0"/>
              <w:spacing w:line="312" w:lineRule="auto"/>
              <w:rPr>
                <w:lang w:eastAsia="ja-JP"/>
              </w:rPr>
            </w:pPr>
            <w:r w:rsidRPr="00A7665F">
              <w:t>11</w:t>
            </w:r>
          </w:p>
        </w:tc>
        <w:tc>
          <w:tcPr>
            <w:tcW w:w="2171" w:type="pct"/>
          </w:tcPr>
          <w:p w14:paraId="078F6EA7" w14:textId="6E6F475F" w:rsidR="000A08F6" w:rsidRPr="00A7665F" w:rsidRDefault="000A08F6" w:rsidP="008401D4">
            <w:pPr>
              <w:pStyle w:val="TableBody0"/>
              <w:spacing w:line="312" w:lineRule="auto"/>
              <w:rPr>
                <w:lang w:eastAsia="ja-JP"/>
              </w:rPr>
            </w:pPr>
            <w:r w:rsidRPr="00A7665F">
              <w:t>Commence</w:t>
            </w:r>
            <w:r>
              <w:t xml:space="preserve"> </w:t>
            </w:r>
            <w:r w:rsidRPr="00A7665F">
              <w:t>facilitating</w:t>
            </w:r>
            <w:r>
              <w:t xml:space="preserve"> </w:t>
            </w:r>
            <w:r w:rsidRPr="00A7665F">
              <w:t>a scheduled plan</w:t>
            </w:r>
            <w:r>
              <w:t xml:space="preserve"> </w:t>
            </w:r>
            <w:r w:rsidRPr="00A7665F">
              <w:t>reassessment, prior to the scheduled reassessment date</w:t>
            </w:r>
          </w:p>
        </w:tc>
        <w:tc>
          <w:tcPr>
            <w:tcW w:w="489" w:type="pct"/>
          </w:tcPr>
          <w:p w14:paraId="2494C07B" w14:textId="3E11F2F6" w:rsidR="000A08F6" w:rsidRPr="00A7665F" w:rsidRDefault="000A08F6" w:rsidP="008401D4">
            <w:pPr>
              <w:pStyle w:val="TableBody0"/>
              <w:spacing w:line="312" w:lineRule="auto"/>
              <w:rPr>
                <w:lang w:eastAsia="ja-JP"/>
              </w:rPr>
            </w:pPr>
            <w:r w:rsidRPr="00A7665F">
              <w:t>1 day</w:t>
            </w:r>
          </w:p>
        </w:tc>
        <w:tc>
          <w:tcPr>
            <w:tcW w:w="500" w:type="pct"/>
          </w:tcPr>
          <w:p w14:paraId="79A8F0EB" w14:textId="51A28D20" w:rsidR="000A08F6" w:rsidRPr="00A7665F" w:rsidRDefault="009B3E4D" w:rsidP="008401D4">
            <w:pPr>
              <w:pStyle w:val="TableBody0"/>
              <w:spacing w:line="312" w:lineRule="auto"/>
              <w:jc w:val="right"/>
            </w:pPr>
            <w:r w:rsidRPr="00785389">
              <w:t>5</w:t>
            </w:r>
            <w:r>
              <w:t>1</w:t>
            </w:r>
            <w:r w:rsidR="000A08F6" w:rsidRPr="00785389">
              <w:t>% </w:t>
            </w:r>
          </w:p>
        </w:tc>
        <w:tc>
          <w:tcPr>
            <w:tcW w:w="500" w:type="pct"/>
          </w:tcPr>
          <w:p w14:paraId="612F5716" w14:textId="640CE295" w:rsidR="000A08F6" w:rsidRPr="00A7665F" w:rsidRDefault="000A08F6" w:rsidP="008401D4">
            <w:pPr>
              <w:pStyle w:val="TableBody0"/>
              <w:spacing w:line="312" w:lineRule="auto"/>
              <w:jc w:val="right"/>
            </w:pPr>
            <w:r w:rsidRPr="00A7665F">
              <w:t>53%</w:t>
            </w:r>
          </w:p>
        </w:tc>
        <w:tc>
          <w:tcPr>
            <w:tcW w:w="500" w:type="pct"/>
          </w:tcPr>
          <w:p w14:paraId="702CE099" w14:textId="5D5D65CA" w:rsidR="000A08F6" w:rsidRPr="00A7665F" w:rsidRDefault="000A08F6" w:rsidP="008401D4">
            <w:pPr>
              <w:pStyle w:val="TableBody0"/>
              <w:spacing w:line="312" w:lineRule="auto"/>
              <w:jc w:val="right"/>
            </w:pPr>
            <w:r w:rsidRPr="00A7665F">
              <w:t>47%</w:t>
            </w:r>
          </w:p>
        </w:tc>
        <w:tc>
          <w:tcPr>
            <w:tcW w:w="500" w:type="pct"/>
          </w:tcPr>
          <w:p w14:paraId="04B14638" w14:textId="6316D34B" w:rsidR="000A08F6" w:rsidRPr="00A7665F" w:rsidRDefault="000A08F6" w:rsidP="008401D4">
            <w:pPr>
              <w:pStyle w:val="TableBody0"/>
              <w:spacing w:line="312" w:lineRule="auto"/>
              <w:jc w:val="right"/>
            </w:pPr>
            <w:r w:rsidRPr="00A7665F">
              <w:t>45%</w:t>
            </w:r>
          </w:p>
        </w:tc>
      </w:tr>
      <w:tr w:rsidR="000A08F6" w:rsidRPr="00A7665F" w14:paraId="3945C766" w14:textId="77777777" w:rsidTr="009C4843">
        <w:trPr>
          <w:cnfStyle w:val="000000010000" w:firstRow="0" w:lastRow="0" w:firstColumn="0" w:lastColumn="0" w:oddVBand="0" w:evenVBand="0" w:oddHBand="0" w:evenHBand="1" w:firstRowFirstColumn="0" w:firstRowLastColumn="0" w:lastRowFirstColumn="0" w:lastRowLastColumn="0"/>
          <w:cantSplit/>
        </w:trPr>
        <w:tc>
          <w:tcPr>
            <w:tcW w:w="339" w:type="pct"/>
          </w:tcPr>
          <w:p w14:paraId="5FACFD79" w14:textId="7DB4C713" w:rsidR="000A08F6" w:rsidRPr="00A7665F" w:rsidRDefault="000A08F6" w:rsidP="008401D4">
            <w:pPr>
              <w:pStyle w:val="TableBody0"/>
              <w:spacing w:line="312" w:lineRule="auto"/>
              <w:rPr>
                <w:lang w:eastAsia="ja-JP"/>
              </w:rPr>
            </w:pPr>
            <w:r w:rsidRPr="00A7665F">
              <w:t>12</w:t>
            </w:r>
          </w:p>
        </w:tc>
        <w:tc>
          <w:tcPr>
            <w:tcW w:w="2171" w:type="pct"/>
          </w:tcPr>
          <w:p w14:paraId="0A84F7D5" w14:textId="1B461426" w:rsidR="000A08F6" w:rsidRPr="00A7665F" w:rsidRDefault="000A08F6" w:rsidP="008401D4">
            <w:pPr>
              <w:pStyle w:val="TableBody0"/>
              <w:spacing w:line="312" w:lineRule="auto"/>
              <w:rPr>
                <w:lang w:eastAsia="ja-JP"/>
              </w:rPr>
            </w:pPr>
            <w:r w:rsidRPr="00A7665F">
              <w:t>Decide whether to undertake a participant requested plan reassessment, after the request is received</w:t>
            </w:r>
          </w:p>
        </w:tc>
        <w:tc>
          <w:tcPr>
            <w:tcW w:w="489" w:type="pct"/>
          </w:tcPr>
          <w:p w14:paraId="2A2456EF" w14:textId="6A7FAD2D" w:rsidR="000A08F6" w:rsidRPr="00A7665F" w:rsidRDefault="000A08F6" w:rsidP="008401D4">
            <w:pPr>
              <w:pStyle w:val="TableBody0"/>
              <w:spacing w:line="312" w:lineRule="auto"/>
              <w:rPr>
                <w:lang w:eastAsia="ja-JP"/>
              </w:rPr>
            </w:pPr>
            <w:r w:rsidRPr="00A7665F">
              <w:t>21 days</w:t>
            </w:r>
          </w:p>
        </w:tc>
        <w:tc>
          <w:tcPr>
            <w:tcW w:w="500" w:type="pct"/>
          </w:tcPr>
          <w:p w14:paraId="4F27DD46" w14:textId="3F237A1B" w:rsidR="000A08F6" w:rsidRPr="00A7665F" w:rsidRDefault="009B3E4D" w:rsidP="008401D4">
            <w:pPr>
              <w:pStyle w:val="TableBody0"/>
              <w:spacing w:line="312" w:lineRule="auto"/>
              <w:jc w:val="right"/>
            </w:pPr>
            <w:r w:rsidRPr="00785389">
              <w:t>26</w:t>
            </w:r>
            <w:r w:rsidR="000A08F6" w:rsidRPr="00785389">
              <w:t>% </w:t>
            </w:r>
          </w:p>
        </w:tc>
        <w:tc>
          <w:tcPr>
            <w:tcW w:w="500" w:type="pct"/>
          </w:tcPr>
          <w:p w14:paraId="4760A716" w14:textId="4F1020B8" w:rsidR="000A08F6" w:rsidRPr="00A7665F" w:rsidRDefault="000A08F6" w:rsidP="008401D4">
            <w:pPr>
              <w:pStyle w:val="TableBody0"/>
              <w:spacing w:line="312" w:lineRule="auto"/>
              <w:jc w:val="right"/>
            </w:pPr>
            <w:r w:rsidRPr="00A7665F">
              <w:t>31%</w:t>
            </w:r>
          </w:p>
        </w:tc>
        <w:tc>
          <w:tcPr>
            <w:tcW w:w="500" w:type="pct"/>
          </w:tcPr>
          <w:p w14:paraId="61F6DCF8" w14:textId="38C4148D" w:rsidR="000A08F6" w:rsidRPr="00A7665F" w:rsidRDefault="000A08F6" w:rsidP="008401D4">
            <w:pPr>
              <w:pStyle w:val="TableBody0"/>
              <w:spacing w:line="312" w:lineRule="auto"/>
              <w:jc w:val="right"/>
            </w:pPr>
            <w:r w:rsidRPr="00A7665F">
              <w:t>29%</w:t>
            </w:r>
          </w:p>
        </w:tc>
        <w:tc>
          <w:tcPr>
            <w:tcW w:w="500" w:type="pct"/>
          </w:tcPr>
          <w:p w14:paraId="5687F819" w14:textId="555539AA" w:rsidR="000A08F6" w:rsidRPr="00A7665F" w:rsidRDefault="000A08F6" w:rsidP="008401D4">
            <w:pPr>
              <w:pStyle w:val="TableBody0"/>
              <w:spacing w:line="312" w:lineRule="auto"/>
              <w:jc w:val="right"/>
            </w:pPr>
            <w:r w:rsidRPr="00A7665F">
              <w:t>32%</w:t>
            </w:r>
          </w:p>
        </w:tc>
      </w:tr>
      <w:tr w:rsidR="000A08F6" w:rsidRPr="00A7665F" w14:paraId="630F7431" w14:textId="77777777" w:rsidTr="009C4843">
        <w:trPr>
          <w:cnfStyle w:val="000000100000" w:firstRow="0" w:lastRow="0" w:firstColumn="0" w:lastColumn="0" w:oddVBand="0" w:evenVBand="0" w:oddHBand="1" w:evenHBand="0" w:firstRowFirstColumn="0" w:firstRowLastColumn="0" w:lastRowFirstColumn="0" w:lastRowLastColumn="0"/>
          <w:cantSplit/>
        </w:trPr>
        <w:tc>
          <w:tcPr>
            <w:tcW w:w="339" w:type="pct"/>
          </w:tcPr>
          <w:p w14:paraId="44FF789C" w14:textId="419223CC" w:rsidR="000A08F6" w:rsidRPr="00A7665F" w:rsidRDefault="000A08F6" w:rsidP="008401D4">
            <w:pPr>
              <w:pStyle w:val="TableBody0"/>
              <w:spacing w:line="312" w:lineRule="auto"/>
            </w:pPr>
            <w:r w:rsidRPr="00A7665F">
              <w:t>13</w:t>
            </w:r>
          </w:p>
        </w:tc>
        <w:tc>
          <w:tcPr>
            <w:tcW w:w="2171" w:type="pct"/>
          </w:tcPr>
          <w:p w14:paraId="17C2C95F" w14:textId="1E741850" w:rsidR="000A08F6" w:rsidRPr="00A7665F" w:rsidRDefault="000A08F6" w:rsidP="008401D4">
            <w:pPr>
              <w:pStyle w:val="TableBody0"/>
              <w:spacing w:line="312" w:lineRule="auto"/>
            </w:pPr>
            <w:r w:rsidRPr="00A7665F">
              <w:t>Complete a reassessment, after the decision to accept the request was made</w:t>
            </w:r>
          </w:p>
        </w:tc>
        <w:tc>
          <w:tcPr>
            <w:tcW w:w="489" w:type="pct"/>
          </w:tcPr>
          <w:p w14:paraId="26B40D0B" w14:textId="66D56850" w:rsidR="000A08F6" w:rsidRPr="00A7665F" w:rsidRDefault="000A08F6" w:rsidP="008401D4">
            <w:pPr>
              <w:pStyle w:val="TableBody0"/>
              <w:spacing w:line="312" w:lineRule="auto"/>
            </w:pPr>
            <w:r w:rsidRPr="00A7665F">
              <w:t>28 days</w:t>
            </w:r>
          </w:p>
        </w:tc>
        <w:tc>
          <w:tcPr>
            <w:tcW w:w="500" w:type="pct"/>
          </w:tcPr>
          <w:p w14:paraId="64651611" w14:textId="240FA832" w:rsidR="000A08F6" w:rsidRPr="00A7665F" w:rsidRDefault="009B3E4D" w:rsidP="008401D4">
            <w:pPr>
              <w:pStyle w:val="TableBody0"/>
              <w:spacing w:line="312" w:lineRule="auto"/>
              <w:jc w:val="right"/>
            </w:pPr>
            <w:r w:rsidRPr="00785389">
              <w:t>8</w:t>
            </w:r>
            <w:r>
              <w:t>3</w:t>
            </w:r>
            <w:r w:rsidR="000A08F6" w:rsidRPr="00785389">
              <w:t>% </w:t>
            </w:r>
          </w:p>
        </w:tc>
        <w:tc>
          <w:tcPr>
            <w:tcW w:w="500" w:type="pct"/>
          </w:tcPr>
          <w:p w14:paraId="150C776D" w14:textId="07B4458F" w:rsidR="000A08F6" w:rsidRPr="00A7665F" w:rsidRDefault="000A08F6" w:rsidP="008401D4">
            <w:pPr>
              <w:pStyle w:val="TableBody0"/>
              <w:spacing w:line="312" w:lineRule="auto"/>
              <w:jc w:val="right"/>
            </w:pPr>
            <w:r w:rsidRPr="00A7665F">
              <w:t>83%</w:t>
            </w:r>
          </w:p>
        </w:tc>
        <w:tc>
          <w:tcPr>
            <w:tcW w:w="500" w:type="pct"/>
          </w:tcPr>
          <w:p w14:paraId="1A4E3DA2" w14:textId="29DD25B0" w:rsidR="000A08F6" w:rsidRPr="00A7665F" w:rsidRDefault="000A08F6" w:rsidP="008401D4">
            <w:pPr>
              <w:pStyle w:val="TableBody0"/>
              <w:spacing w:line="312" w:lineRule="auto"/>
              <w:jc w:val="right"/>
            </w:pPr>
            <w:r w:rsidRPr="00A7665F">
              <w:t>87%</w:t>
            </w:r>
          </w:p>
        </w:tc>
        <w:tc>
          <w:tcPr>
            <w:tcW w:w="500" w:type="pct"/>
          </w:tcPr>
          <w:p w14:paraId="469F29B2" w14:textId="23FBA742" w:rsidR="000A08F6" w:rsidRPr="00A7665F" w:rsidRDefault="000A08F6" w:rsidP="008401D4">
            <w:pPr>
              <w:pStyle w:val="TableBody0"/>
              <w:spacing w:line="312" w:lineRule="auto"/>
              <w:jc w:val="right"/>
            </w:pPr>
            <w:r w:rsidRPr="00A7665F">
              <w:t>86%</w:t>
            </w:r>
          </w:p>
        </w:tc>
      </w:tr>
      <w:tr w:rsidR="000A08F6" w:rsidRPr="00A7665F" w14:paraId="37F61332" w14:textId="77777777" w:rsidTr="009C4843">
        <w:trPr>
          <w:cnfStyle w:val="000000010000" w:firstRow="0" w:lastRow="0" w:firstColumn="0" w:lastColumn="0" w:oddVBand="0" w:evenVBand="0" w:oddHBand="0" w:evenHBand="1" w:firstRowFirstColumn="0" w:firstRowLastColumn="0" w:lastRowFirstColumn="0" w:lastRowLastColumn="0"/>
          <w:cantSplit/>
        </w:trPr>
        <w:tc>
          <w:tcPr>
            <w:tcW w:w="339" w:type="pct"/>
          </w:tcPr>
          <w:p w14:paraId="62E97688" w14:textId="084C4C0C" w:rsidR="000A08F6" w:rsidRPr="00A7665F" w:rsidRDefault="000A08F6" w:rsidP="008401D4">
            <w:pPr>
              <w:pStyle w:val="TableBody0"/>
              <w:spacing w:line="312" w:lineRule="auto"/>
            </w:pPr>
            <w:r w:rsidRPr="00A7665F">
              <w:t>14</w:t>
            </w:r>
          </w:p>
        </w:tc>
        <w:tc>
          <w:tcPr>
            <w:tcW w:w="2171" w:type="pct"/>
          </w:tcPr>
          <w:p w14:paraId="31752D7A" w14:textId="720E1D42" w:rsidR="000A08F6" w:rsidRPr="00A7665F" w:rsidRDefault="000A08F6" w:rsidP="008401D4">
            <w:pPr>
              <w:pStyle w:val="TableBody0"/>
              <w:spacing w:line="312" w:lineRule="auto"/>
            </w:pPr>
            <w:r w:rsidRPr="00A7665F">
              <w:t>Amend a plan, after the receipt of information that triggers the plan amendment process</w:t>
            </w:r>
          </w:p>
        </w:tc>
        <w:tc>
          <w:tcPr>
            <w:tcW w:w="489" w:type="pct"/>
          </w:tcPr>
          <w:p w14:paraId="775E74A3" w14:textId="22854FF5" w:rsidR="000A08F6" w:rsidRPr="00A7665F" w:rsidRDefault="000A08F6" w:rsidP="008401D4">
            <w:pPr>
              <w:pStyle w:val="TableBody0"/>
              <w:spacing w:line="312" w:lineRule="auto"/>
            </w:pPr>
            <w:r w:rsidRPr="00A7665F">
              <w:t>28 days</w:t>
            </w:r>
          </w:p>
        </w:tc>
        <w:tc>
          <w:tcPr>
            <w:tcW w:w="500" w:type="pct"/>
          </w:tcPr>
          <w:p w14:paraId="7DAD90D0" w14:textId="6F5941E4" w:rsidR="000A08F6" w:rsidRPr="00A7665F" w:rsidRDefault="009B3E4D" w:rsidP="008401D4">
            <w:pPr>
              <w:pStyle w:val="TableBody0"/>
              <w:spacing w:line="312" w:lineRule="auto"/>
              <w:jc w:val="right"/>
            </w:pPr>
            <w:r w:rsidRPr="00785389">
              <w:t>4</w:t>
            </w:r>
            <w:r>
              <w:t>4</w:t>
            </w:r>
            <w:r w:rsidR="000A08F6" w:rsidRPr="00785389">
              <w:t>% </w:t>
            </w:r>
          </w:p>
        </w:tc>
        <w:tc>
          <w:tcPr>
            <w:tcW w:w="500" w:type="pct"/>
          </w:tcPr>
          <w:p w14:paraId="069988A8" w14:textId="4E41CA81" w:rsidR="000A08F6" w:rsidRPr="00A7665F" w:rsidRDefault="000A08F6" w:rsidP="008401D4">
            <w:pPr>
              <w:pStyle w:val="TableBody0"/>
              <w:spacing w:line="312" w:lineRule="auto"/>
              <w:jc w:val="right"/>
            </w:pPr>
            <w:r w:rsidRPr="00A7665F">
              <w:t>44%</w:t>
            </w:r>
          </w:p>
        </w:tc>
        <w:tc>
          <w:tcPr>
            <w:tcW w:w="500" w:type="pct"/>
          </w:tcPr>
          <w:p w14:paraId="4B1C49B5" w14:textId="4D02884F" w:rsidR="000A08F6" w:rsidRPr="00A7665F" w:rsidRDefault="000A08F6" w:rsidP="008401D4">
            <w:pPr>
              <w:pStyle w:val="TableBody0"/>
              <w:spacing w:line="312" w:lineRule="auto"/>
              <w:jc w:val="right"/>
            </w:pPr>
            <w:r w:rsidRPr="00A7665F">
              <w:t>39%</w:t>
            </w:r>
          </w:p>
        </w:tc>
        <w:tc>
          <w:tcPr>
            <w:tcW w:w="500" w:type="pct"/>
          </w:tcPr>
          <w:p w14:paraId="174472D5" w14:textId="7534298B" w:rsidR="000A08F6" w:rsidRPr="00A7665F" w:rsidRDefault="000A08F6" w:rsidP="008401D4">
            <w:pPr>
              <w:pStyle w:val="TableBody0"/>
              <w:spacing w:line="312" w:lineRule="auto"/>
              <w:jc w:val="right"/>
            </w:pPr>
            <w:r w:rsidRPr="00A7665F">
              <w:t>44%</w:t>
            </w:r>
          </w:p>
        </w:tc>
      </w:tr>
      <w:tr w:rsidR="000A08F6" w:rsidRPr="00A7665F" w14:paraId="2FBE2B54" w14:textId="77777777" w:rsidTr="009C4843">
        <w:trPr>
          <w:cnfStyle w:val="000000100000" w:firstRow="0" w:lastRow="0" w:firstColumn="0" w:lastColumn="0" w:oddVBand="0" w:evenVBand="0" w:oddHBand="1" w:evenHBand="0" w:firstRowFirstColumn="0" w:firstRowLastColumn="0" w:lastRowFirstColumn="0" w:lastRowLastColumn="0"/>
          <w:cantSplit/>
        </w:trPr>
        <w:tc>
          <w:tcPr>
            <w:tcW w:w="339" w:type="pct"/>
          </w:tcPr>
          <w:p w14:paraId="764B3961" w14:textId="6D2ABA72" w:rsidR="000A08F6" w:rsidRPr="00A7665F" w:rsidRDefault="000A08F6" w:rsidP="008401D4">
            <w:pPr>
              <w:pStyle w:val="TableBody0"/>
              <w:spacing w:line="312" w:lineRule="auto"/>
            </w:pPr>
            <w:r w:rsidRPr="00A7665F">
              <w:rPr>
                <w:color w:val="000000"/>
              </w:rPr>
              <w:t>16</w:t>
            </w:r>
          </w:p>
        </w:tc>
        <w:tc>
          <w:tcPr>
            <w:tcW w:w="2171" w:type="pct"/>
          </w:tcPr>
          <w:p w14:paraId="3EE544BC" w14:textId="1B3F987C" w:rsidR="000A08F6" w:rsidRPr="00A7665F" w:rsidRDefault="000A08F6" w:rsidP="008401D4">
            <w:pPr>
              <w:pStyle w:val="TableBody0"/>
              <w:spacing w:line="312" w:lineRule="auto"/>
            </w:pPr>
            <w:r w:rsidRPr="00A7665F">
              <w:rPr>
                <w:color w:val="000000"/>
              </w:rPr>
              <w:t>Provide a copy of the plan to a participant, after the plan is amended</w:t>
            </w:r>
          </w:p>
        </w:tc>
        <w:tc>
          <w:tcPr>
            <w:tcW w:w="489" w:type="pct"/>
          </w:tcPr>
          <w:p w14:paraId="7C8ABBEE" w14:textId="71C98444" w:rsidR="000A08F6" w:rsidRPr="00A7665F" w:rsidRDefault="000A08F6" w:rsidP="008401D4">
            <w:pPr>
              <w:pStyle w:val="TableBody0"/>
              <w:spacing w:line="312" w:lineRule="auto"/>
            </w:pPr>
            <w:r w:rsidRPr="00A7665F">
              <w:rPr>
                <w:color w:val="000000"/>
              </w:rPr>
              <w:t>7 days</w:t>
            </w:r>
          </w:p>
        </w:tc>
        <w:tc>
          <w:tcPr>
            <w:tcW w:w="500" w:type="pct"/>
          </w:tcPr>
          <w:p w14:paraId="71589F48" w14:textId="5AE41FE2" w:rsidR="000A08F6" w:rsidRPr="00A7665F" w:rsidRDefault="009B3E4D" w:rsidP="008401D4">
            <w:pPr>
              <w:pStyle w:val="TableBody0"/>
              <w:spacing w:line="312" w:lineRule="auto"/>
              <w:jc w:val="right"/>
            </w:pPr>
            <w:r w:rsidRPr="00C43679">
              <w:rPr>
                <w:color w:val="000000"/>
              </w:rPr>
              <w:t>99</w:t>
            </w:r>
            <w:r w:rsidR="000A08F6" w:rsidRPr="00C43679">
              <w:rPr>
                <w:color w:val="000000"/>
              </w:rPr>
              <w:t>% </w:t>
            </w:r>
          </w:p>
        </w:tc>
        <w:tc>
          <w:tcPr>
            <w:tcW w:w="500" w:type="pct"/>
          </w:tcPr>
          <w:p w14:paraId="6FE376E1" w14:textId="7CA8129D" w:rsidR="000A08F6" w:rsidRPr="00A7665F" w:rsidRDefault="000A08F6" w:rsidP="008401D4">
            <w:pPr>
              <w:pStyle w:val="TableBody0"/>
              <w:spacing w:line="312" w:lineRule="auto"/>
              <w:jc w:val="right"/>
            </w:pPr>
            <w:r w:rsidRPr="00A7665F">
              <w:rPr>
                <w:color w:val="000000"/>
              </w:rPr>
              <w:t>99%</w:t>
            </w:r>
          </w:p>
        </w:tc>
        <w:tc>
          <w:tcPr>
            <w:tcW w:w="500" w:type="pct"/>
          </w:tcPr>
          <w:p w14:paraId="04547AF8" w14:textId="56DF185B" w:rsidR="000A08F6" w:rsidRPr="00A7665F" w:rsidRDefault="000A08F6" w:rsidP="008401D4">
            <w:pPr>
              <w:pStyle w:val="TableBody0"/>
              <w:spacing w:line="312" w:lineRule="auto"/>
              <w:jc w:val="right"/>
            </w:pPr>
            <w:r w:rsidRPr="00A7665F">
              <w:rPr>
                <w:color w:val="000000"/>
              </w:rPr>
              <w:t>99%</w:t>
            </w:r>
          </w:p>
        </w:tc>
        <w:tc>
          <w:tcPr>
            <w:tcW w:w="500" w:type="pct"/>
          </w:tcPr>
          <w:p w14:paraId="37FE3EDB" w14:textId="47B636B2" w:rsidR="000A08F6" w:rsidRPr="00A7665F" w:rsidRDefault="000A08F6" w:rsidP="008401D4">
            <w:pPr>
              <w:pStyle w:val="TableBody0"/>
              <w:spacing w:line="312" w:lineRule="auto"/>
              <w:jc w:val="right"/>
            </w:pPr>
            <w:r w:rsidRPr="00A7665F">
              <w:rPr>
                <w:color w:val="000000"/>
              </w:rPr>
              <w:t>99%</w:t>
            </w:r>
          </w:p>
        </w:tc>
      </w:tr>
      <w:tr w:rsidR="000A08F6" w:rsidRPr="00A7665F" w14:paraId="2DAD99D7" w14:textId="77777777" w:rsidTr="009C4843">
        <w:trPr>
          <w:cnfStyle w:val="000000010000" w:firstRow="0" w:lastRow="0" w:firstColumn="0" w:lastColumn="0" w:oddVBand="0" w:evenVBand="0" w:oddHBand="0" w:evenHBand="1" w:firstRowFirstColumn="0" w:firstRowLastColumn="0" w:lastRowFirstColumn="0" w:lastRowLastColumn="0"/>
          <w:cantSplit/>
        </w:trPr>
        <w:tc>
          <w:tcPr>
            <w:tcW w:w="339" w:type="pct"/>
          </w:tcPr>
          <w:p w14:paraId="2D911234" w14:textId="345D2A20" w:rsidR="000A08F6" w:rsidRPr="00A7665F" w:rsidRDefault="000A08F6" w:rsidP="008401D4">
            <w:pPr>
              <w:pStyle w:val="TableBody0"/>
              <w:spacing w:line="312" w:lineRule="auto"/>
            </w:pPr>
            <w:r w:rsidRPr="00A7665F">
              <w:t>17a</w:t>
            </w:r>
          </w:p>
        </w:tc>
        <w:tc>
          <w:tcPr>
            <w:tcW w:w="2171" w:type="pct"/>
          </w:tcPr>
          <w:p w14:paraId="317422D1" w14:textId="3A323954" w:rsidR="000A08F6" w:rsidRPr="00A7665F" w:rsidRDefault="000A08F6" w:rsidP="008401D4">
            <w:pPr>
              <w:pStyle w:val="TableBody0"/>
              <w:spacing w:line="312" w:lineRule="auto"/>
            </w:pPr>
            <w:r w:rsidRPr="00A7665F">
              <w:t>Complete an internal review of a</w:t>
            </w:r>
            <w:r>
              <w:t xml:space="preserve"> </w:t>
            </w:r>
            <w:r w:rsidRPr="00A7665F">
              <w:t>reviewable</w:t>
            </w:r>
            <w:r>
              <w:t xml:space="preserve"> </w:t>
            </w:r>
            <w:r w:rsidRPr="00A7665F">
              <w:t>decision, after a request is received</w:t>
            </w:r>
          </w:p>
        </w:tc>
        <w:tc>
          <w:tcPr>
            <w:tcW w:w="489" w:type="pct"/>
          </w:tcPr>
          <w:p w14:paraId="4F68822B" w14:textId="33CE1BB1" w:rsidR="000A08F6" w:rsidRPr="00A7665F" w:rsidRDefault="000A08F6" w:rsidP="008401D4">
            <w:pPr>
              <w:pStyle w:val="TableBody0"/>
              <w:spacing w:line="312" w:lineRule="auto"/>
            </w:pPr>
            <w:r w:rsidRPr="00A7665F">
              <w:t>60 days</w:t>
            </w:r>
          </w:p>
        </w:tc>
        <w:tc>
          <w:tcPr>
            <w:tcW w:w="500" w:type="pct"/>
          </w:tcPr>
          <w:p w14:paraId="77568814" w14:textId="0509166B" w:rsidR="000A08F6" w:rsidRPr="00A7665F" w:rsidRDefault="009B3E4D" w:rsidP="008401D4">
            <w:pPr>
              <w:pStyle w:val="TableBody0"/>
              <w:spacing w:line="312" w:lineRule="auto"/>
              <w:jc w:val="right"/>
            </w:pPr>
            <w:r>
              <w:t>70</w:t>
            </w:r>
            <w:r w:rsidR="000A08F6" w:rsidRPr="00785389">
              <w:t>% </w:t>
            </w:r>
          </w:p>
        </w:tc>
        <w:tc>
          <w:tcPr>
            <w:tcW w:w="500" w:type="pct"/>
          </w:tcPr>
          <w:p w14:paraId="4DAF6D03" w14:textId="48ADB46D" w:rsidR="000A08F6" w:rsidRPr="00A7665F" w:rsidRDefault="000A08F6" w:rsidP="008401D4">
            <w:pPr>
              <w:pStyle w:val="TableBody0"/>
              <w:spacing w:line="312" w:lineRule="auto"/>
              <w:jc w:val="right"/>
            </w:pPr>
            <w:r w:rsidRPr="00A7665F">
              <w:t>44%</w:t>
            </w:r>
          </w:p>
        </w:tc>
        <w:tc>
          <w:tcPr>
            <w:tcW w:w="500" w:type="pct"/>
          </w:tcPr>
          <w:p w14:paraId="5DF5EEC5" w14:textId="4AEFA438" w:rsidR="000A08F6" w:rsidRPr="00A7665F" w:rsidRDefault="000A08F6" w:rsidP="008401D4">
            <w:pPr>
              <w:pStyle w:val="TableBody0"/>
              <w:spacing w:line="312" w:lineRule="auto"/>
              <w:jc w:val="right"/>
            </w:pPr>
            <w:r w:rsidRPr="00A7665F">
              <w:t>34%</w:t>
            </w:r>
          </w:p>
        </w:tc>
        <w:tc>
          <w:tcPr>
            <w:tcW w:w="500" w:type="pct"/>
          </w:tcPr>
          <w:p w14:paraId="3ED5DDDF" w14:textId="667BE463" w:rsidR="000A08F6" w:rsidRPr="00A7665F" w:rsidRDefault="000A08F6" w:rsidP="008401D4">
            <w:pPr>
              <w:pStyle w:val="TableBody0"/>
              <w:spacing w:line="312" w:lineRule="auto"/>
              <w:jc w:val="right"/>
            </w:pPr>
            <w:r w:rsidRPr="00A7665F">
              <w:t>48%</w:t>
            </w:r>
          </w:p>
        </w:tc>
      </w:tr>
      <w:tr w:rsidR="000A08F6" w:rsidRPr="00A7665F" w14:paraId="3F673720" w14:textId="77777777" w:rsidTr="009C4843">
        <w:trPr>
          <w:cnfStyle w:val="000000100000" w:firstRow="0" w:lastRow="0" w:firstColumn="0" w:lastColumn="0" w:oddVBand="0" w:evenVBand="0" w:oddHBand="1" w:evenHBand="0" w:firstRowFirstColumn="0" w:firstRowLastColumn="0" w:lastRowFirstColumn="0" w:lastRowLastColumn="0"/>
          <w:cantSplit/>
        </w:trPr>
        <w:tc>
          <w:tcPr>
            <w:tcW w:w="339" w:type="pct"/>
          </w:tcPr>
          <w:p w14:paraId="77F3A12C" w14:textId="39F5A752" w:rsidR="000A08F6" w:rsidRPr="00A7665F" w:rsidRDefault="000A08F6" w:rsidP="008401D4">
            <w:pPr>
              <w:pStyle w:val="TableBody0"/>
              <w:spacing w:line="312" w:lineRule="auto"/>
              <w:rPr>
                <w:lang w:eastAsia="ja-JP"/>
              </w:rPr>
            </w:pPr>
            <w:r w:rsidRPr="00A7665F">
              <w:rPr>
                <w:color w:val="000000"/>
              </w:rPr>
              <w:t>17b</w:t>
            </w:r>
          </w:p>
        </w:tc>
        <w:tc>
          <w:tcPr>
            <w:tcW w:w="2171" w:type="pct"/>
          </w:tcPr>
          <w:p w14:paraId="587B0D8B" w14:textId="2020CA36" w:rsidR="000A08F6" w:rsidRPr="00A7665F" w:rsidRDefault="000A08F6" w:rsidP="008401D4">
            <w:pPr>
              <w:pStyle w:val="TableBody0"/>
              <w:spacing w:line="312" w:lineRule="auto"/>
              <w:rPr>
                <w:lang w:eastAsia="ja-JP"/>
              </w:rPr>
            </w:pPr>
            <w:r w:rsidRPr="00A7665F">
              <w:rPr>
                <w:color w:val="000000"/>
              </w:rPr>
              <w:t>Enact outcome of a reviewable decision, once decision has been made</w:t>
            </w:r>
          </w:p>
        </w:tc>
        <w:tc>
          <w:tcPr>
            <w:tcW w:w="489" w:type="pct"/>
          </w:tcPr>
          <w:p w14:paraId="03C37161" w14:textId="24FA2FCB" w:rsidR="000A08F6" w:rsidRPr="00A7665F" w:rsidRDefault="000A08F6" w:rsidP="008401D4">
            <w:pPr>
              <w:pStyle w:val="TableBody0"/>
              <w:spacing w:line="312" w:lineRule="auto"/>
              <w:rPr>
                <w:lang w:eastAsia="ja-JP"/>
              </w:rPr>
            </w:pPr>
            <w:r w:rsidRPr="00A7665F">
              <w:rPr>
                <w:color w:val="000000"/>
              </w:rPr>
              <w:t>28 days</w:t>
            </w:r>
          </w:p>
        </w:tc>
        <w:tc>
          <w:tcPr>
            <w:tcW w:w="500" w:type="pct"/>
          </w:tcPr>
          <w:p w14:paraId="7BE14E95" w14:textId="2D083EBD" w:rsidR="000A08F6" w:rsidRPr="00A7665F" w:rsidRDefault="009B3E4D" w:rsidP="008401D4">
            <w:pPr>
              <w:pStyle w:val="TableBody0"/>
              <w:spacing w:line="312" w:lineRule="auto"/>
              <w:jc w:val="right"/>
            </w:pPr>
            <w:r w:rsidRPr="00C43679">
              <w:rPr>
                <w:color w:val="000000"/>
              </w:rPr>
              <w:t>97</w:t>
            </w:r>
            <w:r w:rsidR="000A08F6" w:rsidRPr="00C43679">
              <w:rPr>
                <w:color w:val="000000"/>
              </w:rPr>
              <w:t>% </w:t>
            </w:r>
          </w:p>
        </w:tc>
        <w:tc>
          <w:tcPr>
            <w:tcW w:w="500" w:type="pct"/>
          </w:tcPr>
          <w:p w14:paraId="0D909AC0" w14:textId="305B90C8" w:rsidR="000A08F6" w:rsidRPr="00A7665F" w:rsidRDefault="000A08F6" w:rsidP="008401D4">
            <w:pPr>
              <w:pStyle w:val="TableBody0"/>
              <w:spacing w:line="312" w:lineRule="auto"/>
              <w:jc w:val="right"/>
            </w:pPr>
            <w:r w:rsidRPr="00A7665F">
              <w:rPr>
                <w:color w:val="000000"/>
              </w:rPr>
              <w:t>98%</w:t>
            </w:r>
          </w:p>
        </w:tc>
        <w:tc>
          <w:tcPr>
            <w:tcW w:w="500" w:type="pct"/>
          </w:tcPr>
          <w:p w14:paraId="7F8D6B86" w14:textId="43CE245E" w:rsidR="000A08F6" w:rsidRPr="00A7665F" w:rsidRDefault="000A08F6" w:rsidP="008401D4">
            <w:pPr>
              <w:pStyle w:val="TableBody0"/>
              <w:spacing w:line="312" w:lineRule="auto"/>
              <w:jc w:val="right"/>
            </w:pPr>
            <w:r w:rsidRPr="00A7665F">
              <w:rPr>
                <w:color w:val="000000"/>
              </w:rPr>
              <w:t>98%</w:t>
            </w:r>
          </w:p>
        </w:tc>
        <w:tc>
          <w:tcPr>
            <w:tcW w:w="500" w:type="pct"/>
          </w:tcPr>
          <w:p w14:paraId="6F62E139" w14:textId="56561093" w:rsidR="000A08F6" w:rsidRPr="00A7665F" w:rsidRDefault="000A08F6" w:rsidP="008401D4">
            <w:pPr>
              <w:pStyle w:val="TableBody0"/>
              <w:spacing w:line="312" w:lineRule="auto"/>
              <w:jc w:val="right"/>
            </w:pPr>
            <w:r w:rsidRPr="00A7665F">
              <w:rPr>
                <w:color w:val="000000"/>
              </w:rPr>
              <w:t>99%</w:t>
            </w:r>
          </w:p>
        </w:tc>
      </w:tr>
      <w:tr w:rsidR="000A08F6" w:rsidRPr="00A7665F" w14:paraId="2921A03A" w14:textId="77777777" w:rsidTr="009C4843">
        <w:trPr>
          <w:cnfStyle w:val="000000010000" w:firstRow="0" w:lastRow="0" w:firstColumn="0" w:lastColumn="0" w:oddVBand="0" w:evenVBand="0" w:oddHBand="0" w:evenHBand="1" w:firstRowFirstColumn="0" w:firstRowLastColumn="0" w:lastRowFirstColumn="0" w:lastRowLastColumn="0"/>
          <w:cantSplit/>
        </w:trPr>
        <w:tc>
          <w:tcPr>
            <w:tcW w:w="339" w:type="pct"/>
          </w:tcPr>
          <w:p w14:paraId="75BAA45B" w14:textId="3EC6BCDB" w:rsidR="000A08F6" w:rsidRPr="00A7665F" w:rsidRDefault="000A08F6" w:rsidP="008401D4">
            <w:pPr>
              <w:pStyle w:val="TableBody0"/>
              <w:spacing w:line="312" w:lineRule="auto"/>
              <w:rPr>
                <w:lang w:eastAsia="ja-JP"/>
              </w:rPr>
            </w:pPr>
            <w:r w:rsidRPr="00A7665F">
              <w:t>18</w:t>
            </w:r>
          </w:p>
        </w:tc>
        <w:tc>
          <w:tcPr>
            <w:tcW w:w="2171" w:type="pct"/>
          </w:tcPr>
          <w:p w14:paraId="1440402E" w14:textId="014AEFF9" w:rsidR="000A08F6" w:rsidRPr="00A7665F" w:rsidRDefault="000A08F6" w:rsidP="008401D4">
            <w:pPr>
              <w:pStyle w:val="TableBody0"/>
              <w:spacing w:line="312" w:lineRule="auto"/>
              <w:rPr>
                <w:lang w:eastAsia="ja-JP"/>
              </w:rPr>
            </w:pPr>
            <w:r w:rsidRPr="00A7665F">
              <w:t>Implement an A</w:t>
            </w:r>
            <w:r w:rsidR="00F264F4">
              <w:t xml:space="preserve">dministrative </w:t>
            </w:r>
            <w:r w:rsidRPr="00A7665F">
              <w:t>A</w:t>
            </w:r>
            <w:r w:rsidR="00F264F4">
              <w:t>ppeal</w:t>
            </w:r>
            <w:r w:rsidR="00115A30">
              <w:t>s</w:t>
            </w:r>
            <w:r w:rsidR="00F264F4">
              <w:t xml:space="preserve"> </w:t>
            </w:r>
            <w:r w:rsidRPr="00A7665F">
              <w:t>T</w:t>
            </w:r>
            <w:r w:rsidR="00F264F4">
              <w:t>ribunal (AAT)</w:t>
            </w:r>
            <w:r w:rsidR="00F264F4" w:rsidRPr="00300F34">
              <w:rPr>
                <w:vertAlign w:val="superscript"/>
              </w:rPr>
              <w:t>1</w:t>
            </w:r>
            <w:r w:rsidRPr="00A7665F">
              <w:t xml:space="preserve"> decision to amend a plan, after the AAT decision is made</w:t>
            </w:r>
          </w:p>
        </w:tc>
        <w:tc>
          <w:tcPr>
            <w:tcW w:w="489" w:type="pct"/>
          </w:tcPr>
          <w:p w14:paraId="7FEAE7C5" w14:textId="0894999C" w:rsidR="000A08F6" w:rsidRPr="00A7665F" w:rsidRDefault="000A08F6" w:rsidP="008401D4">
            <w:pPr>
              <w:pStyle w:val="TableBody0"/>
              <w:spacing w:line="312" w:lineRule="auto"/>
              <w:rPr>
                <w:lang w:eastAsia="ja-JP"/>
              </w:rPr>
            </w:pPr>
            <w:r w:rsidRPr="00A7665F">
              <w:t>28 days</w:t>
            </w:r>
          </w:p>
        </w:tc>
        <w:tc>
          <w:tcPr>
            <w:tcW w:w="500" w:type="pct"/>
          </w:tcPr>
          <w:p w14:paraId="71CA6035" w14:textId="47D5B13D" w:rsidR="000A08F6" w:rsidRPr="00A7665F" w:rsidRDefault="009B3E4D" w:rsidP="008401D4">
            <w:pPr>
              <w:pStyle w:val="TableBody0"/>
              <w:spacing w:line="312" w:lineRule="auto"/>
              <w:jc w:val="right"/>
            </w:pPr>
            <w:r w:rsidRPr="00785389">
              <w:t>87</w:t>
            </w:r>
            <w:r w:rsidR="000A08F6" w:rsidRPr="00785389">
              <w:t>% </w:t>
            </w:r>
          </w:p>
        </w:tc>
        <w:tc>
          <w:tcPr>
            <w:tcW w:w="500" w:type="pct"/>
          </w:tcPr>
          <w:p w14:paraId="7BD9C3F7" w14:textId="6BFD5A82" w:rsidR="000A08F6" w:rsidRPr="00A7665F" w:rsidRDefault="000A08F6" w:rsidP="008401D4">
            <w:pPr>
              <w:pStyle w:val="TableBody0"/>
              <w:spacing w:line="312" w:lineRule="auto"/>
              <w:jc w:val="right"/>
            </w:pPr>
            <w:r w:rsidRPr="00A7665F">
              <w:t>86%</w:t>
            </w:r>
          </w:p>
        </w:tc>
        <w:tc>
          <w:tcPr>
            <w:tcW w:w="500" w:type="pct"/>
          </w:tcPr>
          <w:p w14:paraId="6C3FDE87" w14:textId="718615E6" w:rsidR="000A08F6" w:rsidRPr="00A7665F" w:rsidRDefault="000A08F6" w:rsidP="008401D4">
            <w:pPr>
              <w:pStyle w:val="TableBody0"/>
              <w:spacing w:line="312" w:lineRule="auto"/>
              <w:jc w:val="right"/>
            </w:pPr>
            <w:r w:rsidRPr="00A7665F">
              <w:t>90%</w:t>
            </w:r>
          </w:p>
        </w:tc>
        <w:tc>
          <w:tcPr>
            <w:tcW w:w="500" w:type="pct"/>
          </w:tcPr>
          <w:p w14:paraId="6948CE5C" w14:textId="40030F51" w:rsidR="000A08F6" w:rsidRPr="00A7665F" w:rsidRDefault="000A08F6" w:rsidP="008401D4">
            <w:pPr>
              <w:pStyle w:val="TableBody0"/>
              <w:spacing w:line="312" w:lineRule="auto"/>
              <w:jc w:val="right"/>
            </w:pPr>
            <w:r w:rsidRPr="00A7665F">
              <w:t>90%</w:t>
            </w:r>
          </w:p>
        </w:tc>
      </w:tr>
      <w:tr w:rsidR="000A08F6" w:rsidRPr="00A7665F" w14:paraId="4C66566E" w14:textId="77777777" w:rsidTr="009C4843">
        <w:trPr>
          <w:cnfStyle w:val="000000100000" w:firstRow="0" w:lastRow="0" w:firstColumn="0" w:lastColumn="0" w:oddVBand="0" w:evenVBand="0" w:oddHBand="1" w:evenHBand="0" w:firstRowFirstColumn="0" w:firstRowLastColumn="0" w:lastRowFirstColumn="0" w:lastRowLastColumn="0"/>
          <w:cantSplit/>
        </w:trPr>
        <w:tc>
          <w:tcPr>
            <w:tcW w:w="339" w:type="pct"/>
          </w:tcPr>
          <w:p w14:paraId="0A0C8DC4" w14:textId="506F6C85" w:rsidR="000A08F6" w:rsidRPr="00A7665F" w:rsidRDefault="000A08F6" w:rsidP="008401D4">
            <w:pPr>
              <w:pStyle w:val="TableBody0"/>
              <w:spacing w:line="312" w:lineRule="auto"/>
            </w:pPr>
            <w:r w:rsidRPr="00A7665F">
              <w:rPr>
                <w:color w:val="000000"/>
              </w:rPr>
              <w:t>19</w:t>
            </w:r>
          </w:p>
        </w:tc>
        <w:tc>
          <w:tcPr>
            <w:tcW w:w="2171" w:type="pct"/>
          </w:tcPr>
          <w:p w14:paraId="1EA750A0" w14:textId="5DA2F8D7" w:rsidR="000A08F6" w:rsidRPr="00A7665F" w:rsidRDefault="000A08F6" w:rsidP="008401D4">
            <w:pPr>
              <w:pStyle w:val="TableBody0"/>
              <w:spacing w:line="312" w:lineRule="auto"/>
            </w:pPr>
            <w:r w:rsidRPr="00A7665F">
              <w:rPr>
                <w:color w:val="000000"/>
              </w:rPr>
              <w:t>Cancel participant requested nominee</w:t>
            </w:r>
          </w:p>
        </w:tc>
        <w:tc>
          <w:tcPr>
            <w:tcW w:w="489" w:type="pct"/>
          </w:tcPr>
          <w:p w14:paraId="13CCDB5A" w14:textId="503137BB" w:rsidR="000A08F6" w:rsidRPr="00A7665F" w:rsidRDefault="000A08F6" w:rsidP="008401D4">
            <w:pPr>
              <w:pStyle w:val="TableBody0"/>
              <w:spacing w:line="312" w:lineRule="auto"/>
            </w:pPr>
            <w:r w:rsidRPr="00A7665F">
              <w:rPr>
                <w:color w:val="000000"/>
              </w:rPr>
              <w:t>14 days</w:t>
            </w:r>
          </w:p>
        </w:tc>
        <w:tc>
          <w:tcPr>
            <w:tcW w:w="500" w:type="pct"/>
          </w:tcPr>
          <w:p w14:paraId="3507BB47" w14:textId="0B33E2CB" w:rsidR="000A08F6" w:rsidRPr="00A7665F" w:rsidRDefault="009B3E4D" w:rsidP="008401D4">
            <w:pPr>
              <w:pStyle w:val="TableBody0"/>
              <w:spacing w:line="312" w:lineRule="auto"/>
              <w:jc w:val="right"/>
            </w:pPr>
            <w:r w:rsidRPr="00C43679">
              <w:rPr>
                <w:color w:val="000000"/>
              </w:rPr>
              <w:t>91</w:t>
            </w:r>
            <w:r w:rsidR="000A08F6" w:rsidRPr="00C43679">
              <w:rPr>
                <w:color w:val="000000"/>
              </w:rPr>
              <w:t>% </w:t>
            </w:r>
          </w:p>
        </w:tc>
        <w:tc>
          <w:tcPr>
            <w:tcW w:w="500" w:type="pct"/>
          </w:tcPr>
          <w:p w14:paraId="04A85363" w14:textId="609041C3" w:rsidR="000A08F6" w:rsidRPr="00A7665F" w:rsidRDefault="000A08F6" w:rsidP="008401D4">
            <w:pPr>
              <w:pStyle w:val="TableBody0"/>
              <w:spacing w:line="312" w:lineRule="auto"/>
              <w:jc w:val="right"/>
            </w:pPr>
            <w:r w:rsidRPr="00A7665F">
              <w:rPr>
                <w:color w:val="000000"/>
              </w:rPr>
              <w:t>98%</w:t>
            </w:r>
          </w:p>
        </w:tc>
        <w:tc>
          <w:tcPr>
            <w:tcW w:w="500" w:type="pct"/>
          </w:tcPr>
          <w:p w14:paraId="4893A01B" w14:textId="1937C2A3" w:rsidR="000A08F6" w:rsidRPr="00A7665F" w:rsidRDefault="000A08F6" w:rsidP="008401D4">
            <w:pPr>
              <w:pStyle w:val="TableBody0"/>
              <w:spacing w:line="312" w:lineRule="auto"/>
              <w:jc w:val="right"/>
            </w:pPr>
            <w:r w:rsidRPr="00A7665F">
              <w:rPr>
                <w:color w:val="000000"/>
              </w:rPr>
              <w:t>99%</w:t>
            </w:r>
          </w:p>
        </w:tc>
        <w:tc>
          <w:tcPr>
            <w:tcW w:w="500" w:type="pct"/>
          </w:tcPr>
          <w:p w14:paraId="62720CEA" w14:textId="0B32B72B" w:rsidR="000A08F6" w:rsidRPr="00A7665F" w:rsidRDefault="000A08F6" w:rsidP="008401D4">
            <w:pPr>
              <w:pStyle w:val="TableBody0"/>
              <w:spacing w:line="312" w:lineRule="auto"/>
              <w:jc w:val="right"/>
            </w:pPr>
            <w:r w:rsidRPr="00A7665F">
              <w:rPr>
                <w:color w:val="000000"/>
              </w:rPr>
              <w:t>99%</w:t>
            </w:r>
          </w:p>
        </w:tc>
      </w:tr>
      <w:tr w:rsidR="000A08F6" w:rsidRPr="00A7665F" w14:paraId="7D5C711F" w14:textId="77777777" w:rsidTr="009C4843">
        <w:trPr>
          <w:cnfStyle w:val="000000010000" w:firstRow="0" w:lastRow="0" w:firstColumn="0" w:lastColumn="0" w:oddVBand="0" w:evenVBand="0" w:oddHBand="0" w:evenHBand="1" w:firstRowFirstColumn="0" w:firstRowLastColumn="0" w:lastRowFirstColumn="0" w:lastRowLastColumn="0"/>
          <w:cantSplit/>
        </w:trPr>
        <w:tc>
          <w:tcPr>
            <w:tcW w:w="339" w:type="pct"/>
          </w:tcPr>
          <w:p w14:paraId="0D0EA99C" w14:textId="33A998D4" w:rsidR="000A08F6" w:rsidRPr="00A7665F" w:rsidRDefault="000A08F6" w:rsidP="008401D4">
            <w:pPr>
              <w:pStyle w:val="TableBody0"/>
              <w:spacing w:line="312" w:lineRule="auto"/>
              <w:rPr>
                <w:lang w:eastAsia="ja-JP"/>
              </w:rPr>
            </w:pPr>
            <w:r w:rsidRPr="00A7665F">
              <w:t>20</w:t>
            </w:r>
          </w:p>
        </w:tc>
        <w:tc>
          <w:tcPr>
            <w:tcW w:w="2171" w:type="pct"/>
          </w:tcPr>
          <w:p w14:paraId="068D6B84" w14:textId="3E41806C" w:rsidR="000A08F6" w:rsidRPr="00A7665F" w:rsidRDefault="000A08F6" w:rsidP="008401D4">
            <w:pPr>
              <w:pStyle w:val="TableBody0"/>
              <w:spacing w:line="312" w:lineRule="auto"/>
              <w:rPr>
                <w:lang w:eastAsia="ja-JP"/>
              </w:rPr>
            </w:pPr>
            <w:r w:rsidRPr="00A7665F">
              <w:t>Cancel CEO</w:t>
            </w:r>
            <w:r>
              <w:t xml:space="preserve"> </w:t>
            </w:r>
            <w:r w:rsidRPr="00A7665F">
              <w:t>initiated</w:t>
            </w:r>
            <w:r>
              <w:t xml:space="preserve"> </w:t>
            </w:r>
            <w:r w:rsidRPr="00A7665F">
              <w:t>nominee</w:t>
            </w:r>
          </w:p>
        </w:tc>
        <w:tc>
          <w:tcPr>
            <w:tcW w:w="489" w:type="pct"/>
          </w:tcPr>
          <w:p w14:paraId="7A625003" w14:textId="71E87750" w:rsidR="000A08F6" w:rsidRPr="00A7665F" w:rsidRDefault="000A08F6" w:rsidP="008401D4">
            <w:pPr>
              <w:pStyle w:val="TableBody0"/>
              <w:spacing w:line="312" w:lineRule="auto"/>
              <w:rPr>
                <w:lang w:eastAsia="ja-JP"/>
              </w:rPr>
            </w:pPr>
            <w:r w:rsidRPr="00A7665F">
              <w:t>14 days</w:t>
            </w:r>
          </w:p>
        </w:tc>
        <w:tc>
          <w:tcPr>
            <w:tcW w:w="500" w:type="pct"/>
          </w:tcPr>
          <w:p w14:paraId="28A4719C" w14:textId="7E362E39" w:rsidR="000A08F6" w:rsidRPr="00A7665F" w:rsidRDefault="009B3E4D" w:rsidP="008401D4">
            <w:pPr>
              <w:pStyle w:val="TableBody0"/>
              <w:spacing w:line="312" w:lineRule="auto"/>
              <w:jc w:val="right"/>
            </w:pPr>
            <w:r w:rsidRPr="00785389">
              <w:t>98</w:t>
            </w:r>
            <w:r w:rsidR="000A08F6" w:rsidRPr="00785389">
              <w:t>% </w:t>
            </w:r>
          </w:p>
        </w:tc>
        <w:tc>
          <w:tcPr>
            <w:tcW w:w="500" w:type="pct"/>
          </w:tcPr>
          <w:p w14:paraId="47A74483" w14:textId="7F982BC7" w:rsidR="000A08F6" w:rsidRPr="00A7665F" w:rsidRDefault="000A08F6" w:rsidP="008401D4">
            <w:pPr>
              <w:pStyle w:val="TableBody0"/>
              <w:spacing w:line="312" w:lineRule="auto"/>
              <w:jc w:val="right"/>
            </w:pPr>
            <w:r w:rsidRPr="00A7665F">
              <w:t>99%</w:t>
            </w:r>
          </w:p>
        </w:tc>
        <w:tc>
          <w:tcPr>
            <w:tcW w:w="500" w:type="pct"/>
          </w:tcPr>
          <w:p w14:paraId="76FC436F" w14:textId="0BD460DD" w:rsidR="000A08F6" w:rsidRPr="00A7665F" w:rsidRDefault="000A08F6" w:rsidP="008401D4">
            <w:pPr>
              <w:pStyle w:val="TableBody0"/>
              <w:spacing w:line="312" w:lineRule="auto"/>
              <w:jc w:val="right"/>
            </w:pPr>
            <w:r w:rsidRPr="00A7665F">
              <w:t>95%</w:t>
            </w:r>
          </w:p>
        </w:tc>
        <w:tc>
          <w:tcPr>
            <w:tcW w:w="500" w:type="pct"/>
          </w:tcPr>
          <w:p w14:paraId="46B3DE1A" w14:textId="6D94C397" w:rsidR="000A08F6" w:rsidRPr="00A7665F" w:rsidRDefault="000A08F6" w:rsidP="008401D4">
            <w:pPr>
              <w:pStyle w:val="TableBody0"/>
              <w:spacing w:line="312" w:lineRule="auto"/>
              <w:jc w:val="right"/>
            </w:pPr>
            <w:r w:rsidRPr="00A7665F">
              <w:t>95%</w:t>
            </w:r>
          </w:p>
        </w:tc>
      </w:tr>
    </w:tbl>
    <w:p w14:paraId="1E030B19" w14:textId="02432525" w:rsidR="00A06D2E" w:rsidRPr="00300F34" w:rsidRDefault="00F264F4" w:rsidP="00C4435E">
      <w:pPr>
        <w:pStyle w:val="Tablenote"/>
        <w:rPr>
          <w:b/>
          <w:bCs/>
        </w:rPr>
      </w:pPr>
      <w:r>
        <w:rPr>
          <w:b/>
          <w:bCs/>
        </w:rPr>
        <w:t>Note:</w:t>
      </w:r>
    </w:p>
    <w:p w14:paraId="15EC2EB0" w14:textId="0887100A" w:rsidR="00F264F4" w:rsidRPr="00A7665F" w:rsidRDefault="00F264F4" w:rsidP="00300F34">
      <w:pPr>
        <w:pStyle w:val="Tablenote"/>
        <w:sectPr w:rsidR="00F264F4" w:rsidRPr="00A7665F" w:rsidSect="00EB1047">
          <w:headerReference w:type="default" r:id="rId30"/>
          <w:footerReference w:type="default" r:id="rId31"/>
          <w:pgSz w:w="16838" w:h="11906" w:orient="landscape" w:code="9"/>
          <w:pgMar w:top="1247" w:right="1361" w:bottom="1247" w:left="1361" w:header="567" w:footer="454" w:gutter="0"/>
          <w:cols w:space="708"/>
          <w:docGrid w:linePitch="360"/>
        </w:sectPr>
      </w:pPr>
      <w:r>
        <w:t xml:space="preserve">1 </w:t>
      </w:r>
      <w:r w:rsidR="00115A30">
        <w:t xml:space="preserve">The Administrative Appeals Tribunal </w:t>
      </w:r>
      <w:r w:rsidR="000A0A30">
        <w:t xml:space="preserve">(AAT) </w:t>
      </w:r>
      <w:r w:rsidR="00552336">
        <w:t xml:space="preserve">is now known as the </w:t>
      </w:r>
      <w:r w:rsidR="00552336" w:rsidRPr="00552336">
        <w:t>Administrative Review Tribunal</w:t>
      </w:r>
      <w:r w:rsidR="00552336">
        <w:t xml:space="preserve"> (ART)</w:t>
      </w:r>
      <w:r w:rsidR="00FE2ED9">
        <w:t>.</w:t>
      </w:r>
    </w:p>
    <w:p w14:paraId="20C7E105" w14:textId="4D0845D3" w:rsidR="00E228A7" w:rsidRPr="00A7665F" w:rsidRDefault="004540CE" w:rsidP="004540CE">
      <w:pPr>
        <w:pStyle w:val="Caption"/>
      </w:pPr>
      <w:r>
        <w:t xml:space="preserve">Table </w:t>
      </w:r>
      <w:r>
        <w:fldChar w:fldCharType="begin"/>
      </w:r>
      <w:r>
        <w:instrText>SEQ Table \* ARABIC</w:instrText>
      </w:r>
      <w:r>
        <w:fldChar w:fldCharType="separate"/>
      </w:r>
      <w:r w:rsidR="0021625A">
        <w:rPr>
          <w:noProof/>
        </w:rPr>
        <w:t>12</w:t>
      </w:r>
      <w:r>
        <w:fldChar w:fldCharType="end"/>
      </w:r>
      <w:r>
        <w:t xml:space="preserve">. </w:t>
      </w:r>
      <w:r w:rsidR="00E228A7" w:rsidRPr="00A7665F">
        <w:t>Performance measure 2.4 – Resolution on first call to National Contact Centre</w:t>
      </w:r>
    </w:p>
    <w:tbl>
      <w:tblPr>
        <w:tblStyle w:val="GridTable4"/>
        <w:tblW w:w="5000" w:type="pct"/>
        <w:tblLayout w:type="fixed"/>
        <w:tblLook w:val="0480" w:firstRow="0" w:lastRow="0" w:firstColumn="1" w:lastColumn="0" w:noHBand="0" w:noVBand="1"/>
        <w:tblDescription w:val="[Insert table description] with columns for [Insert column headings]. The table has [insert number] columns and [insert number] rows."/>
      </w:tblPr>
      <w:tblGrid>
        <w:gridCol w:w="3785"/>
        <w:gridCol w:w="5389"/>
      </w:tblGrid>
      <w:tr w:rsidR="00EC6B7B" w:rsidRPr="00A7665F" w14:paraId="613D1E76" w14:textId="77777777" w:rsidTr="009C48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49C1560A" w14:textId="77777777" w:rsidR="00EC6B7B" w:rsidRPr="00E7213D" w:rsidRDefault="00EC6B7B" w:rsidP="008401D4">
            <w:pPr>
              <w:pStyle w:val="TableBody0"/>
              <w:spacing w:line="312" w:lineRule="auto"/>
              <w:rPr>
                <w:b/>
                <w:bCs w:val="0"/>
              </w:rPr>
            </w:pPr>
            <w:r w:rsidRPr="00E7213D">
              <w:t>Target</w:t>
            </w:r>
          </w:p>
        </w:tc>
        <w:tc>
          <w:tcPr>
            <w:tcW w:w="2937" w:type="pct"/>
          </w:tcPr>
          <w:p w14:paraId="190EA0D7" w14:textId="77777777" w:rsidR="00EC6B7B" w:rsidRPr="00A7665F" w:rsidRDefault="00EC6B7B"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rPr>
                <w:bCs/>
              </w:rPr>
            </w:pPr>
            <w:r w:rsidRPr="00A7665F">
              <w:t>80%</w:t>
            </w:r>
          </w:p>
        </w:tc>
      </w:tr>
      <w:tr w:rsidR="00EC6B7B" w:rsidRPr="00A7665F" w14:paraId="3458D09C"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00C68437" w14:textId="5698A02B" w:rsidR="00EC6B7B" w:rsidRPr="00E7213D" w:rsidRDefault="00EC6B7B" w:rsidP="008401D4">
            <w:pPr>
              <w:pStyle w:val="TableBody0"/>
              <w:spacing w:line="312" w:lineRule="auto"/>
              <w:rPr>
                <w:b/>
                <w:bCs w:val="0"/>
              </w:rPr>
            </w:pPr>
            <w:r w:rsidRPr="00E7213D">
              <w:t>Performance achieved 2025–26</w:t>
            </w:r>
          </w:p>
        </w:tc>
        <w:tc>
          <w:tcPr>
            <w:tcW w:w="2937" w:type="pct"/>
          </w:tcPr>
          <w:p w14:paraId="5ACAE24F" w14:textId="77777777" w:rsidR="00EC6B7B" w:rsidRPr="00A7665F" w:rsidRDefault="00EC6B7B"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A7665F">
              <w:t>86.6%. Achieved.</w:t>
            </w:r>
          </w:p>
        </w:tc>
      </w:tr>
      <w:tr w:rsidR="00EC6B7B" w:rsidRPr="00A7665F" w14:paraId="151DA9FE"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4E47C2CB" w14:textId="77777777" w:rsidR="00EC6B7B" w:rsidRPr="00E7213D" w:rsidRDefault="00EC6B7B" w:rsidP="008401D4">
            <w:pPr>
              <w:pStyle w:val="TableBody0"/>
              <w:spacing w:line="312" w:lineRule="auto"/>
              <w:rPr>
                <w:b/>
                <w:bCs w:val="0"/>
              </w:rPr>
            </w:pPr>
            <w:r w:rsidRPr="00E7213D">
              <w:t>Performance achieved over time</w:t>
            </w:r>
          </w:p>
        </w:tc>
        <w:tc>
          <w:tcPr>
            <w:tcW w:w="2937" w:type="pct"/>
          </w:tcPr>
          <w:p w14:paraId="3208C295" w14:textId="77777777" w:rsidR="00EC6B7B" w:rsidRPr="00A7665F" w:rsidRDefault="00EC6B7B"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A7665F">
              <w:t>This result is an improvement on the 2024–25 result of 84.8%.</w:t>
            </w:r>
          </w:p>
        </w:tc>
      </w:tr>
      <w:tr w:rsidR="00F65B2A" w:rsidRPr="00A7665F" w14:paraId="556FB8EB"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2E0F4346" w14:textId="77777777" w:rsidR="00F65B2A" w:rsidRPr="00E7213D" w:rsidRDefault="00F65B2A" w:rsidP="008401D4">
            <w:pPr>
              <w:pStyle w:val="TableBody0"/>
              <w:spacing w:line="312" w:lineRule="auto"/>
              <w:rPr>
                <w:b/>
                <w:bCs w:val="0"/>
              </w:rPr>
            </w:pPr>
            <w:r w:rsidRPr="00E7213D">
              <w:t>Why we measure this</w:t>
            </w:r>
          </w:p>
        </w:tc>
        <w:tc>
          <w:tcPr>
            <w:tcW w:w="2937" w:type="pct"/>
          </w:tcPr>
          <w:p w14:paraId="1A94B1A5" w14:textId="7F2078BB" w:rsidR="00F65B2A" w:rsidRPr="00A7665F" w:rsidRDefault="00F65B2A"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641093">
              <w:rPr>
                <w:lang w:eastAsia="ja-JP"/>
              </w:rPr>
              <w:t xml:space="preserve">Measures the output (quality) of the NDIA’s interactions with participants. The Participant Service Charter states we will respond to each person’s needs and situation. </w:t>
            </w:r>
          </w:p>
        </w:tc>
      </w:tr>
      <w:tr w:rsidR="00F65B2A" w:rsidRPr="00A7665F" w14:paraId="5ADBB9AC"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3A15EF21" w14:textId="77777777" w:rsidR="00F65B2A" w:rsidRPr="00E7213D" w:rsidRDefault="00F65B2A" w:rsidP="008401D4">
            <w:pPr>
              <w:pStyle w:val="TableBody0"/>
              <w:spacing w:line="312" w:lineRule="auto"/>
              <w:rPr>
                <w:b/>
                <w:bCs w:val="0"/>
              </w:rPr>
            </w:pPr>
            <w:r w:rsidRPr="00E7213D">
              <w:t>Methodology</w:t>
            </w:r>
          </w:p>
        </w:tc>
        <w:tc>
          <w:tcPr>
            <w:tcW w:w="2937" w:type="pct"/>
          </w:tcPr>
          <w:p w14:paraId="333A33A3" w14:textId="5EACC953" w:rsidR="00F65B2A" w:rsidRPr="00A7665F" w:rsidRDefault="00F65B2A" w:rsidP="008401D4">
            <w:pPr>
              <w:spacing w:line="312" w:lineRule="auto"/>
              <w:cnfStyle w:val="000000100000" w:firstRow="0" w:lastRow="0" w:firstColumn="0" w:lastColumn="0" w:oddVBand="0" w:evenVBand="0" w:oddHBand="1" w:evenHBand="0" w:firstRowFirstColumn="0" w:firstRowLastColumn="0" w:lastRowFirstColumn="0" w:lastRowLastColumn="0"/>
              <w:rPr>
                <w:lang w:eastAsia="ja-JP"/>
              </w:rPr>
            </w:pPr>
            <w:r w:rsidRPr="00641093">
              <w:rPr>
                <w:lang w:eastAsia="ja-JP"/>
              </w:rPr>
              <w:t>The measure is the qualitative satisfaction response from callers to indicate the commitment has been achieved.</w:t>
            </w:r>
          </w:p>
        </w:tc>
      </w:tr>
    </w:tbl>
    <w:p w14:paraId="3A6EE3EF" w14:textId="77777777" w:rsidR="00EC6B7B" w:rsidRPr="0004016D" w:rsidRDefault="00EC6B7B" w:rsidP="0004016D">
      <w:pPr>
        <w:spacing w:before="240"/>
        <w:rPr>
          <w:rStyle w:val="Strong"/>
        </w:rPr>
      </w:pPr>
      <w:r w:rsidRPr="0004016D">
        <w:rPr>
          <w:rStyle w:val="Strong"/>
        </w:rPr>
        <w:t>Analysis</w:t>
      </w:r>
    </w:p>
    <w:p w14:paraId="4B2B299B" w14:textId="0B315258" w:rsidR="00EC6B7B" w:rsidRPr="00A7665F" w:rsidRDefault="00EC6B7B" w:rsidP="00EC6B7B">
      <w:r w:rsidRPr="00A7665F">
        <w:t xml:space="preserve">In 2025–26, the </w:t>
      </w:r>
      <w:r w:rsidR="001538AC">
        <w:t>National Contact Centre (</w:t>
      </w:r>
      <w:r w:rsidRPr="00A7665F">
        <w:t>NCC</w:t>
      </w:r>
      <w:r w:rsidR="001538AC">
        <w:t>)</w:t>
      </w:r>
      <w:r w:rsidRPr="00A7665F">
        <w:t xml:space="preserve"> answered 1,426,068 calls, with 86.6% of callers reporting their enquiry was resolved during the call. This shows we have improved our ability to resolve enquiries at first contact. </w:t>
      </w:r>
    </w:p>
    <w:p w14:paraId="51E7FAB8" w14:textId="16A6E707" w:rsidR="00EC6B7B" w:rsidRPr="00A7665F" w:rsidRDefault="00F07BB1" w:rsidP="00EC6B7B">
      <w:r>
        <w:t>Across the year we achieved a strong result for r</w:t>
      </w:r>
      <w:r w:rsidR="00EC6B7B" w:rsidRPr="00A7665F">
        <w:t>esolution on first call, with an overall upward trend.</w:t>
      </w:r>
    </w:p>
    <w:p w14:paraId="4B8A55C3" w14:textId="77777777" w:rsidR="00EC6B7B" w:rsidRPr="00A7665F" w:rsidRDefault="00EC6B7B" w:rsidP="00EC6B7B">
      <w:r w:rsidRPr="00A7665F">
        <w:t>We achieved this result by:</w:t>
      </w:r>
    </w:p>
    <w:p w14:paraId="1508E96B" w14:textId="77777777" w:rsidR="00EC6B7B" w:rsidRPr="00A7665F" w:rsidRDefault="00EC6B7B" w:rsidP="00EC6B7B">
      <w:pPr>
        <w:pStyle w:val="ListParagraph"/>
        <w:numPr>
          <w:ilvl w:val="0"/>
          <w:numId w:val="62"/>
        </w:numPr>
      </w:pPr>
      <w:r w:rsidRPr="00A7665F">
        <w:t>increasing the number of tasks NCC delegates can resolve at first contact, with an average of 17,800 tasks completed each month</w:t>
      </w:r>
    </w:p>
    <w:p w14:paraId="11EF5D9B" w14:textId="77777777" w:rsidR="00EC6B7B" w:rsidRPr="00A7665F" w:rsidRDefault="00EC6B7B" w:rsidP="00EC6B7B">
      <w:pPr>
        <w:pStyle w:val="ListParagraph"/>
        <w:numPr>
          <w:ilvl w:val="0"/>
          <w:numId w:val="62"/>
        </w:numPr>
        <w:rPr>
          <w:rFonts w:cs="Arial"/>
        </w:rPr>
      </w:pPr>
      <w:r w:rsidRPr="00A7665F">
        <w:rPr>
          <w:rFonts w:cs="Arial"/>
        </w:rPr>
        <w:t>p</w:t>
      </w:r>
      <w:r w:rsidRPr="00A7665F">
        <w:rPr>
          <w:rFonts w:eastAsia="Segoe UI" w:cs="Arial"/>
        </w:rPr>
        <w:t>roviding better training for staff to help them complete their tasks efficiently</w:t>
      </w:r>
    </w:p>
    <w:p w14:paraId="26E6AB79" w14:textId="1BF9AA6C" w:rsidR="00EC6B7B" w:rsidRPr="00A7665F" w:rsidRDefault="00EC6B7B" w:rsidP="00EC6B7B">
      <w:pPr>
        <w:pStyle w:val="ListParagraph"/>
        <w:numPr>
          <w:ilvl w:val="0"/>
          <w:numId w:val="62"/>
        </w:numPr>
      </w:pPr>
      <w:r w:rsidRPr="00A7665F">
        <w:t xml:space="preserve">supporting participants during the rollout of the new </w:t>
      </w:r>
      <w:r w:rsidRPr="003B3999">
        <w:t>my NDIS mobile</w:t>
      </w:r>
      <w:r w:rsidRPr="00A7665F">
        <w:t xml:space="preserve"> app by providing participants, nominees and families with a more secure and accessible way to manage their plan.</w:t>
      </w:r>
    </w:p>
    <w:p w14:paraId="7A4D0237" w14:textId="77777777" w:rsidR="00EC6B7B" w:rsidRPr="00A7665F" w:rsidRDefault="00EC6B7B" w:rsidP="00EC6B7B">
      <w:r w:rsidRPr="00A7665F">
        <w:t>We will maintain our strong performance in 2026–27 by:</w:t>
      </w:r>
    </w:p>
    <w:p w14:paraId="775B0032" w14:textId="496319E0" w:rsidR="00EC6B7B" w:rsidRPr="00A7665F" w:rsidRDefault="00EC6B7B" w:rsidP="00EC6B7B">
      <w:pPr>
        <w:pStyle w:val="ListParagraph"/>
        <w:numPr>
          <w:ilvl w:val="0"/>
          <w:numId w:val="63"/>
        </w:numPr>
        <w:rPr>
          <w:lang w:eastAsia="en-AU"/>
        </w:rPr>
      </w:pPr>
      <w:r w:rsidRPr="00A7665F">
        <w:t>providing targeted training so staff can resolve more types of tasks</w:t>
      </w:r>
    </w:p>
    <w:p w14:paraId="7923870E" w14:textId="2C95AA94" w:rsidR="00EC6B7B" w:rsidRPr="00A7665F" w:rsidRDefault="00EC6B7B" w:rsidP="00EC6B7B">
      <w:pPr>
        <w:pStyle w:val="ListParagraph"/>
        <w:numPr>
          <w:ilvl w:val="0"/>
          <w:numId w:val="63"/>
        </w:numPr>
      </w:pPr>
      <w:r w:rsidRPr="00A7665F">
        <w:t xml:space="preserve">improving processes for some tasks, such as plan change requests so participants receive feedback sooner </w:t>
      </w:r>
    </w:p>
    <w:p w14:paraId="63011EE4" w14:textId="77777777" w:rsidR="00EC6B7B" w:rsidRPr="00A7665F" w:rsidRDefault="00EC6B7B" w:rsidP="00EC6B7B">
      <w:pPr>
        <w:pStyle w:val="ListParagraph"/>
        <w:numPr>
          <w:ilvl w:val="0"/>
          <w:numId w:val="63"/>
        </w:numPr>
      </w:pPr>
      <w:r w:rsidRPr="00A7665F">
        <w:t>improving call pathways for participants to connect directly with delegates.</w:t>
      </w:r>
    </w:p>
    <w:p w14:paraId="1E7837BF" w14:textId="545F8D4F" w:rsidR="00E228A7" w:rsidRPr="00A7665F" w:rsidRDefault="004540CE" w:rsidP="004540CE">
      <w:pPr>
        <w:pStyle w:val="Caption"/>
      </w:pPr>
      <w:r>
        <w:t xml:space="preserve">Table </w:t>
      </w:r>
      <w:r>
        <w:fldChar w:fldCharType="begin"/>
      </w:r>
      <w:r>
        <w:instrText>SEQ Table \* ARABIC</w:instrText>
      </w:r>
      <w:r>
        <w:fldChar w:fldCharType="separate"/>
      </w:r>
      <w:r w:rsidR="0021625A">
        <w:rPr>
          <w:noProof/>
        </w:rPr>
        <w:t>13</w:t>
      </w:r>
      <w:r>
        <w:fldChar w:fldCharType="end"/>
      </w:r>
      <w:r>
        <w:t xml:space="preserve">. </w:t>
      </w:r>
      <w:r w:rsidR="00E228A7" w:rsidRPr="00A7665F">
        <w:t>Performance measure 2.5 – Disclosure of NDIS Quarterly Reports to Disability Ministers within prescribed timeframes</w:t>
      </w:r>
    </w:p>
    <w:tbl>
      <w:tblPr>
        <w:tblStyle w:val="GridTable4"/>
        <w:tblW w:w="5000" w:type="pct"/>
        <w:tblLayout w:type="fixed"/>
        <w:tblLook w:val="0480" w:firstRow="0" w:lastRow="0" w:firstColumn="1" w:lastColumn="0" w:noHBand="0" w:noVBand="1"/>
        <w:tblDescription w:val="[Insert table description] with columns for [Insert column headings]. The table has [insert number] columns and [insert number] rows."/>
      </w:tblPr>
      <w:tblGrid>
        <w:gridCol w:w="3785"/>
        <w:gridCol w:w="5389"/>
      </w:tblGrid>
      <w:tr w:rsidR="00D6426B" w:rsidRPr="00953950" w14:paraId="7257BA38" w14:textId="77777777" w:rsidTr="009C48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21029A97" w14:textId="77777777" w:rsidR="00D6426B" w:rsidRPr="00E7213D" w:rsidRDefault="00D6426B" w:rsidP="008401D4">
            <w:pPr>
              <w:pStyle w:val="TableBody0"/>
              <w:spacing w:line="312" w:lineRule="auto"/>
              <w:rPr>
                <w:b/>
                <w:bCs w:val="0"/>
              </w:rPr>
            </w:pPr>
            <w:r w:rsidRPr="00E7213D">
              <w:t>Target</w:t>
            </w:r>
          </w:p>
        </w:tc>
        <w:tc>
          <w:tcPr>
            <w:tcW w:w="2937" w:type="pct"/>
          </w:tcPr>
          <w:p w14:paraId="7BF147AD" w14:textId="26413C48" w:rsidR="00D6426B" w:rsidRPr="00A7665F" w:rsidRDefault="00D6426B"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rPr>
                <w:bCs/>
              </w:rPr>
            </w:pPr>
            <w:r w:rsidRPr="00A7665F">
              <w:t>Submission of quarterly reports</w:t>
            </w:r>
            <w:r w:rsidR="004540CE">
              <w:t>.</w:t>
            </w:r>
          </w:p>
        </w:tc>
      </w:tr>
      <w:tr w:rsidR="00D6426B" w:rsidRPr="00953950" w14:paraId="480CF19B" w14:textId="77777777" w:rsidTr="009C4843">
        <w:tc>
          <w:tcPr>
            <w:cnfStyle w:val="001000000000" w:firstRow="0" w:lastRow="0" w:firstColumn="1" w:lastColumn="0" w:oddVBand="0" w:evenVBand="0" w:oddHBand="0" w:evenHBand="0" w:firstRowFirstColumn="0" w:firstRowLastColumn="0" w:lastRowFirstColumn="0" w:lastRowLastColumn="0"/>
            <w:tcW w:w="2063" w:type="pct"/>
          </w:tcPr>
          <w:p w14:paraId="2A8FF8A5" w14:textId="0C3ECF82" w:rsidR="00D6426B" w:rsidRPr="00E7213D" w:rsidRDefault="00D6426B" w:rsidP="008401D4">
            <w:pPr>
              <w:pStyle w:val="TableBody0"/>
              <w:spacing w:line="312" w:lineRule="auto"/>
              <w:rPr>
                <w:b/>
                <w:bCs w:val="0"/>
              </w:rPr>
            </w:pPr>
            <w:r w:rsidRPr="00E7213D">
              <w:t>Performance achieved 2025–26</w:t>
            </w:r>
          </w:p>
        </w:tc>
        <w:tc>
          <w:tcPr>
            <w:tcW w:w="2937" w:type="pct"/>
          </w:tcPr>
          <w:p w14:paraId="7042A6FB" w14:textId="1A0836D0" w:rsidR="00D6426B" w:rsidRPr="00A7665F" w:rsidRDefault="00D6426B"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A7665F">
              <w:t>Achieved</w:t>
            </w:r>
            <w:r w:rsidR="004540CE">
              <w:t>.</w:t>
            </w:r>
          </w:p>
        </w:tc>
      </w:tr>
      <w:tr w:rsidR="00D6426B" w:rsidRPr="00953950" w14:paraId="6B370124" w14:textId="77777777" w:rsidTr="009C48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339D9C0E" w14:textId="77777777" w:rsidR="00D6426B" w:rsidRPr="00E7213D" w:rsidRDefault="00D6426B" w:rsidP="008401D4">
            <w:pPr>
              <w:pStyle w:val="TableBody0"/>
              <w:spacing w:line="312" w:lineRule="auto"/>
              <w:rPr>
                <w:b/>
                <w:bCs w:val="0"/>
              </w:rPr>
            </w:pPr>
            <w:r w:rsidRPr="00E7213D">
              <w:t>Performance achieved over time</w:t>
            </w:r>
          </w:p>
        </w:tc>
        <w:tc>
          <w:tcPr>
            <w:tcW w:w="2937" w:type="pct"/>
          </w:tcPr>
          <w:p w14:paraId="40788945" w14:textId="0F4166A6" w:rsidR="00D6426B" w:rsidRPr="00A7665F" w:rsidRDefault="00D6426B"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A7665F">
              <w:t>Achieved</w:t>
            </w:r>
            <w:r w:rsidR="004540CE">
              <w:t>.</w:t>
            </w:r>
          </w:p>
        </w:tc>
      </w:tr>
      <w:tr w:rsidR="00433149" w:rsidRPr="00953950" w14:paraId="5B4C478C" w14:textId="77777777" w:rsidTr="009C4843">
        <w:tc>
          <w:tcPr>
            <w:cnfStyle w:val="001000000000" w:firstRow="0" w:lastRow="0" w:firstColumn="1" w:lastColumn="0" w:oddVBand="0" w:evenVBand="0" w:oddHBand="0" w:evenHBand="0" w:firstRowFirstColumn="0" w:firstRowLastColumn="0" w:lastRowFirstColumn="0" w:lastRowLastColumn="0"/>
            <w:tcW w:w="2063" w:type="pct"/>
          </w:tcPr>
          <w:p w14:paraId="3833C38E" w14:textId="77777777" w:rsidR="00433149" w:rsidRPr="00E7213D" w:rsidRDefault="00433149" w:rsidP="008401D4">
            <w:pPr>
              <w:pStyle w:val="TableBody0"/>
              <w:spacing w:line="312" w:lineRule="auto"/>
              <w:rPr>
                <w:b/>
                <w:bCs w:val="0"/>
              </w:rPr>
            </w:pPr>
            <w:r w:rsidRPr="00E7213D">
              <w:t>Why we measure this</w:t>
            </w:r>
          </w:p>
        </w:tc>
        <w:tc>
          <w:tcPr>
            <w:tcW w:w="2937" w:type="pct"/>
          </w:tcPr>
          <w:p w14:paraId="31211C6F" w14:textId="77777777" w:rsidR="00433149" w:rsidRDefault="00433149"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2F7D0B">
              <w:t>This measures the output of the NDIA in managing, advising and reporting on the state of financial sustainability of the NDIS.</w:t>
            </w:r>
            <w:r>
              <w:t xml:space="preserve"> </w:t>
            </w:r>
            <w:r w:rsidRPr="002F7D0B">
              <w:t>It includes collecting, analysing and exchanging data about disabilities and the supports (including early intervention supports) for people with disability.</w:t>
            </w:r>
          </w:p>
          <w:p w14:paraId="5E4CAA09" w14:textId="77777777" w:rsidR="00433149" w:rsidRDefault="00433149"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2F7D0B">
              <w:t>The NDIA is required to prepare a quarterly report on the operations of the NDIA for each period of 3 months and:</w:t>
            </w:r>
          </w:p>
          <w:p w14:paraId="3E2401B2" w14:textId="66C7D78C" w:rsidR="00433149" w:rsidRDefault="00433149" w:rsidP="008401D4">
            <w:pPr>
              <w:pStyle w:val="TableBullet"/>
              <w:spacing w:line="312" w:lineRule="auto"/>
              <w:cnfStyle w:val="000000000000" w:firstRow="0" w:lastRow="0" w:firstColumn="0" w:lastColumn="0" w:oddVBand="0" w:evenVBand="0" w:oddHBand="0" w:evenHBand="0" w:firstRowFirstColumn="0" w:firstRowLastColumn="0" w:lastRowFirstColumn="0" w:lastRowLastColumn="0"/>
            </w:pPr>
            <w:r w:rsidRPr="002F7D0B">
              <w:t>provide it to the Ministerial Council within 42</w:t>
            </w:r>
            <w:r w:rsidR="00281C08">
              <w:t> </w:t>
            </w:r>
            <w:r w:rsidRPr="002F7D0B">
              <w:t>days after the end of the period to which the report relates</w:t>
            </w:r>
          </w:p>
          <w:p w14:paraId="34E1F3A1" w14:textId="4874972D" w:rsidR="00433149" w:rsidRPr="00A7665F" w:rsidRDefault="00433149" w:rsidP="008401D4">
            <w:pPr>
              <w:pStyle w:val="TableBullet"/>
              <w:spacing w:line="312" w:lineRule="auto"/>
              <w:cnfStyle w:val="000000000000" w:firstRow="0" w:lastRow="0" w:firstColumn="0" w:lastColumn="0" w:oddVBand="0" w:evenVBand="0" w:oddHBand="0" w:evenHBand="0" w:firstRowFirstColumn="0" w:firstRowLastColumn="0" w:lastRowFirstColumn="0" w:lastRowLastColumn="0"/>
            </w:pPr>
            <w:r w:rsidRPr="002F7D0B">
              <w:t>publish it on the NDIS website within 45 days after the end of the period to which the report relates.</w:t>
            </w:r>
          </w:p>
        </w:tc>
      </w:tr>
      <w:tr w:rsidR="00433149" w:rsidRPr="00953950" w14:paraId="0BAE2313" w14:textId="77777777" w:rsidTr="009C48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18619A75" w14:textId="77777777" w:rsidR="00433149" w:rsidRPr="00E7213D" w:rsidRDefault="00433149" w:rsidP="008401D4">
            <w:pPr>
              <w:pStyle w:val="TableBody0"/>
              <w:spacing w:line="312" w:lineRule="auto"/>
              <w:rPr>
                <w:b/>
                <w:bCs w:val="0"/>
              </w:rPr>
            </w:pPr>
            <w:r w:rsidRPr="00E7213D">
              <w:t>Methodology</w:t>
            </w:r>
          </w:p>
        </w:tc>
        <w:tc>
          <w:tcPr>
            <w:tcW w:w="2937" w:type="pct"/>
          </w:tcPr>
          <w:p w14:paraId="736F30C0" w14:textId="3BD86660" w:rsidR="00433149" w:rsidRPr="00A7665F" w:rsidRDefault="00433149" w:rsidP="008401D4">
            <w:pPr>
              <w:spacing w:line="312" w:lineRule="auto"/>
              <w:cnfStyle w:val="000000100000" w:firstRow="0" w:lastRow="0" w:firstColumn="0" w:lastColumn="0" w:oddVBand="0" w:evenVBand="0" w:oddHBand="1" w:evenHBand="0" w:firstRowFirstColumn="0" w:firstRowLastColumn="0" w:lastRowFirstColumn="0" w:lastRowLastColumn="0"/>
              <w:rPr>
                <w:lang w:eastAsia="ja-JP"/>
              </w:rPr>
            </w:pPr>
            <w:r w:rsidRPr="00641093">
              <w:rPr>
                <w:lang w:eastAsia="ja-JP"/>
              </w:rPr>
              <w:t>Confirmation of release of each report to the Ministerial Council and publication to the NDIS website.</w:t>
            </w:r>
          </w:p>
        </w:tc>
      </w:tr>
    </w:tbl>
    <w:p w14:paraId="1730B0E1" w14:textId="41280296" w:rsidR="00D6426B" w:rsidRPr="0004016D" w:rsidRDefault="00D6426B" w:rsidP="0004016D">
      <w:pPr>
        <w:spacing w:before="240"/>
        <w:rPr>
          <w:rStyle w:val="Strong"/>
        </w:rPr>
      </w:pPr>
      <w:r w:rsidRPr="0004016D">
        <w:rPr>
          <w:rStyle w:val="Strong"/>
        </w:rPr>
        <w:t>Analysis</w:t>
      </w:r>
    </w:p>
    <w:p w14:paraId="41FE6029" w14:textId="79E5E209" w:rsidR="00D6426B" w:rsidRPr="00A7665F" w:rsidRDefault="00D6426B" w:rsidP="00D6426B">
      <w:pPr>
        <w:rPr>
          <w:lang w:eastAsia="en-AU"/>
        </w:rPr>
      </w:pPr>
      <w:r w:rsidRPr="00A7665F">
        <w:rPr>
          <w:lang w:eastAsia="en-AU"/>
        </w:rPr>
        <w:t xml:space="preserve">The NDIA met the target for disclosure of </w:t>
      </w:r>
      <w:r w:rsidR="00F07BB1">
        <w:rPr>
          <w:lang w:eastAsia="en-AU"/>
        </w:rPr>
        <w:t>Q</w:t>
      </w:r>
      <w:r w:rsidRPr="00A7665F">
        <w:rPr>
          <w:lang w:eastAsia="en-AU"/>
        </w:rPr>
        <w:t xml:space="preserve">uarterly </w:t>
      </w:r>
      <w:r w:rsidR="00F07BB1">
        <w:rPr>
          <w:lang w:eastAsia="en-AU"/>
        </w:rPr>
        <w:t>R</w:t>
      </w:r>
      <w:r w:rsidRPr="00A7665F">
        <w:rPr>
          <w:lang w:eastAsia="en-AU"/>
        </w:rPr>
        <w:t xml:space="preserve">eports to </w:t>
      </w:r>
      <w:r w:rsidR="00AE4B5A">
        <w:rPr>
          <w:lang w:eastAsia="en-AU"/>
        </w:rPr>
        <w:t>D</w:t>
      </w:r>
      <w:r w:rsidRPr="00A7665F">
        <w:rPr>
          <w:lang w:eastAsia="en-AU"/>
        </w:rPr>
        <w:t xml:space="preserve">isability </w:t>
      </w:r>
      <w:r w:rsidR="00AE4B5A">
        <w:rPr>
          <w:lang w:eastAsia="en-AU"/>
        </w:rPr>
        <w:t>M</w:t>
      </w:r>
      <w:r w:rsidRPr="00A7665F">
        <w:rPr>
          <w:lang w:eastAsia="en-AU"/>
        </w:rPr>
        <w:t>inisters in prescribed</w:t>
      </w:r>
      <w:r w:rsidR="00F27696">
        <w:rPr>
          <w:lang w:eastAsia="en-AU"/>
        </w:rPr>
        <w:t xml:space="preserve"> </w:t>
      </w:r>
      <w:r w:rsidRPr="00A7665F">
        <w:rPr>
          <w:lang w:eastAsia="en-AU"/>
        </w:rPr>
        <w:t>timeframes.</w:t>
      </w:r>
    </w:p>
    <w:p w14:paraId="6E2D7DF2" w14:textId="21B315E7" w:rsidR="00E228A7" w:rsidRPr="00A7665F" w:rsidRDefault="00EE6D02" w:rsidP="00E228A7">
      <w:pPr>
        <w:pStyle w:val="Heading5"/>
      </w:pPr>
      <w:r w:rsidRPr="00A7665F">
        <w:t xml:space="preserve">Key activity 3 – </w:t>
      </w:r>
      <w:r w:rsidR="001A3446" w:rsidRPr="00A7665F">
        <w:t>Facilitate NDIS markets to deliver accessible and innovative supports to people with disability</w:t>
      </w:r>
    </w:p>
    <w:p w14:paraId="52036D5A" w14:textId="0E5181F9" w:rsidR="001612BD" w:rsidRDefault="004540CE" w:rsidP="004540CE">
      <w:pPr>
        <w:pStyle w:val="Caption"/>
      </w:pPr>
      <w:r>
        <w:t xml:space="preserve">Table </w:t>
      </w:r>
      <w:r>
        <w:fldChar w:fldCharType="begin"/>
      </w:r>
      <w:r>
        <w:instrText>SEQ Table \* ARABIC</w:instrText>
      </w:r>
      <w:r>
        <w:fldChar w:fldCharType="separate"/>
      </w:r>
      <w:r w:rsidR="0021625A">
        <w:rPr>
          <w:noProof/>
        </w:rPr>
        <w:t>14</w:t>
      </w:r>
      <w:r>
        <w:fldChar w:fldCharType="end"/>
      </w:r>
      <w:r>
        <w:t xml:space="preserve">. </w:t>
      </w:r>
      <w:r w:rsidR="00E228A7" w:rsidRPr="00A7665F">
        <w:t xml:space="preserve">Performance measure 3.1 – NDIS pricing arrangements and price </w:t>
      </w:r>
      <w:r w:rsidR="001612BD">
        <w:t xml:space="preserve">guidance </w:t>
      </w:r>
    </w:p>
    <w:p w14:paraId="62459297" w14:textId="0DCBEA00" w:rsidR="00E228A7" w:rsidRPr="00A7665F" w:rsidRDefault="001612BD" w:rsidP="006265FD">
      <w:r>
        <w:t xml:space="preserve">Note: </w:t>
      </w:r>
      <w:r w:rsidRPr="00647D83">
        <w:t>The</w:t>
      </w:r>
      <w:r>
        <w:t xml:space="preserve"> NDIA</w:t>
      </w:r>
      <w:r w:rsidRPr="00647D83">
        <w:t xml:space="preserve"> has renamed this measure </w:t>
      </w:r>
      <w:r w:rsidR="0047095D">
        <w:t>‘</w:t>
      </w:r>
      <w:r w:rsidRPr="00300F34">
        <w:t>NDIS pricing guidance</w:t>
      </w:r>
      <w:r w:rsidR="00C6066F">
        <w:t>’</w:t>
      </w:r>
      <w:r w:rsidRPr="00647D83">
        <w:t xml:space="preserve">. The new title is consistent with how the </w:t>
      </w:r>
      <w:r>
        <w:t>NDIA</w:t>
      </w:r>
      <w:r w:rsidRPr="00647D83">
        <w:t xml:space="preserve"> describes pricing arrangements and captures all pricing guidance we publish. There has been no change to the performance measure itself.</w:t>
      </w:r>
    </w:p>
    <w:tbl>
      <w:tblPr>
        <w:tblStyle w:val="GridTable4"/>
        <w:tblW w:w="5000" w:type="pct"/>
        <w:tblLayout w:type="fixed"/>
        <w:tblLook w:val="0480" w:firstRow="0" w:lastRow="0" w:firstColumn="1" w:lastColumn="0" w:noHBand="0" w:noVBand="1"/>
        <w:tblDescription w:val="[Insert table description] with columns for [Insert column headings]. The table has [insert number] columns and [insert number] rows."/>
      </w:tblPr>
      <w:tblGrid>
        <w:gridCol w:w="3785"/>
        <w:gridCol w:w="5389"/>
      </w:tblGrid>
      <w:tr w:rsidR="00C90B12" w:rsidRPr="00953950" w14:paraId="2CDFEBA6" w14:textId="77777777" w:rsidTr="009C48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29054E17" w14:textId="77777777" w:rsidR="00C90B12" w:rsidRPr="00E7213D" w:rsidRDefault="00C90B12" w:rsidP="008401D4">
            <w:pPr>
              <w:pStyle w:val="TableBody0"/>
              <w:spacing w:line="312" w:lineRule="auto"/>
              <w:rPr>
                <w:b/>
                <w:bCs w:val="0"/>
              </w:rPr>
            </w:pPr>
            <w:r w:rsidRPr="00E7213D">
              <w:t>Target</w:t>
            </w:r>
          </w:p>
        </w:tc>
        <w:tc>
          <w:tcPr>
            <w:tcW w:w="2937" w:type="pct"/>
          </w:tcPr>
          <w:p w14:paraId="4B91A125" w14:textId="77777777" w:rsidR="00C90B12" w:rsidRPr="00A7665F" w:rsidRDefault="00C90B12"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rPr>
                <w:bCs/>
              </w:rPr>
            </w:pPr>
            <w:r w:rsidRPr="00A7665F">
              <w:t>Release NDIS guidance across NDIA channels.</w:t>
            </w:r>
          </w:p>
        </w:tc>
      </w:tr>
      <w:tr w:rsidR="00C90B12" w:rsidRPr="00953950" w14:paraId="1CF0105B"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256005AA" w14:textId="0D7BDCDB" w:rsidR="00C90B12" w:rsidRPr="00E7213D" w:rsidRDefault="00C90B12" w:rsidP="008401D4">
            <w:pPr>
              <w:pStyle w:val="TableBody0"/>
              <w:spacing w:line="312" w:lineRule="auto"/>
              <w:rPr>
                <w:b/>
                <w:bCs w:val="0"/>
              </w:rPr>
            </w:pPr>
            <w:r w:rsidRPr="00E7213D">
              <w:t>Performance achieved 2025–26</w:t>
            </w:r>
          </w:p>
        </w:tc>
        <w:tc>
          <w:tcPr>
            <w:tcW w:w="2937" w:type="pct"/>
          </w:tcPr>
          <w:p w14:paraId="6FC613BC" w14:textId="405C8489" w:rsidR="00C90B12" w:rsidRPr="00A7665F" w:rsidRDefault="00C90B12"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A7665F">
              <w:t>Achieved</w:t>
            </w:r>
            <w:r w:rsidR="003B3999">
              <w:t>.</w:t>
            </w:r>
          </w:p>
        </w:tc>
      </w:tr>
      <w:tr w:rsidR="00C90B12" w:rsidRPr="00953950" w14:paraId="6C5ADE79"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40B02CAE" w14:textId="77777777" w:rsidR="00C90B12" w:rsidRPr="00E7213D" w:rsidRDefault="00C90B12" w:rsidP="008401D4">
            <w:pPr>
              <w:pStyle w:val="TableBody0"/>
              <w:spacing w:line="312" w:lineRule="auto"/>
              <w:rPr>
                <w:b/>
                <w:bCs w:val="0"/>
              </w:rPr>
            </w:pPr>
            <w:r w:rsidRPr="00E7213D">
              <w:t>Performance achieved over time</w:t>
            </w:r>
          </w:p>
        </w:tc>
        <w:tc>
          <w:tcPr>
            <w:tcW w:w="2937" w:type="pct"/>
          </w:tcPr>
          <w:p w14:paraId="41AEDCD6" w14:textId="77777777" w:rsidR="00C90B12" w:rsidRPr="00A7665F" w:rsidRDefault="00C90B12"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A7665F">
              <w:t>N/A</w:t>
            </w:r>
          </w:p>
        </w:tc>
      </w:tr>
      <w:tr w:rsidR="00C90B12" w:rsidRPr="00953950" w14:paraId="47A16BFB" w14:textId="77777777" w:rsidTr="002D3A0D">
        <w:tc>
          <w:tcPr>
            <w:cnfStyle w:val="001000000000" w:firstRow="0" w:lastRow="0" w:firstColumn="1" w:lastColumn="0" w:oddVBand="0" w:evenVBand="0" w:oddHBand="0" w:evenHBand="0" w:firstRowFirstColumn="0" w:firstRowLastColumn="0" w:lastRowFirstColumn="0" w:lastRowLastColumn="0"/>
            <w:tcW w:w="2063" w:type="pct"/>
          </w:tcPr>
          <w:p w14:paraId="7515B4E6" w14:textId="77777777" w:rsidR="00C90B12" w:rsidRPr="00E7213D" w:rsidRDefault="00C90B12" w:rsidP="008401D4">
            <w:pPr>
              <w:pStyle w:val="TableBody0"/>
              <w:spacing w:line="312" w:lineRule="auto"/>
              <w:rPr>
                <w:b/>
                <w:bCs w:val="0"/>
              </w:rPr>
            </w:pPr>
            <w:r w:rsidRPr="00E7213D">
              <w:t>Why we measure this</w:t>
            </w:r>
          </w:p>
        </w:tc>
        <w:tc>
          <w:tcPr>
            <w:tcW w:w="2937" w:type="pct"/>
          </w:tcPr>
          <w:p w14:paraId="5CC9DFF4" w14:textId="77777777" w:rsidR="00C90B12" w:rsidRPr="00A7665F" w:rsidRDefault="00C90B12" w:rsidP="008401D4">
            <w:pPr>
              <w:pStyle w:val="TableBody0"/>
              <w:spacing w:line="312" w:lineRule="auto"/>
              <w:cnfStyle w:val="000000000000" w:firstRow="0" w:lastRow="0" w:firstColumn="0" w:lastColumn="0" w:oddVBand="0" w:evenVBand="0" w:oddHBand="0" w:evenHBand="0" w:firstRowFirstColumn="0" w:firstRowLastColumn="0" w:lastRowFirstColumn="0" w:lastRowLastColumn="0"/>
            </w:pPr>
            <w:r w:rsidRPr="00A7665F">
              <w:t>This measures the output of the NDIA in developing and releasing NDIS pricing guidance, to support the development and enhancement of the disability sector and facilitate NDIS markets to deliver accessible and innovative supports to people with disability.</w:t>
            </w:r>
          </w:p>
        </w:tc>
      </w:tr>
      <w:tr w:rsidR="00C90B12" w:rsidRPr="00953950" w14:paraId="184732F3" w14:textId="77777777" w:rsidTr="002D3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3" w:type="pct"/>
          </w:tcPr>
          <w:p w14:paraId="16B85BF2" w14:textId="77777777" w:rsidR="00C90B12" w:rsidRPr="00E7213D" w:rsidRDefault="00C90B12" w:rsidP="008401D4">
            <w:pPr>
              <w:pStyle w:val="TableBody0"/>
              <w:spacing w:line="312" w:lineRule="auto"/>
              <w:rPr>
                <w:b/>
                <w:bCs w:val="0"/>
              </w:rPr>
            </w:pPr>
            <w:r w:rsidRPr="00E7213D">
              <w:t>Methodology</w:t>
            </w:r>
          </w:p>
        </w:tc>
        <w:tc>
          <w:tcPr>
            <w:tcW w:w="2937" w:type="pct"/>
          </w:tcPr>
          <w:p w14:paraId="39AC0BA3" w14:textId="77777777" w:rsidR="00C90B12" w:rsidRPr="00A7665F" w:rsidRDefault="00C90B12" w:rsidP="008401D4">
            <w:pPr>
              <w:pStyle w:val="TableBody0"/>
              <w:spacing w:line="312" w:lineRule="auto"/>
              <w:cnfStyle w:val="000000100000" w:firstRow="0" w:lastRow="0" w:firstColumn="0" w:lastColumn="0" w:oddVBand="0" w:evenVBand="0" w:oddHBand="1" w:evenHBand="0" w:firstRowFirstColumn="0" w:firstRowLastColumn="0" w:lastRowFirstColumn="0" w:lastRowLastColumn="0"/>
            </w:pPr>
            <w:r w:rsidRPr="00A7665F">
              <w:t>Confirmation of the release of NDIS pricing guidance across NDIA channels.</w:t>
            </w:r>
          </w:p>
        </w:tc>
      </w:tr>
    </w:tbl>
    <w:p w14:paraId="36D169BF" w14:textId="77777777" w:rsidR="00C90B12" w:rsidRPr="0004016D" w:rsidRDefault="00C90B12" w:rsidP="0004016D">
      <w:pPr>
        <w:spacing w:before="240"/>
        <w:rPr>
          <w:rStyle w:val="Strong"/>
        </w:rPr>
      </w:pPr>
      <w:r w:rsidRPr="0004016D">
        <w:rPr>
          <w:rStyle w:val="Strong"/>
        </w:rPr>
        <w:t>Analysis</w:t>
      </w:r>
    </w:p>
    <w:p w14:paraId="1AD2A652" w14:textId="18B60468" w:rsidR="00C90B12" w:rsidRPr="00A7665F" w:rsidRDefault="00C90B12" w:rsidP="00C90B12">
      <w:r w:rsidRPr="00A7665F">
        <w:t>This is a new performance measure. The NDIA achieved the measure by releasing updated NDIS pricing guidance across NDIA channels within the required timeframe.</w:t>
      </w:r>
    </w:p>
    <w:p w14:paraId="18FE469B" w14:textId="14E8B29C" w:rsidR="00C90B12" w:rsidRPr="00A7665F" w:rsidRDefault="00C90B12" w:rsidP="00C90B12">
      <w:r w:rsidRPr="00A7665F">
        <w:t>The NDIA</w:t>
      </w:r>
      <w:r w:rsidR="00901786" w:rsidRPr="00A7665F">
        <w:t>’</w:t>
      </w:r>
      <w:r w:rsidRPr="00A7665F">
        <w:t>s pricing arrangements are a key market stewardship mechanism that support</w:t>
      </w:r>
      <w:r w:rsidR="00901786" w:rsidRPr="00A7665F">
        <w:t>s</w:t>
      </w:r>
      <w:r w:rsidRPr="00A7665F">
        <w:t xml:space="preserve"> the development of a sustainable and responsive disability support market. By setting evidence-based pricing guidance, the NDIA provides greater certainty for participants and providers, promotes value for money and supports continued access to quality supports across Australia. </w:t>
      </w:r>
      <w:r w:rsidR="009C4267">
        <w:t>T</w:t>
      </w:r>
      <w:r w:rsidR="009C4267" w:rsidRPr="00A7665F">
        <w:t>o help ensure NDIS pricing remains aligned with comparable markets while supporting provider viability and participant outcomes</w:t>
      </w:r>
      <w:r w:rsidR="009C4267">
        <w:t>, the NDIS bases its</w:t>
      </w:r>
      <w:r w:rsidR="009C4267" w:rsidRPr="00A7665F">
        <w:t xml:space="preserve"> </w:t>
      </w:r>
      <w:r w:rsidR="009C4267">
        <w:t>p</w:t>
      </w:r>
      <w:r w:rsidRPr="00A7665F">
        <w:t xml:space="preserve">ricing recommendations </w:t>
      </w:r>
      <w:r w:rsidR="009C4267">
        <w:t xml:space="preserve">on </w:t>
      </w:r>
      <w:r w:rsidRPr="00A7665F">
        <w:t>consultation, market monitoring and analysis of broader economic conditions. Through this approach, the NDIA contributes to the broader objective of facilitating accessible, innovative and sustainable NDIS markets for people with disability.</w:t>
      </w:r>
    </w:p>
    <w:p w14:paraId="6DE778A1" w14:textId="65BBC5A5" w:rsidR="00C90B12" w:rsidRPr="00A7665F" w:rsidRDefault="00C90B12" w:rsidP="00C90B12">
      <w:r w:rsidRPr="00A7665F">
        <w:t>During 2025–26 the NDIA revised its pricing guidance</w:t>
      </w:r>
      <w:r w:rsidR="003B3999">
        <w:t xml:space="preserve"> and </w:t>
      </w:r>
      <w:r w:rsidRPr="00A7665F">
        <w:t>publish</w:t>
      </w:r>
      <w:r w:rsidR="003B3999">
        <w:t>ed</w:t>
      </w:r>
      <w:r w:rsidR="002A0773">
        <w:t xml:space="preserve"> it</w:t>
      </w:r>
      <w:r w:rsidRPr="00A7665F">
        <w:t xml:space="preserve"> on 14</w:t>
      </w:r>
      <w:r w:rsidR="00901786" w:rsidRPr="00A7665F">
        <w:t> </w:t>
      </w:r>
      <w:r w:rsidRPr="00A7665F">
        <w:t>October 2025</w:t>
      </w:r>
      <w:r w:rsidR="002A0773">
        <w:t>.</w:t>
      </w:r>
      <w:r w:rsidRPr="00A7665F">
        <w:t xml:space="preserve"> </w:t>
      </w:r>
      <w:r w:rsidR="002A0773">
        <w:t xml:space="preserve">The new guidance </w:t>
      </w:r>
      <w:r w:rsidRPr="00A7665F">
        <w:t>came into effect on 24 November 2025</w:t>
      </w:r>
      <w:r w:rsidR="002A0773">
        <w:t>, giving p</w:t>
      </w:r>
      <w:r w:rsidRPr="00A7665F">
        <w:t xml:space="preserve">articipants, families and providers </w:t>
      </w:r>
      <w:r w:rsidR="00901786" w:rsidRPr="00A7665F">
        <w:t xml:space="preserve">6 </w:t>
      </w:r>
      <w:r w:rsidRPr="00A7665F">
        <w:t xml:space="preserve">weeks’ notice to prepare for the changes. </w:t>
      </w:r>
      <w:r w:rsidR="002A0773">
        <w:t>The NDIS published s</w:t>
      </w:r>
      <w:r w:rsidRPr="00A7665F">
        <w:t>upporting information on the NDIS website and update</w:t>
      </w:r>
      <w:r w:rsidR="002A0773">
        <w:t>d</w:t>
      </w:r>
      <w:r w:rsidRPr="00A7665F">
        <w:t xml:space="preserve"> relevant NDIA systems.</w:t>
      </w:r>
    </w:p>
    <w:p w14:paraId="640BADE6" w14:textId="77777777" w:rsidR="00C90B12" w:rsidRPr="00A7665F" w:rsidRDefault="00C90B12" w:rsidP="00C90B12">
      <w:r w:rsidRPr="00A7665F">
        <w:t>To inform the first Annual Pricing Review for 2026–27 prices, the NDIA completed its largest pricing consultation to date, with feedback informing the design, sequencing and recommendations of the Annual Pricing Review.</w:t>
      </w:r>
    </w:p>
    <w:p w14:paraId="2F1B42AC" w14:textId="1FA54FD2" w:rsidR="00C90B12" w:rsidRPr="00A7665F" w:rsidRDefault="00C90B12" w:rsidP="00C90B12">
      <w:r w:rsidRPr="00A7665F">
        <w:t>On 22 June 2026 the NDIA released the Annual Pricing Review, setting out guidance on appropriate NDIS pricing arrangements for 2026–27. It recommended some targeted adjustments to keep NDIS price guidance in line with other markets.</w:t>
      </w:r>
    </w:p>
    <w:p w14:paraId="43D98C76" w14:textId="77777777" w:rsidR="00C90B12" w:rsidRPr="00A7665F" w:rsidRDefault="00C90B12" w:rsidP="00C90B12">
      <w:r w:rsidRPr="00A7665F">
        <w:t>Along with the Annual Pricing Review, the NDIA published the NDIS pricing schedule. The pricing schedule took effect from 1 July 2026, and NDIA systems were updated with the relevant maximum recommended prices.</w:t>
      </w:r>
    </w:p>
    <w:p w14:paraId="0BEE6BC1" w14:textId="4A1E513B" w:rsidR="00C90B12" w:rsidRPr="00A7665F" w:rsidRDefault="00C90B12" w:rsidP="00C90B12">
      <w:r w:rsidRPr="00A7665F">
        <w:t>Prices paid by NDIS participants need to be fair, based on evidence and sustainable so participants can continue to access high</w:t>
      </w:r>
      <w:r w:rsidR="00901786" w:rsidRPr="00A7665F">
        <w:t>-</w:t>
      </w:r>
      <w:r w:rsidRPr="00A7665F">
        <w:t xml:space="preserve">quality supports. The pricing guidance is important because it helps participants understand the prices that may apply to NDIS supports and helps them to achieve </w:t>
      </w:r>
      <w:r w:rsidR="00901786" w:rsidRPr="00A7665F">
        <w:t xml:space="preserve">value </w:t>
      </w:r>
      <w:r w:rsidRPr="00A7665F">
        <w:t>for money when purchasing supports.</w:t>
      </w:r>
    </w:p>
    <w:p w14:paraId="54A87945" w14:textId="18D10323" w:rsidR="00C90B12" w:rsidRPr="00A7665F" w:rsidRDefault="00C90B12" w:rsidP="00C90B12">
      <w:pPr>
        <w:tabs>
          <w:tab w:val="num" w:pos="720"/>
        </w:tabs>
      </w:pPr>
      <w:r w:rsidRPr="00A7665F">
        <w:t>In addition to providing pricing guidance, the NDIA continues to work through a number of long-term initiatives to support the development and enhancement of the disability sector.</w:t>
      </w:r>
    </w:p>
    <w:p w14:paraId="5E4121B5" w14:textId="76F04102" w:rsidR="00C90B12" w:rsidRPr="00A7665F" w:rsidRDefault="00C90B12" w:rsidP="00C90B12">
      <w:r w:rsidRPr="00A7665F">
        <w:t xml:space="preserve">On 12 December 2025 the NDIA released a </w:t>
      </w:r>
      <w:r w:rsidR="00901786" w:rsidRPr="00A7665F">
        <w:t>3</w:t>
      </w:r>
      <w:r w:rsidRPr="00A7665F">
        <w:t>-year pricing workplan. The workplan outlines a sequenced, evidence-based approach to improv</w:t>
      </w:r>
      <w:r w:rsidR="002A0773">
        <w:t>ing</w:t>
      </w:r>
      <w:r w:rsidRPr="00A7665F">
        <w:t xml:space="preserve"> NDIS pricing to support participant outcomes and market sustainability. It also provides clarity to the disability community, providers and the broader sector about the NDIA’s pricing approach from 2025</w:t>
      </w:r>
      <w:r w:rsidR="00901786" w:rsidRPr="00A7665F">
        <w:t xml:space="preserve"> to </w:t>
      </w:r>
      <w:r w:rsidRPr="00A7665F">
        <w:t>2028.</w:t>
      </w:r>
    </w:p>
    <w:p w14:paraId="3B7BE4AA" w14:textId="77777777" w:rsidR="008A6449" w:rsidRDefault="00C90B12" w:rsidP="00E228A7">
      <w:r w:rsidRPr="00A7665F">
        <w:t xml:space="preserve">The </w:t>
      </w:r>
      <w:r w:rsidR="002A0773">
        <w:t xml:space="preserve">NDIA developed the </w:t>
      </w:r>
      <w:r w:rsidRPr="00A7665F">
        <w:t xml:space="preserve">workplan in collaboration with the NDIS Quality and Safeguards Commission and </w:t>
      </w:r>
      <w:r w:rsidR="003B3999">
        <w:t xml:space="preserve">DHDA </w:t>
      </w:r>
      <w:r w:rsidRPr="00A7665F">
        <w:t>to ensure alignment with market stewardship objectives and broader registration reforms underway across the support economy.</w:t>
      </w:r>
    </w:p>
    <w:p w14:paraId="44D7A0B1" w14:textId="1AA8095D" w:rsidR="00E7213D" w:rsidRDefault="002E607D" w:rsidP="00E228A7">
      <w:pPr>
        <w:sectPr w:rsidR="00E7213D" w:rsidSect="00EB1047">
          <w:headerReference w:type="default" r:id="rId32"/>
          <w:footerReference w:type="default" r:id="rId33"/>
          <w:pgSz w:w="11906" w:h="16838" w:code="9"/>
          <w:pgMar w:top="1247" w:right="1361" w:bottom="1247" w:left="1361" w:header="567" w:footer="454" w:gutter="0"/>
          <w:cols w:space="708"/>
          <w:docGrid w:linePitch="360"/>
        </w:sectPr>
      </w:pPr>
      <w:r>
        <w:br w:type="page"/>
      </w:r>
    </w:p>
    <w:p w14:paraId="523D8367" w14:textId="37CD3592" w:rsidR="008375E3" w:rsidRDefault="008375E3" w:rsidP="001A225F">
      <w:pPr>
        <w:pStyle w:val="Heading2"/>
      </w:pPr>
      <w:bookmarkStart w:id="34" w:name="_Toc226723909"/>
      <w:bookmarkStart w:id="35" w:name="_Toc241826720"/>
      <w:bookmarkStart w:id="36" w:name="_Toc156980168"/>
      <w:r w:rsidRPr="001A225F">
        <w:t>Section 3: Financial sustainability statements</w:t>
      </w:r>
      <w:bookmarkEnd w:id="34"/>
      <w:bookmarkEnd w:id="35"/>
    </w:p>
    <w:p w14:paraId="1CE6D791" w14:textId="77777777" w:rsidR="002E607D" w:rsidRPr="001A225F" w:rsidRDefault="002E607D" w:rsidP="00183EB4">
      <w:bookmarkStart w:id="37" w:name="_Toc226723910"/>
      <w:r w:rsidRPr="001A225F">
        <w:br w:type="page"/>
      </w:r>
    </w:p>
    <w:p w14:paraId="56BFCDC0" w14:textId="77777777" w:rsidR="00CE41E1" w:rsidRDefault="00CE41E1" w:rsidP="00CE41E1">
      <w:pPr>
        <w:pStyle w:val="Heading3"/>
      </w:pPr>
      <w:bookmarkStart w:id="38" w:name="_Toc231466321"/>
      <w:bookmarkStart w:id="39" w:name="_Toc241826721"/>
      <w:bookmarkStart w:id="40" w:name="_Toc231466324"/>
      <w:bookmarkEnd w:id="37"/>
      <w:r w:rsidRPr="00FD593C">
        <w:t>3.1 Introduction</w:t>
      </w:r>
      <w:bookmarkEnd w:id="38"/>
      <w:bookmarkEnd w:id="39"/>
    </w:p>
    <w:p w14:paraId="3EADF54A" w14:textId="67B6CE51" w:rsidR="00BA74F8" w:rsidRDefault="00BA74F8" w:rsidP="00BA74F8">
      <w:r>
        <w:t xml:space="preserve">Under section 180B of the </w:t>
      </w:r>
      <w:r w:rsidRPr="00FB5EE6">
        <w:rPr>
          <w:i/>
          <w:iCs/>
        </w:rPr>
        <w:t>National Disability Insurance Scheme Act 20</w:t>
      </w:r>
      <w:r w:rsidR="00F14978" w:rsidRPr="00FB5EE6">
        <w:rPr>
          <w:i/>
          <w:iCs/>
        </w:rPr>
        <w:t>1</w:t>
      </w:r>
      <w:r w:rsidRPr="00FB5EE6">
        <w:rPr>
          <w:i/>
          <w:iCs/>
        </w:rPr>
        <w:t>3</w:t>
      </w:r>
      <w:r>
        <w:t xml:space="preserve"> (Cth) (NDIS Act), the Scheme Actuary must provide an annual financial sustainability report (AFSR) and an assessment of the financial sustainability of the NDIS. The AFSR is produced using data at 30 June each year.</w:t>
      </w:r>
    </w:p>
    <w:p w14:paraId="32A7F7DE" w14:textId="77777777" w:rsidR="00BA74F8" w:rsidRDefault="00BA74F8" w:rsidP="00BA74F8">
      <w:r>
        <w:t>The 2025–26 AFSR uses data to 30 June 2026 to project future Scheme expenses. The results in this report are referred to as the ‘June 2026 projections’.</w:t>
      </w:r>
    </w:p>
    <w:p w14:paraId="3E87C850" w14:textId="5AA6E490" w:rsidR="00D40A0C" w:rsidRPr="00D40A0C" w:rsidRDefault="00BA74F8" w:rsidP="00BA74F8">
      <w:r>
        <w:t>The 2024–25 AFSR</w:t>
      </w:r>
      <w:r w:rsidR="00D80B4E">
        <w:rPr>
          <w:rStyle w:val="FootnoteReference"/>
        </w:rPr>
        <w:footnoteReference w:id="1"/>
      </w:r>
      <w:r>
        <w:t xml:space="preserve"> was based on data to 30 June 2025. The results documented in that report are referred to as the ‘June 2025 projections’.</w:t>
      </w:r>
    </w:p>
    <w:p w14:paraId="23336DD1" w14:textId="77777777" w:rsidR="00CE41E1" w:rsidRDefault="00CE41E1" w:rsidP="00CE41E1">
      <w:pPr>
        <w:pStyle w:val="Heading3"/>
      </w:pPr>
      <w:bookmarkStart w:id="41" w:name="_Toc226723911"/>
      <w:bookmarkStart w:id="42" w:name="_Toc231466322"/>
      <w:bookmarkStart w:id="43" w:name="_Toc241826722"/>
      <w:r w:rsidRPr="009561D0">
        <w:t>3.2 Scheme reforms update</w:t>
      </w:r>
      <w:bookmarkEnd w:id="41"/>
      <w:bookmarkEnd w:id="42"/>
      <w:bookmarkEnd w:id="43"/>
    </w:p>
    <w:p w14:paraId="776AC4D4" w14:textId="4497ECDA" w:rsidR="00454A60" w:rsidRDefault="00454A60" w:rsidP="00454A60">
      <w:r>
        <w:t>As part of the 2026</w:t>
      </w:r>
      <w:r w:rsidR="00161EA5">
        <w:t>–</w:t>
      </w:r>
      <w:r>
        <w:t>27 federal Budget, additional NDIS reform measures were announced to moderate the growth in estimated NDIS expenditure over the 4 years to 2029–30, with further moderation over the medium-term in line with the National Cabinet’s commitment to target annual growth at or below 5</w:t>
      </w:r>
      <w:r w:rsidR="00CC3702">
        <w:t>–</w:t>
      </w:r>
      <w:r>
        <w:t>6%. On 14 May 2026, the Government introduced the National Disability Insurance Scheme Amendment (Securing the NDIS for Future Generations) Bill 2026</w:t>
      </w:r>
      <w:r w:rsidR="002E0CA9">
        <w:rPr>
          <w:rStyle w:val="FootnoteReference"/>
        </w:rPr>
        <w:footnoteReference w:id="2"/>
      </w:r>
      <w:r>
        <w:t xml:space="preserve"> to Parliament. The Bill was passed by </w:t>
      </w:r>
      <w:r w:rsidR="00E82EC6">
        <w:t>p</w:t>
      </w:r>
      <w:r>
        <w:t>arliament on 19 August 2026 with some further refinements made.</w:t>
      </w:r>
    </w:p>
    <w:p w14:paraId="19842716" w14:textId="443AAA7F" w:rsidR="00AC0A02" w:rsidRPr="00AC0A02" w:rsidRDefault="00454A60" w:rsidP="00AC0A02">
      <w:r>
        <w:t>An allowance is made</w:t>
      </w:r>
      <w:r w:rsidR="0064265D">
        <w:t xml:space="preserve"> in the projected scheme expenses</w:t>
      </w:r>
      <w:r>
        <w:t xml:space="preserve"> </w:t>
      </w:r>
      <w:r w:rsidR="00890216">
        <w:t>for Scheme</w:t>
      </w:r>
      <w:r>
        <w:t xml:space="preserve"> reform measures</w:t>
      </w:r>
      <w:r w:rsidR="005B7264">
        <w:t xml:space="preserve"> noting that some measures</w:t>
      </w:r>
      <w:r>
        <w:t xml:space="preserve"> are yet to be implement</w:t>
      </w:r>
      <w:r w:rsidR="005B7264">
        <w:t>ed</w:t>
      </w:r>
      <w:r>
        <w:t xml:space="preserve"> </w:t>
      </w:r>
      <w:r w:rsidR="00C13AE6">
        <w:t>(called</w:t>
      </w:r>
      <w:r>
        <w:t xml:space="preserve"> </w:t>
      </w:r>
      <w:r w:rsidR="00C13AE6">
        <w:t>‘</w:t>
      </w:r>
      <w:r>
        <w:t>future reforms</w:t>
      </w:r>
      <w:r w:rsidR="00C13AE6">
        <w:t>’</w:t>
      </w:r>
      <w:r w:rsidR="00324A0E">
        <w:t>)</w:t>
      </w:r>
      <w:r>
        <w:t>.</w:t>
      </w:r>
      <w:bookmarkStart w:id="44" w:name="_Toc226723912"/>
      <w:bookmarkStart w:id="45" w:name="_Toc231466323"/>
      <w:r w:rsidR="00AC0A02" w:rsidRPr="00AC0A02">
        <w:br w:type="page"/>
      </w:r>
    </w:p>
    <w:p w14:paraId="6BD17FC5" w14:textId="4DA6F7FB" w:rsidR="00CE41E1" w:rsidRDefault="00CE41E1" w:rsidP="00CE41E1">
      <w:pPr>
        <w:pStyle w:val="Heading3"/>
      </w:pPr>
      <w:bookmarkStart w:id="46" w:name="_Toc241826723"/>
      <w:r>
        <w:t>3.3 June 2026 projection of Scheme expenses</w:t>
      </w:r>
      <w:bookmarkEnd w:id="44"/>
      <w:bookmarkEnd w:id="45"/>
      <w:bookmarkEnd w:id="46"/>
    </w:p>
    <w:p w14:paraId="0CF1573A" w14:textId="72C0E53F" w:rsidR="00612CB7" w:rsidRDefault="00612CB7" w:rsidP="00612CB7">
      <w:r>
        <w:t>Scheme projection results for June 2026 are derived in 2 steps:</w:t>
      </w:r>
    </w:p>
    <w:p w14:paraId="21ABF5F5" w14:textId="1366363F" w:rsidR="00612CB7" w:rsidRDefault="00612CB7" w:rsidP="00612CB7">
      <w:pPr>
        <w:pStyle w:val="Bullet1"/>
      </w:pPr>
      <w:r>
        <w:t xml:space="preserve">projecting Scheme expenses using participant numbers </w:t>
      </w:r>
      <w:r w:rsidR="00ED140E">
        <w:t xml:space="preserve">and plans </w:t>
      </w:r>
      <w:r>
        <w:t>at 30 June 2026 and experience-based assumptions, referred to as ‘experience-based projections’, and</w:t>
      </w:r>
    </w:p>
    <w:p w14:paraId="5D078015" w14:textId="2992E26A" w:rsidR="00612CB7" w:rsidRDefault="00612CB7" w:rsidP="00612CB7">
      <w:pPr>
        <w:pStyle w:val="Bullet1"/>
      </w:pPr>
      <w:r>
        <w:t>incorporating the estimated impacts of future Scheme reforms, to arrive at ‘post-reforms projections’.</w:t>
      </w:r>
    </w:p>
    <w:p w14:paraId="239AD866" w14:textId="03C99BCB" w:rsidR="0083232A" w:rsidRPr="0083232A" w:rsidRDefault="00612CB7" w:rsidP="00612CB7">
      <w:r>
        <w:t>Experience-based assumptions are predominantly based on observed Scheme experience, covering participant- and plan-related assumptions; and pricing and economic assumptions. Assumptions relating to future Scheme reforms involve a higher degree of judgement and uncertainty.</w:t>
      </w:r>
    </w:p>
    <w:p w14:paraId="2BA4301A" w14:textId="533BDA90" w:rsidR="00CE41E1" w:rsidRDefault="00CE41E1" w:rsidP="00CE41E1">
      <w:pPr>
        <w:pStyle w:val="Heading4"/>
      </w:pPr>
      <w:r>
        <w:t>Experience</w:t>
      </w:r>
      <w:r w:rsidR="00E82EC6">
        <w:t>-</w:t>
      </w:r>
      <w:r>
        <w:t>based Scheme projections</w:t>
      </w:r>
    </w:p>
    <w:p w14:paraId="7B07ACEA" w14:textId="45796B94" w:rsidR="00BC4A59" w:rsidRDefault="00BC4A59" w:rsidP="00BC4A59">
      <w:r>
        <w:t>The June 2026 experience-based projections resulted in projected Scheme expenses on an accrual basis of $55.9 billion in 2026–27, increasing to $73.3 billion in 2029–30</w:t>
      </w:r>
      <w:r w:rsidR="0072228B">
        <w:t>,</w:t>
      </w:r>
      <w:r>
        <w:rPr>
          <w:rStyle w:val="FootnoteReference"/>
        </w:rPr>
        <w:footnoteReference w:id="3"/>
      </w:r>
      <w:r>
        <w:t xml:space="preserve"> with a total of $257.6 billion over the 4 years to June 2030 as shown in table 1</w:t>
      </w:r>
      <w:r w:rsidR="00530AF3">
        <w:t>5</w:t>
      </w:r>
      <w:r>
        <w:t>. The June 2026 experience-based projections are $13.8 billion higher than for the same 4-year period in the June 2025 experience-based projections</w:t>
      </w:r>
      <w:r w:rsidR="0072228B">
        <w:t>.</w:t>
      </w:r>
      <w:r w:rsidR="0054145A">
        <w:rPr>
          <w:rStyle w:val="FootnoteReference"/>
        </w:rPr>
        <w:footnoteReference w:id="4"/>
      </w:r>
    </w:p>
    <w:p w14:paraId="249F9619" w14:textId="708191B4" w:rsidR="00B62134" w:rsidRPr="00B62134" w:rsidRDefault="00BC4A59" w:rsidP="00BC4A59">
      <w:r>
        <w:t>The June 2026 experience-based projections incorporate a revision to assumptions and changes in future expectations, informed by observed experience and trends over the 12 months since the June 2025 projections.</w:t>
      </w:r>
    </w:p>
    <w:p w14:paraId="722C3ED9" w14:textId="3D2817CB" w:rsidR="00312F41" w:rsidRDefault="00D76E0E" w:rsidP="00D76E0E">
      <w:pPr>
        <w:pStyle w:val="Caption"/>
      </w:pPr>
      <w:r>
        <w:t>Table 15. C</w:t>
      </w:r>
      <w:r w:rsidR="004C4734">
        <w:t>omparison with June 2025 experience-based project</w:t>
      </w:r>
      <w:r w:rsidR="00EC7B9D">
        <w:t>ion</w:t>
      </w:r>
      <w:r w:rsidR="004C4734">
        <w:t>s</w:t>
      </w:r>
    </w:p>
    <w:tbl>
      <w:tblPr>
        <w:tblStyle w:val="NDISTable12"/>
        <w:tblW w:w="9185"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3515"/>
        <w:gridCol w:w="1134"/>
        <w:gridCol w:w="1134"/>
        <w:gridCol w:w="1134"/>
        <w:gridCol w:w="1134"/>
        <w:gridCol w:w="1134"/>
      </w:tblGrid>
      <w:tr w:rsidR="00776D0D" w:rsidRPr="00776D0D" w14:paraId="6976398C" w14:textId="77777777" w:rsidTr="00B95757">
        <w:trPr>
          <w:cnfStyle w:val="100000000000" w:firstRow="1" w:lastRow="0" w:firstColumn="0" w:lastColumn="0" w:oddVBand="0" w:evenVBand="0" w:oddHBand="0" w:evenHBand="0" w:firstRowFirstColumn="0" w:firstRowLastColumn="0" w:lastRowFirstColumn="0" w:lastRowLastColumn="0"/>
        </w:trPr>
        <w:tc>
          <w:tcPr>
            <w:tcW w:w="3515" w:type="dxa"/>
          </w:tcPr>
          <w:p w14:paraId="5763F65A" w14:textId="77777777" w:rsidR="00776D0D" w:rsidRPr="00776D0D" w:rsidRDefault="00776D0D" w:rsidP="008401D4">
            <w:pPr>
              <w:keepNext/>
              <w:spacing w:before="100" w:after="100" w:line="312" w:lineRule="auto"/>
              <w:rPr>
                <w:rFonts w:eastAsia="MS Mincho" w:cs="Arial"/>
                <w:b w:val="0"/>
                <w:szCs w:val="22"/>
              </w:rPr>
            </w:pPr>
            <w:r w:rsidRPr="00776D0D">
              <w:rPr>
                <w:rFonts w:eastAsia="MS Mincho" w:cs="Arial"/>
                <w:b w:val="0"/>
                <w:szCs w:val="22"/>
                <w:lang w:val="en-GB"/>
              </w:rPr>
              <w:t>Scheme expenses ($m accrual basis)</w:t>
            </w:r>
          </w:p>
        </w:tc>
        <w:tc>
          <w:tcPr>
            <w:tcW w:w="1134" w:type="dxa"/>
          </w:tcPr>
          <w:p w14:paraId="30EEB3DC" w14:textId="77777777" w:rsidR="00776D0D" w:rsidRPr="00776D0D" w:rsidRDefault="00776D0D" w:rsidP="008401D4">
            <w:pPr>
              <w:spacing w:before="100" w:after="100" w:line="312" w:lineRule="auto"/>
              <w:jc w:val="right"/>
              <w:rPr>
                <w:rFonts w:eastAsia="MS Mincho" w:cs="Arial"/>
                <w:b w:val="0"/>
                <w:szCs w:val="22"/>
              </w:rPr>
            </w:pPr>
            <w:r w:rsidRPr="00776D0D">
              <w:rPr>
                <w:rFonts w:eastAsia="MS Mincho" w:cs="Arial"/>
                <w:b w:val="0"/>
                <w:szCs w:val="22"/>
                <w:lang w:val="en-GB"/>
              </w:rPr>
              <w:t xml:space="preserve">2026–27 </w:t>
            </w:r>
          </w:p>
        </w:tc>
        <w:tc>
          <w:tcPr>
            <w:tcW w:w="1134" w:type="dxa"/>
          </w:tcPr>
          <w:p w14:paraId="5076DE9B" w14:textId="77777777" w:rsidR="00776D0D" w:rsidRPr="00776D0D" w:rsidRDefault="00776D0D" w:rsidP="008401D4">
            <w:pPr>
              <w:spacing w:before="100" w:after="100" w:line="312" w:lineRule="auto"/>
              <w:jc w:val="right"/>
              <w:rPr>
                <w:rFonts w:eastAsia="MS Mincho" w:cs="Arial"/>
                <w:b w:val="0"/>
                <w:szCs w:val="22"/>
              </w:rPr>
            </w:pPr>
            <w:r w:rsidRPr="00776D0D">
              <w:rPr>
                <w:rFonts w:eastAsia="MS Mincho" w:cs="Arial"/>
                <w:b w:val="0"/>
                <w:szCs w:val="22"/>
                <w:lang w:val="en-GB"/>
              </w:rPr>
              <w:t>2027–28</w:t>
            </w:r>
          </w:p>
        </w:tc>
        <w:tc>
          <w:tcPr>
            <w:tcW w:w="1134" w:type="dxa"/>
          </w:tcPr>
          <w:p w14:paraId="7B46B86C" w14:textId="77777777" w:rsidR="00776D0D" w:rsidRPr="00776D0D" w:rsidRDefault="00776D0D" w:rsidP="008401D4">
            <w:pPr>
              <w:spacing w:before="100" w:after="100" w:line="312" w:lineRule="auto"/>
              <w:jc w:val="right"/>
              <w:rPr>
                <w:rFonts w:eastAsia="MS Mincho" w:cs="Arial"/>
                <w:b w:val="0"/>
                <w:szCs w:val="22"/>
              </w:rPr>
            </w:pPr>
            <w:r w:rsidRPr="00776D0D">
              <w:rPr>
                <w:rFonts w:eastAsia="MS Mincho" w:cs="Arial"/>
                <w:b w:val="0"/>
                <w:szCs w:val="22"/>
                <w:lang w:val="en-GB"/>
              </w:rPr>
              <w:t>2028–29</w:t>
            </w:r>
          </w:p>
        </w:tc>
        <w:tc>
          <w:tcPr>
            <w:tcW w:w="1134" w:type="dxa"/>
          </w:tcPr>
          <w:p w14:paraId="631DF873" w14:textId="77777777" w:rsidR="00776D0D" w:rsidRPr="00776D0D" w:rsidRDefault="00776D0D" w:rsidP="008401D4">
            <w:pPr>
              <w:spacing w:before="100" w:after="100" w:line="312" w:lineRule="auto"/>
              <w:jc w:val="right"/>
              <w:rPr>
                <w:rFonts w:eastAsia="MS Mincho" w:cs="Arial"/>
                <w:b w:val="0"/>
                <w:szCs w:val="22"/>
              </w:rPr>
            </w:pPr>
            <w:r w:rsidRPr="00776D0D">
              <w:rPr>
                <w:rFonts w:eastAsia="MS Mincho" w:cs="Arial"/>
                <w:b w:val="0"/>
                <w:szCs w:val="22"/>
                <w:lang w:val="en-GB"/>
              </w:rPr>
              <w:t>2029–30</w:t>
            </w:r>
          </w:p>
        </w:tc>
        <w:tc>
          <w:tcPr>
            <w:tcW w:w="1134" w:type="dxa"/>
          </w:tcPr>
          <w:p w14:paraId="0FD13F4D" w14:textId="77777777" w:rsidR="00776D0D" w:rsidRPr="00776D0D" w:rsidRDefault="00776D0D" w:rsidP="008401D4">
            <w:pPr>
              <w:spacing w:before="100" w:after="100" w:line="312" w:lineRule="auto"/>
              <w:jc w:val="right"/>
              <w:rPr>
                <w:rFonts w:eastAsia="MS Mincho" w:cs="Arial"/>
                <w:b w:val="0"/>
                <w:szCs w:val="22"/>
              </w:rPr>
            </w:pPr>
            <w:r w:rsidRPr="00776D0D">
              <w:rPr>
                <w:rFonts w:eastAsia="MS Mincho" w:cs="Arial"/>
                <w:b w:val="0"/>
                <w:szCs w:val="22"/>
                <w:lang w:val="en-GB"/>
              </w:rPr>
              <w:t xml:space="preserve">Total </w:t>
            </w:r>
            <w:r w:rsidRPr="00776D0D">
              <w:rPr>
                <w:rFonts w:eastAsia="MS Mincho" w:cs="Arial"/>
                <w:b w:val="0"/>
                <w:szCs w:val="22"/>
                <w:lang w:val="en-GB"/>
              </w:rPr>
              <w:br/>
              <w:t xml:space="preserve">2026–30 </w:t>
            </w:r>
          </w:p>
        </w:tc>
      </w:tr>
      <w:tr w:rsidR="00776D0D" w:rsidRPr="00776D0D" w14:paraId="52AA7CF3" w14:textId="77777777" w:rsidTr="00B95757">
        <w:trPr>
          <w:cnfStyle w:val="000000100000" w:firstRow="0" w:lastRow="0" w:firstColumn="0" w:lastColumn="0" w:oddVBand="0" w:evenVBand="0" w:oddHBand="1" w:evenHBand="0" w:firstRowFirstColumn="0" w:firstRowLastColumn="0" w:lastRowFirstColumn="0" w:lastRowLastColumn="0"/>
          <w:cantSplit/>
        </w:trPr>
        <w:tc>
          <w:tcPr>
            <w:tcW w:w="3515" w:type="dxa"/>
          </w:tcPr>
          <w:p w14:paraId="778AA21F" w14:textId="77777777" w:rsidR="00776D0D" w:rsidRPr="00776D0D" w:rsidRDefault="00776D0D" w:rsidP="008401D4">
            <w:pPr>
              <w:spacing w:before="100" w:after="100" w:line="312" w:lineRule="auto"/>
              <w:rPr>
                <w:rFonts w:eastAsia="MS Mincho" w:cs="Arial"/>
                <w:b/>
                <w:szCs w:val="22"/>
              </w:rPr>
            </w:pPr>
            <w:r w:rsidRPr="00776D0D">
              <w:rPr>
                <w:rFonts w:eastAsia="MS Mincho" w:cs="Arial"/>
                <w:b/>
                <w:szCs w:val="22"/>
                <w:lang w:val="en-GB"/>
              </w:rPr>
              <w:t>June 2026 experience-based projections (a)</w:t>
            </w:r>
          </w:p>
        </w:tc>
        <w:tc>
          <w:tcPr>
            <w:tcW w:w="1134" w:type="dxa"/>
          </w:tcPr>
          <w:p w14:paraId="1C7A7F8B"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55,944</w:t>
            </w:r>
          </w:p>
        </w:tc>
        <w:tc>
          <w:tcPr>
            <w:tcW w:w="1134" w:type="dxa"/>
          </w:tcPr>
          <w:p w14:paraId="227BA9C6"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61,240</w:t>
            </w:r>
          </w:p>
        </w:tc>
        <w:tc>
          <w:tcPr>
            <w:tcW w:w="1134" w:type="dxa"/>
          </w:tcPr>
          <w:p w14:paraId="7D2CE632"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67,084</w:t>
            </w:r>
          </w:p>
        </w:tc>
        <w:tc>
          <w:tcPr>
            <w:tcW w:w="1134" w:type="dxa"/>
          </w:tcPr>
          <w:p w14:paraId="3E880121"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73,335</w:t>
            </w:r>
          </w:p>
        </w:tc>
        <w:tc>
          <w:tcPr>
            <w:tcW w:w="1134" w:type="dxa"/>
          </w:tcPr>
          <w:p w14:paraId="02A0174C"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257,602</w:t>
            </w:r>
          </w:p>
        </w:tc>
      </w:tr>
      <w:tr w:rsidR="00776D0D" w:rsidRPr="00776D0D" w14:paraId="294458B5" w14:textId="77777777" w:rsidTr="00B95757">
        <w:trPr>
          <w:cnfStyle w:val="000000010000" w:firstRow="0" w:lastRow="0" w:firstColumn="0" w:lastColumn="0" w:oddVBand="0" w:evenVBand="0" w:oddHBand="0" w:evenHBand="1" w:firstRowFirstColumn="0" w:firstRowLastColumn="0" w:lastRowFirstColumn="0" w:lastRowLastColumn="0"/>
          <w:cantSplit/>
        </w:trPr>
        <w:tc>
          <w:tcPr>
            <w:tcW w:w="3515" w:type="dxa"/>
          </w:tcPr>
          <w:p w14:paraId="718854E9" w14:textId="77777777" w:rsidR="00776D0D" w:rsidRPr="00776D0D" w:rsidRDefault="00776D0D" w:rsidP="008401D4">
            <w:pPr>
              <w:spacing w:before="100" w:after="100" w:line="312" w:lineRule="auto"/>
              <w:rPr>
                <w:rFonts w:eastAsia="MS Mincho" w:cs="Arial"/>
                <w:b/>
                <w:szCs w:val="22"/>
              </w:rPr>
            </w:pPr>
            <w:r w:rsidRPr="00776D0D">
              <w:rPr>
                <w:rFonts w:eastAsia="MS Mincho" w:cs="Arial"/>
                <w:b/>
                <w:szCs w:val="22"/>
                <w:lang w:val="en-GB"/>
              </w:rPr>
              <w:t>June 2025 experience-based projections (b)</w:t>
            </w:r>
          </w:p>
        </w:tc>
        <w:tc>
          <w:tcPr>
            <w:tcW w:w="1134" w:type="dxa"/>
          </w:tcPr>
          <w:p w14:paraId="162E6F4D"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54,334</w:t>
            </w:r>
          </w:p>
        </w:tc>
        <w:tc>
          <w:tcPr>
            <w:tcW w:w="1134" w:type="dxa"/>
          </w:tcPr>
          <w:p w14:paraId="0E708BCE"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58,523</w:t>
            </w:r>
          </w:p>
        </w:tc>
        <w:tc>
          <w:tcPr>
            <w:tcW w:w="1134" w:type="dxa"/>
          </w:tcPr>
          <w:p w14:paraId="0EB02579"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63,037</w:t>
            </w:r>
          </w:p>
        </w:tc>
        <w:tc>
          <w:tcPr>
            <w:tcW w:w="1134" w:type="dxa"/>
          </w:tcPr>
          <w:p w14:paraId="169A38F3"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67,898</w:t>
            </w:r>
          </w:p>
        </w:tc>
        <w:tc>
          <w:tcPr>
            <w:tcW w:w="1134" w:type="dxa"/>
          </w:tcPr>
          <w:p w14:paraId="35877947"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243,792</w:t>
            </w:r>
          </w:p>
        </w:tc>
      </w:tr>
      <w:tr w:rsidR="00776D0D" w:rsidRPr="00776D0D" w14:paraId="32567BB5" w14:textId="77777777" w:rsidTr="00B95757">
        <w:trPr>
          <w:cnfStyle w:val="000000100000" w:firstRow="0" w:lastRow="0" w:firstColumn="0" w:lastColumn="0" w:oddVBand="0" w:evenVBand="0" w:oddHBand="1" w:evenHBand="0" w:firstRowFirstColumn="0" w:firstRowLastColumn="0" w:lastRowFirstColumn="0" w:lastRowLastColumn="0"/>
          <w:cantSplit/>
        </w:trPr>
        <w:tc>
          <w:tcPr>
            <w:tcW w:w="3515" w:type="dxa"/>
          </w:tcPr>
          <w:p w14:paraId="3E0BEF45" w14:textId="77777777" w:rsidR="00776D0D" w:rsidRPr="00776D0D" w:rsidRDefault="00776D0D" w:rsidP="008401D4">
            <w:pPr>
              <w:spacing w:before="100" w:after="100" w:line="312" w:lineRule="auto"/>
              <w:rPr>
                <w:rFonts w:eastAsia="MS Mincho" w:cs="Arial"/>
                <w:b/>
                <w:szCs w:val="22"/>
              </w:rPr>
            </w:pPr>
            <w:r w:rsidRPr="00776D0D">
              <w:rPr>
                <w:rFonts w:eastAsia="MS Mincho" w:cs="Arial"/>
                <w:b/>
                <w:szCs w:val="22"/>
                <w:lang w:val="en-GB"/>
              </w:rPr>
              <w:t>Difference (a - b)</w:t>
            </w:r>
          </w:p>
        </w:tc>
        <w:tc>
          <w:tcPr>
            <w:tcW w:w="1134" w:type="dxa"/>
          </w:tcPr>
          <w:p w14:paraId="6AE709E6"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1,610</w:t>
            </w:r>
          </w:p>
        </w:tc>
        <w:tc>
          <w:tcPr>
            <w:tcW w:w="1134" w:type="dxa"/>
          </w:tcPr>
          <w:p w14:paraId="3C73A29C"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2,716</w:t>
            </w:r>
          </w:p>
        </w:tc>
        <w:tc>
          <w:tcPr>
            <w:tcW w:w="1134" w:type="dxa"/>
          </w:tcPr>
          <w:p w14:paraId="3B31FD6F"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4,047</w:t>
            </w:r>
          </w:p>
        </w:tc>
        <w:tc>
          <w:tcPr>
            <w:tcW w:w="1134" w:type="dxa"/>
          </w:tcPr>
          <w:p w14:paraId="07D45F19"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5,437</w:t>
            </w:r>
          </w:p>
        </w:tc>
        <w:tc>
          <w:tcPr>
            <w:tcW w:w="1134" w:type="dxa"/>
          </w:tcPr>
          <w:p w14:paraId="7950F867"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13,810</w:t>
            </w:r>
          </w:p>
        </w:tc>
      </w:tr>
      <w:tr w:rsidR="00776D0D" w:rsidRPr="00776D0D" w14:paraId="56A6F7AD" w14:textId="77777777" w:rsidTr="00B95757">
        <w:trPr>
          <w:cnfStyle w:val="000000010000" w:firstRow="0" w:lastRow="0" w:firstColumn="0" w:lastColumn="0" w:oddVBand="0" w:evenVBand="0" w:oddHBand="0" w:evenHBand="1" w:firstRowFirstColumn="0" w:firstRowLastColumn="0" w:lastRowFirstColumn="0" w:lastRowLastColumn="0"/>
          <w:cantSplit/>
        </w:trPr>
        <w:tc>
          <w:tcPr>
            <w:tcW w:w="3515" w:type="dxa"/>
          </w:tcPr>
          <w:p w14:paraId="3AD4A4FF" w14:textId="77777777" w:rsidR="00776D0D" w:rsidRPr="00776D0D" w:rsidRDefault="00776D0D" w:rsidP="008401D4">
            <w:pPr>
              <w:spacing w:before="100" w:after="100" w:line="312" w:lineRule="auto"/>
              <w:rPr>
                <w:rFonts w:eastAsia="MS Mincho" w:cs="Arial"/>
                <w:b/>
                <w:szCs w:val="22"/>
                <w:lang w:val="en-GB"/>
              </w:rPr>
            </w:pPr>
            <w:r w:rsidRPr="00776D0D">
              <w:rPr>
                <w:rFonts w:eastAsia="MS Mincho" w:cs="Arial"/>
                <w:b/>
                <w:szCs w:val="22"/>
                <w:lang w:val="en-GB"/>
              </w:rPr>
              <w:t>Difference (%) (a/b - 1)</w:t>
            </w:r>
          </w:p>
        </w:tc>
        <w:tc>
          <w:tcPr>
            <w:tcW w:w="1134" w:type="dxa"/>
          </w:tcPr>
          <w:p w14:paraId="0ACAA71A"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3.0%</w:t>
            </w:r>
          </w:p>
        </w:tc>
        <w:tc>
          <w:tcPr>
            <w:tcW w:w="1134" w:type="dxa"/>
          </w:tcPr>
          <w:p w14:paraId="1B794978"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4.6%</w:t>
            </w:r>
          </w:p>
        </w:tc>
        <w:tc>
          <w:tcPr>
            <w:tcW w:w="1134" w:type="dxa"/>
          </w:tcPr>
          <w:p w14:paraId="17043CD7"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6.4%</w:t>
            </w:r>
          </w:p>
        </w:tc>
        <w:tc>
          <w:tcPr>
            <w:tcW w:w="1134" w:type="dxa"/>
          </w:tcPr>
          <w:p w14:paraId="189EB915" w14:textId="77777777" w:rsidR="00776D0D" w:rsidRPr="00776D0D" w:rsidRDefault="00776D0D" w:rsidP="008401D4">
            <w:pPr>
              <w:spacing w:before="100" w:after="100" w:line="312" w:lineRule="auto"/>
              <w:jc w:val="right"/>
              <w:rPr>
                <w:rFonts w:eastAsia="MS Mincho" w:cs="Arial"/>
                <w:bCs/>
                <w:szCs w:val="22"/>
              </w:rPr>
            </w:pPr>
            <w:r w:rsidRPr="00776D0D">
              <w:rPr>
                <w:rFonts w:eastAsia="MS Mincho" w:cs="Arial"/>
                <w:bCs/>
                <w:szCs w:val="22"/>
              </w:rPr>
              <w:t>8.0%</w:t>
            </w:r>
          </w:p>
        </w:tc>
        <w:tc>
          <w:tcPr>
            <w:tcW w:w="1134" w:type="dxa"/>
          </w:tcPr>
          <w:p w14:paraId="1C2F1E37" w14:textId="77777777" w:rsidR="00776D0D" w:rsidRPr="00776D0D" w:rsidRDefault="00776D0D" w:rsidP="008401D4">
            <w:pPr>
              <w:spacing w:before="100" w:after="100" w:line="312" w:lineRule="auto"/>
              <w:jc w:val="right"/>
              <w:rPr>
                <w:rFonts w:eastAsia="MS Mincho" w:cs="Arial"/>
                <w:bCs/>
                <w:szCs w:val="22"/>
                <w:lang w:val="en-GB"/>
              </w:rPr>
            </w:pPr>
            <w:r w:rsidRPr="00776D0D">
              <w:rPr>
                <w:rFonts w:eastAsia="MS Mincho" w:cs="Arial"/>
                <w:bCs/>
                <w:szCs w:val="22"/>
                <w:lang w:val="en-GB"/>
              </w:rPr>
              <w:t>5.7%</w:t>
            </w:r>
          </w:p>
        </w:tc>
      </w:tr>
    </w:tbl>
    <w:p w14:paraId="0D56BE8E" w14:textId="0A444887" w:rsidR="004C4734" w:rsidRPr="00E746CB" w:rsidRDefault="00E746CB" w:rsidP="006C188B">
      <w:pPr>
        <w:pStyle w:val="Tablenote"/>
        <w:keepNext/>
        <w:rPr>
          <w:b/>
          <w:bCs/>
        </w:rPr>
      </w:pPr>
      <w:r w:rsidRPr="00E746CB">
        <w:rPr>
          <w:b/>
          <w:bCs/>
        </w:rPr>
        <w:t>Note:</w:t>
      </w:r>
    </w:p>
    <w:p w14:paraId="0A803A5F" w14:textId="5E20E0E9" w:rsidR="00E746CB" w:rsidRDefault="00E746CB" w:rsidP="00E746CB">
      <w:pPr>
        <w:pStyle w:val="Tablenote"/>
      </w:pPr>
      <w:r>
        <w:t>1 Values have been rounded to the nearest whole number</w:t>
      </w:r>
      <w:r w:rsidR="003355F7">
        <w:t>;</w:t>
      </w:r>
      <w:r>
        <w:t xml:space="preserve"> differences are calculated from unrounded metrics</w:t>
      </w:r>
      <w:r w:rsidR="00A171B1">
        <w:t>.</w:t>
      </w:r>
    </w:p>
    <w:p w14:paraId="57A0BF10" w14:textId="2E6123D0" w:rsidR="00377C14" w:rsidRDefault="00377C14" w:rsidP="00377C14">
      <w:r>
        <w:t>Updates for actual Scheme experience, for the 12 months ending 30 June 2026, have increased Scheme expense projections by $4.9 billion (2.0%) for the 4 years to 30 June 2030. Experience related to participant numbers and mix increased Scheme projections over the 4-year forward estimate period by $1.3 billion. Higher average payments per participant over the 12 months ending 30 June 2026 increased Scheme projections by $3.6 billion.</w:t>
      </w:r>
    </w:p>
    <w:p w14:paraId="749C468E" w14:textId="4CCEAEB7" w:rsidR="00C77180" w:rsidRDefault="00377C14" w:rsidP="00377C14">
      <w:r>
        <w:t>Revisions made to assumptions about future experience have increased projected Scheme expenses by $8.9 billion (3.7%) for the 4 years to 30 June 2030. Of this total:</w:t>
      </w:r>
    </w:p>
    <w:p w14:paraId="4B17647B" w14:textId="77777777" w:rsidR="003623B2" w:rsidRDefault="003623B2" w:rsidP="003623B2">
      <w:pPr>
        <w:pStyle w:val="Bullet1"/>
      </w:pPr>
      <w:r>
        <w:t>assumptions related to participant numbers and mix account for an increase of $2.3 billion, mostly related to new entrants</w:t>
      </w:r>
    </w:p>
    <w:p w14:paraId="5B76AF54" w14:textId="5FA79BE2" w:rsidR="003623B2" w:rsidRDefault="003623B2" w:rsidP="003623B2">
      <w:pPr>
        <w:pStyle w:val="Bullet1"/>
      </w:pPr>
      <w:r>
        <w:t>pricing</w:t>
      </w:r>
      <w:r w:rsidR="003355F7">
        <w:t>-</w:t>
      </w:r>
      <w:r>
        <w:t>related assumptions account for an increase of $0.4 billion overall, including updates related to future assumed prices for supports (a $1.4 billion reduction), and decisions by the Fair Work Commission (FWC) to increase the minimum wage for disability support workers and the minimum award wage gender undervaluation (a $1.8 billion increase)</w:t>
      </w:r>
    </w:p>
    <w:p w14:paraId="733111E3" w14:textId="77777777" w:rsidR="003623B2" w:rsidRDefault="003623B2" w:rsidP="003623B2">
      <w:pPr>
        <w:pStyle w:val="Bullet1"/>
      </w:pPr>
      <w:r>
        <w:t>assumptions related to plan inflation and rates of utilisation account for an increase of $6.2 billion relative to June 2025 experience-based projections.</w:t>
      </w:r>
    </w:p>
    <w:p w14:paraId="6D40EAAC" w14:textId="0304CE5F" w:rsidR="00CE41E1" w:rsidRDefault="00CE41E1" w:rsidP="00CE41E1">
      <w:pPr>
        <w:pStyle w:val="Heading4"/>
      </w:pPr>
      <w:r>
        <w:t xml:space="preserve">Estimated </w:t>
      </w:r>
      <w:r w:rsidR="00546350">
        <w:t>impact of</w:t>
      </w:r>
      <w:r>
        <w:t xml:space="preserve"> Scheme reforms</w:t>
      </w:r>
    </w:p>
    <w:p w14:paraId="67FEB8B3" w14:textId="64CB16C9" w:rsidR="00E067B9" w:rsidRDefault="00E067B9" w:rsidP="00E067B9">
      <w:r>
        <w:t xml:space="preserve">Scheme reforms are estimated to </w:t>
      </w:r>
      <w:r w:rsidR="00546350">
        <w:t>reduce projected expenses by</w:t>
      </w:r>
      <w:r>
        <w:t xml:space="preserve"> $38.</w:t>
      </w:r>
      <w:r w:rsidR="00037DC4">
        <w:t>2</w:t>
      </w:r>
      <w:r>
        <w:t xml:space="preserve"> billion over the 4 years to June 2030, as shown in table </w:t>
      </w:r>
      <w:r w:rsidR="00D438F0">
        <w:t>16</w:t>
      </w:r>
      <w:r>
        <w:t>.</w:t>
      </w:r>
    </w:p>
    <w:p w14:paraId="135C8FCC" w14:textId="5E360A6A" w:rsidR="006A5040" w:rsidRPr="006A5040" w:rsidRDefault="00E067B9" w:rsidP="00E067B9">
      <w:r>
        <w:t xml:space="preserve">The anticipated impacts from future Scheme reforms result in a significant reduction in the annual growth in Scheme expenses over the 4-year forward estimate period (2026–30). The annual increase in Scheme expenses reduces to 6.0% in 2026–27, decreasing to 0.9% </w:t>
      </w:r>
      <w:r w:rsidR="00D84B0C">
        <w:t>in</w:t>
      </w:r>
      <w:r>
        <w:t xml:space="preserve"> 2027</w:t>
      </w:r>
      <w:r w:rsidR="00161EA5">
        <w:t>–</w:t>
      </w:r>
      <w:r>
        <w:t>2</w:t>
      </w:r>
      <w:r w:rsidR="00B702BC">
        <w:t>8, 0.8% in 2028–29</w:t>
      </w:r>
      <w:r>
        <w:t xml:space="preserve"> and 0.1% in 2029–30. This compares to an annual Scheme growth of 9.4% per annum before allowing for future reforms.</w:t>
      </w:r>
    </w:p>
    <w:p w14:paraId="5FF80561" w14:textId="021B4D2D" w:rsidR="00070C82" w:rsidRDefault="00070C82" w:rsidP="00070C82">
      <w:pPr>
        <w:pStyle w:val="Caption"/>
      </w:pPr>
      <w:r>
        <w:t>Table 1</w:t>
      </w:r>
      <w:r w:rsidR="00E067B9">
        <w:t>6</w:t>
      </w:r>
      <w:r>
        <w:t xml:space="preserve">. </w:t>
      </w:r>
      <w:r w:rsidR="00757DDF" w:rsidRPr="00757DDF">
        <w:t>Estimated future reform impacts</w:t>
      </w:r>
    </w:p>
    <w:tbl>
      <w:tblPr>
        <w:tblStyle w:val="NDISTable14"/>
        <w:tblW w:w="9185" w:type="dxa"/>
        <w:tblLayout w:type="fixed"/>
        <w:tblCellMar>
          <w:left w:w="57" w:type="dxa"/>
          <w:right w:w="57" w:type="dxa"/>
        </w:tblCellMar>
        <w:tblLook w:val="0420" w:firstRow="1" w:lastRow="0" w:firstColumn="0" w:lastColumn="0" w:noHBand="0" w:noVBand="1"/>
      </w:tblPr>
      <w:tblGrid>
        <w:gridCol w:w="3515"/>
        <w:gridCol w:w="1134"/>
        <w:gridCol w:w="1134"/>
        <w:gridCol w:w="1134"/>
        <w:gridCol w:w="1134"/>
        <w:gridCol w:w="1134"/>
      </w:tblGrid>
      <w:tr w:rsidR="001411F5" w:rsidRPr="001411F5" w14:paraId="303E3117" w14:textId="77777777" w:rsidTr="00B95757">
        <w:trPr>
          <w:cnfStyle w:val="100000000000" w:firstRow="1" w:lastRow="0" w:firstColumn="0" w:lastColumn="0" w:oddVBand="0" w:evenVBand="0" w:oddHBand="0" w:evenHBand="0" w:firstRowFirstColumn="0" w:firstRowLastColumn="0" w:lastRowFirstColumn="0" w:lastRowLastColumn="0"/>
        </w:trPr>
        <w:tc>
          <w:tcPr>
            <w:tcW w:w="3515" w:type="dxa"/>
          </w:tcPr>
          <w:p w14:paraId="06B4DF3B" w14:textId="77777777" w:rsidR="001411F5" w:rsidRPr="001411F5" w:rsidRDefault="001411F5" w:rsidP="008401D4">
            <w:pPr>
              <w:spacing w:before="100" w:after="100" w:line="312" w:lineRule="auto"/>
              <w:rPr>
                <w:rFonts w:eastAsia="MS Mincho" w:cs="Arial"/>
                <w:b w:val="0"/>
                <w:szCs w:val="22"/>
                <w:lang w:val="en-GB"/>
              </w:rPr>
            </w:pPr>
            <w:r w:rsidRPr="001411F5">
              <w:rPr>
                <w:rFonts w:eastAsia="MS Mincho" w:cs="Arial"/>
                <w:b w:val="0"/>
                <w:szCs w:val="22"/>
                <w:lang w:val="en-GB"/>
              </w:rPr>
              <w:t>Scheme expenses ($m accrual basis)</w:t>
            </w:r>
          </w:p>
        </w:tc>
        <w:tc>
          <w:tcPr>
            <w:tcW w:w="1134" w:type="dxa"/>
          </w:tcPr>
          <w:p w14:paraId="63E49BEB" w14:textId="77777777" w:rsidR="001411F5" w:rsidRPr="001411F5" w:rsidRDefault="001411F5" w:rsidP="008401D4">
            <w:pPr>
              <w:spacing w:before="100" w:after="100" w:line="312" w:lineRule="auto"/>
              <w:jc w:val="right"/>
              <w:rPr>
                <w:rFonts w:eastAsia="MS Mincho" w:cs="Arial"/>
                <w:b w:val="0"/>
                <w:szCs w:val="22"/>
              </w:rPr>
            </w:pPr>
            <w:r w:rsidRPr="001411F5">
              <w:rPr>
                <w:rFonts w:eastAsia="MS Mincho" w:cs="Arial"/>
                <w:b w:val="0"/>
                <w:szCs w:val="22"/>
                <w:lang w:val="en-GB"/>
              </w:rPr>
              <w:t xml:space="preserve">2026–27 </w:t>
            </w:r>
          </w:p>
        </w:tc>
        <w:tc>
          <w:tcPr>
            <w:tcW w:w="1134" w:type="dxa"/>
          </w:tcPr>
          <w:p w14:paraId="543E7D22" w14:textId="77777777" w:rsidR="001411F5" w:rsidRPr="001411F5" w:rsidRDefault="001411F5" w:rsidP="008401D4">
            <w:pPr>
              <w:spacing w:before="100" w:after="100" w:line="312" w:lineRule="auto"/>
              <w:jc w:val="right"/>
              <w:rPr>
                <w:rFonts w:eastAsia="MS Mincho" w:cs="Arial"/>
                <w:b w:val="0"/>
                <w:szCs w:val="22"/>
              </w:rPr>
            </w:pPr>
            <w:r w:rsidRPr="001411F5">
              <w:rPr>
                <w:rFonts w:eastAsia="MS Mincho" w:cs="Arial"/>
                <w:b w:val="0"/>
                <w:szCs w:val="22"/>
                <w:lang w:val="en-GB"/>
              </w:rPr>
              <w:t>2027–28</w:t>
            </w:r>
          </w:p>
        </w:tc>
        <w:tc>
          <w:tcPr>
            <w:tcW w:w="1134" w:type="dxa"/>
          </w:tcPr>
          <w:p w14:paraId="7C53575E" w14:textId="77777777" w:rsidR="001411F5" w:rsidRPr="001411F5" w:rsidRDefault="001411F5" w:rsidP="008401D4">
            <w:pPr>
              <w:spacing w:before="100" w:after="100" w:line="312" w:lineRule="auto"/>
              <w:jc w:val="right"/>
              <w:rPr>
                <w:rFonts w:eastAsia="MS Mincho" w:cs="Arial"/>
                <w:b w:val="0"/>
                <w:szCs w:val="22"/>
              </w:rPr>
            </w:pPr>
            <w:r w:rsidRPr="001411F5">
              <w:rPr>
                <w:rFonts w:eastAsia="MS Mincho" w:cs="Arial"/>
                <w:b w:val="0"/>
                <w:szCs w:val="22"/>
                <w:lang w:val="en-GB"/>
              </w:rPr>
              <w:t>2028–29</w:t>
            </w:r>
          </w:p>
        </w:tc>
        <w:tc>
          <w:tcPr>
            <w:tcW w:w="1134" w:type="dxa"/>
          </w:tcPr>
          <w:p w14:paraId="244B9F12" w14:textId="77777777" w:rsidR="001411F5" w:rsidRPr="001411F5" w:rsidRDefault="001411F5" w:rsidP="008401D4">
            <w:pPr>
              <w:spacing w:before="100" w:after="100" w:line="312" w:lineRule="auto"/>
              <w:jc w:val="right"/>
              <w:rPr>
                <w:rFonts w:eastAsia="MS Mincho" w:cs="Arial"/>
                <w:b w:val="0"/>
                <w:szCs w:val="22"/>
              </w:rPr>
            </w:pPr>
            <w:r w:rsidRPr="001411F5">
              <w:rPr>
                <w:rFonts w:eastAsia="MS Mincho" w:cs="Arial"/>
                <w:b w:val="0"/>
                <w:szCs w:val="22"/>
                <w:lang w:val="en-GB"/>
              </w:rPr>
              <w:t>2029–30</w:t>
            </w:r>
          </w:p>
        </w:tc>
        <w:tc>
          <w:tcPr>
            <w:tcW w:w="1134" w:type="dxa"/>
          </w:tcPr>
          <w:p w14:paraId="04223B00" w14:textId="77777777" w:rsidR="001411F5" w:rsidRPr="001411F5" w:rsidRDefault="001411F5" w:rsidP="008401D4">
            <w:pPr>
              <w:spacing w:before="100" w:after="100" w:line="312" w:lineRule="auto"/>
              <w:jc w:val="right"/>
              <w:rPr>
                <w:rFonts w:eastAsia="MS Mincho" w:cs="Arial"/>
                <w:b w:val="0"/>
                <w:szCs w:val="22"/>
                <w:lang w:val="en-GB"/>
              </w:rPr>
            </w:pPr>
            <w:r w:rsidRPr="001411F5">
              <w:rPr>
                <w:rFonts w:eastAsia="MS Mincho" w:cs="Arial"/>
                <w:b w:val="0"/>
                <w:szCs w:val="22"/>
                <w:lang w:val="en-GB"/>
              </w:rPr>
              <w:t xml:space="preserve">Total </w:t>
            </w:r>
            <w:r w:rsidRPr="001411F5">
              <w:rPr>
                <w:rFonts w:eastAsia="MS Mincho" w:cs="Arial"/>
                <w:b w:val="0"/>
                <w:szCs w:val="22"/>
                <w:lang w:val="en-GB"/>
              </w:rPr>
              <w:br/>
              <w:t xml:space="preserve">2026–30 </w:t>
            </w:r>
          </w:p>
        </w:tc>
      </w:tr>
      <w:tr w:rsidR="00B24D29" w:rsidRPr="001411F5" w14:paraId="4C2A3333" w14:textId="77777777" w:rsidTr="00B95757">
        <w:trPr>
          <w:cnfStyle w:val="000000100000" w:firstRow="0" w:lastRow="0" w:firstColumn="0" w:lastColumn="0" w:oddVBand="0" w:evenVBand="0" w:oddHBand="1" w:evenHBand="0" w:firstRowFirstColumn="0" w:firstRowLastColumn="0" w:lastRowFirstColumn="0" w:lastRowLastColumn="0"/>
          <w:cantSplit/>
        </w:trPr>
        <w:tc>
          <w:tcPr>
            <w:tcW w:w="3515" w:type="dxa"/>
            <w:vAlign w:val="center"/>
          </w:tcPr>
          <w:p w14:paraId="5CEDFAC6" w14:textId="04578C58" w:rsidR="00B24D29" w:rsidRPr="001411F5" w:rsidRDefault="00B24D29" w:rsidP="00B24D29">
            <w:pPr>
              <w:spacing w:before="100" w:after="100" w:line="312" w:lineRule="auto"/>
              <w:rPr>
                <w:rFonts w:eastAsia="MS Mincho" w:cs="Arial"/>
                <w:bCs/>
                <w:szCs w:val="22"/>
                <w:lang w:val="en-GB"/>
              </w:rPr>
            </w:pPr>
            <w:r w:rsidRPr="00747657">
              <w:rPr>
                <w:rFonts w:eastAsia="Times New Roman"/>
                <w:b/>
                <w:bCs/>
                <w:color w:val="000000"/>
                <w:szCs w:val="21"/>
                <w:lang w:val="en-GB"/>
              </w:rPr>
              <w:t>June 2026 experience-based projections (a)</w:t>
            </w:r>
          </w:p>
        </w:tc>
        <w:tc>
          <w:tcPr>
            <w:tcW w:w="1134" w:type="dxa"/>
            <w:vAlign w:val="center"/>
          </w:tcPr>
          <w:p w14:paraId="30BA5958" w14:textId="4AA68635" w:rsidR="00B24D29" w:rsidRPr="001411F5" w:rsidRDefault="00B24D29" w:rsidP="00B24D29">
            <w:pPr>
              <w:spacing w:before="100" w:after="100" w:line="312" w:lineRule="auto"/>
              <w:jc w:val="right"/>
              <w:rPr>
                <w:rFonts w:eastAsia="MS Mincho" w:cs="Arial"/>
                <w:b/>
                <w:szCs w:val="22"/>
              </w:rPr>
            </w:pPr>
            <w:r w:rsidRPr="00747657">
              <w:rPr>
                <w:b/>
              </w:rPr>
              <w:t>55,944</w:t>
            </w:r>
          </w:p>
        </w:tc>
        <w:tc>
          <w:tcPr>
            <w:tcW w:w="1134" w:type="dxa"/>
            <w:vAlign w:val="center"/>
          </w:tcPr>
          <w:p w14:paraId="78024F85" w14:textId="0E146EEA" w:rsidR="00B24D29" w:rsidRPr="001411F5" w:rsidRDefault="00B24D29" w:rsidP="00B24D29">
            <w:pPr>
              <w:spacing w:before="100" w:after="100" w:line="312" w:lineRule="auto"/>
              <w:jc w:val="right"/>
              <w:rPr>
                <w:rFonts w:eastAsia="MS Mincho" w:cs="Arial"/>
                <w:b/>
                <w:szCs w:val="22"/>
              </w:rPr>
            </w:pPr>
            <w:r w:rsidRPr="00747657">
              <w:rPr>
                <w:b/>
              </w:rPr>
              <w:t>61,240</w:t>
            </w:r>
          </w:p>
        </w:tc>
        <w:tc>
          <w:tcPr>
            <w:tcW w:w="1134" w:type="dxa"/>
            <w:vAlign w:val="center"/>
          </w:tcPr>
          <w:p w14:paraId="0BB19742" w14:textId="4725807A" w:rsidR="00B24D29" w:rsidRPr="001411F5" w:rsidRDefault="00B24D29" w:rsidP="00B24D29">
            <w:pPr>
              <w:spacing w:before="100" w:after="100" w:line="312" w:lineRule="auto"/>
              <w:jc w:val="right"/>
              <w:rPr>
                <w:rFonts w:eastAsia="MS Mincho" w:cs="Arial"/>
                <w:b/>
                <w:szCs w:val="22"/>
              </w:rPr>
            </w:pPr>
            <w:r w:rsidRPr="00747657">
              <w:rPr>
                <w:b/>
              </w:rPr>
              <w:t>67,084</w:t>
            </w:r>
          </w:p>
        </w:tc>
        <w:tc>
          <w:tcPr>
            <w:tcW w:w="1134" w:type="dxa"/>
            <w:vAlign w:val="center"/>
          </w:tcPr>
          <w:p w14:paraId="37046EDB" w14:textId="22DDF3DC" w:rsidR="00B24D29" w:rsidRPr="001411F5" w:rsidRDefault="00B24D29" w:rsidP="00B24D29">
            <w:pPr>
              <w:spacing w:before="100" w:after="100" w:line="312" w:lineRule="auto"/>
              <w:jc w:val="right"/>
              <w:rPr>
                <w:rFonts w:eastAsia="MS Mincho" w:cs="Arial"/>
                <w:b/>
                <w:szCs w:val="22"/>
              </w:rPr>
            </w:pPr>
            <w:r w:rsidRPr="00747657">
              <w:rPr>
                <w:b/>
              </w:rPr>
              <w:t>73,335</w:t>
            </w:r>
          </w:p>
        </w:tc>
        <w:tc>
          <w:tcPr>
            <w:tcW w:w="1134" w:type="dxa"/>
            <w:vAlign w:val="center"/>
          </w:tcPr>
          <w:p w14:paraId="401DA405" w14:textId="4C8EFB6A" w:rsidR="00B24D29" w:rsidRPr="001411F5" w:rsidRDefault="00B24D29" w:rsidP="00B24D29">
            <w:pPr>
              <w:spacing w:before="100" w:after="100" w:line="312" w:lineRule="auto"/>
              <w:jc w:val="right"/>
              <w:rPr>
                <w:rFonts w:eastAsia="MS Mincho" w:cs="Arial"/>
                <w:b/>
                <w:szCs w:val="22"/>
                <w:lang w:val="en-GB"/>
              </w:rPr>
            </w:pPr>
            <w:r w:rsidRPr="00747657">
              <w:rPr>
                <w:b/>
                <w:lang w:val="en-GB"/>
              </w:rPr>
              <w:t>257,602</w:t>
            </w:r>
          </w:p>
        </w:tc>
      </w:tr>
      <w:tr w:rsidR="00B24D29" w:rsidRPr="001411F5" w14:paraId="12A320B9" w14:textId="77777777" w:rsidTr="00B95757">
        <w:trPr>
          <w:cnfStyle w:val="000000010000" w:firstRow="0" w:lastRow="0" w:firstColumn="0" w:lastColumn="0" w:oddVBand="0" w:evenVBand="0" w:oddHBand="0" w:evenHBand="1" w:firstRowFirstColumn="0" w:firstRowLastColumn="0" w:lastRowFirstColumn="0" w:lastRowLastColumn="0"/>
          <w:cantSplit/>
        </w:trPr>
        <w:tc>
          <w:tcPr>
            <w:tcW w:w="3515" w:type="dxa"/>
            <w:vAlign w:val="center"/>
          </w:tcPr>
          <w:p w14:paraId="09FB0E23" w14:textId="2A7A3631" w:rsidR="00B24D29" w:rsidRPr="001411F5" w:rsidRDefault="00B24D29" w:rsidP="00B24D29">
            <w:pPr>
              <w:spacing w:before="100" w:after="100" w:line="312" w:lineRule="auto"/>
              <w:rPr>
                <w:rFonts w:eastAsia="MS Mincho" w:cs="Arial"/>
                <w:szCs w:val="22"/>
                <w:lang w:val="en-GB"/>
              </w:rPr>
            </w:pPr>
            <w:r w:rsidRPr="00747657">
              <w:rPr>
                <w:rFonts w:eastAsia="Times New Roman"/>
                <w:color w:val="000000"/>
                <w:szCs w:val="21"/>
                <w:lang w:val="en-GB"/>
              </w:rPr>
              <w:t>Future reform impacts</w:t>
            </w:r>
          </w:p>
        </w:tc>
        <w:tc>
          <w:tcPr>
            <w:tcW w:w="1134" w:type="dxa"/>
            <w:vAlign w:val="center"/>
          </w:tcPr>
          <w:p w14:paraId="7F5A09B0" w14:textId="4EB616B3" w:rsidR="00B24D29" w:rsidRPr="001411F5" w:rsidRDefault="00B24D29" w:rsidP="00B24D29">
            <w:pPr>
              <w:spacing w:before="100" w:after="100" w:line="312" w:lineRule="auto"/>
              <w:jc w:val="right"/>
              <w:rPr>
                <w:rFonts w:eastAsia="MS Mincho" w:cs="Arial"/>
                <w:szCs w:val="22"/>
              </w:rPr>
            </w:pPr>
            <w:r w:rsidRPr="00747657">
              <w:t>-1,676</w:t>
            </w:r>
          </w:p>
        </w:tc>
        <w:tc>
          <w:tcPr>
            <w:tcW w:w="1134" w:type="dxa"/>
            <w:vAlign w:val="center"/>
          </w:tcPr>
          <w:p w14:paraId="3C328EE3" w14:textId="7F9A2C3C" w:rsidR="00B24D29" w:rsidRPr="001411F5" w:rsidRDefault="00B24D29" w:rsidP="00B24D29">
            <w:pPr>
              <w:spacing w:before="100" w:after="100" w:line="312" w:lineRule="auto"/>
              <w:jc w:val="right"/>
              <w:rPr>
                <w:rFonts w:eastAsia="MS Mincho" w:cs="Arial"/>
                <w:szCs w:val="22"/>
              </w:rPr>
            </w:pPr>
            <w:r w:rsidRPr="00747657">
              <w:t>-6,</w:t>
            </w:r>
            <w:r>
              <w:t>504</w:t>
            </w:r>
          </w:p>
        </w:tc>
        <w:tc>
          <w:tcPr>
            <w:tcW w:w="1134" w:type="dxa"/>
            <w:vAlign w:val="center"/>
          </w:tcPr>
          <w:p w14:paraId="7AA06E4E" w14:textId="0994C2CA" w:rsidR="00B24D29" w:rsidRPr="001411F5" w:rsidRDefault="00B24D29" w:rsidP="00B24D29">
            <w:pPr>
              <w:spacing w:before="100" w:after="100" w:line="312" w:lineRule="auto"/>
              <w:jc w:val="right"/>
              <w:rPr>
                <w:rFonts w:eastAsia="MS Mincho" w:cs="Arial"/>
                <w:szCs w:val="22"/>
              </w:rPr>
            </w:pPr>
            <w:r w:rsidRPr="00747657">
              <w:t>-11,</w:t>
            </w:r>
            <w:r>
              <w:t>918</w:t>
            </w:r>
          </w:p>
        </w:tc>
        <w:tc>
          <w:tcPr>
            <w:tcW w:w="1134" w:type="dxa"/>
            <w:vAlign w:val="center"/>
          </w:tcPr>
          <w:p w14:paraId="77B4B05A" w14:textId="5A3A65D7" w:rsidR="00B24D29" w:rsidRPr="001411F5" w:rsidRDefault="00B24D29" w:rsidP="00B24D29">
            <w:pPr>
              <w:spacing w:before="100" w:after="100" w:line="312" w:lineRule="auto"/>
              <w:jc w:val="right"/>
              <w:rPr>
                <w:rFonts w:eastAsia="MS Mincho" w:cs="Arial"/>
                <w:szCs w:val="22"/>
              </w:rPr>
            </w:pPr>
            <w:r w:rsidRPr="00747657">
              <w:t>-18,</w:t>
            </w:r>
            <w:r w:rsidR="00037DC4">
              <w:t>137</w:t>
            </w:r>
          </w:p>
        </w:tc>
        <w:tc>
          <w:tcPr>
            <w:tcW w:w="1134" w:type="dxa"/>
            <w:vAlign w:val="center"/>
          </w:tcPr>
          <w:p w14:paraId="69DE5D03" w14:textId="0D61C113" w:rsidR="00B24D29" w:rsidRPr="001411F5" w:rsidRDefault="00B24D29" w:rsidP="00B24D29">
            <w:pPr>
              <w:spacing w:before="100" w:after="100" w:line="312" w:lineRule="auto"/>
              <w:jc w:val="right"/>
              <w:rPr>
                <w:rFonts w:eastAsia="MS Mincho" w:cs="Arial"/>
                <w:szCs w:val="22"/>
                <w:lang w:val="en-GB"/>
              </w:rPr>
            </w:pPr>
            <w:r w:rsidRPr="00747657">
              <w:rPr>
                <w:lang w:val="en-GB"/>
              </w:rPr>
              <w:t>-38,</w:t>
            </w:r>
            <w:r w:rsidR="00037DC4">
              <w:rPr>
                <w:lang w:val="en-GB"/>
              </w:rPr>
              <w:t>234</w:t>
            </w:r>
          </w:p>
        </w:tc>
      </w:tr>
      <w:tr w:rsidR="00B24D29" w:rsidRPr="001411F5" w14:paraId="02E6B0EF" w14:textId="77777777" w:rsidTr="00B95757">
        <w:trPr>
          <w:cnfStyle w:val="000000100000" w:firstRow="0" w:lastRow="0" w:firstColumn="0" w:lastColumn="0" w:oddVBand="0" w:evenVBand="0" w:oddHBand="1" w:evenHBand="0" w:firstRowFirstColumn="0" w:firstRowLastColumn="0" w:lastRowFirstColumn="0" w:lastRowLastColumn="0"/>
          <w:cantSplit/>
        </w:trPr>
        <w:tc>
          <w:tcPr>
            <w:tcW w:w="3515" w:type="dxa"/>
            <w:vAlign w:val="center"/>
          </w:tcPr>
          <w:p w14:paraId="172B0A83" w14:textId="1998522B" w:rsidR="00B24D29" w:rsidRPr="001411F5" w:rsidRDefault="00B24D29" w:rsidP="00B24D29">
            <w:pPr>
              <w:spacing w:before="100" w:after="100" w:line="312" w:lineRule="auto"/>
              <w:rPr>
                <w:rFonts w:eastAsia="Times New Roman" w:cs="Arial"/>
                <w:b/>
                <w:bCs/>
                <w:color w:val="000000"/>
                <w:szCs w:val="21"/>
                <w:lang w:val="en-GB"/>
              </w:rPr>
            </w:pPr>
            <w:r w:rsidRPr="00747657">
              <w:rPr>
                <w:rFonts w:eastAsia="Times New Roman"/>
                <w:b/>
                <w:bCs/>
                <w:color w:val="000000"/>
                <w:szCs w:val="21"/>
                <w:lang w:val="en-GB"/>
              </w:rPr>
              <w:t>June 2026 post-reforms projections (b)</w:t>
            </w:r>
          </w:p>
        </w:tc>
        <w:tc>
          <w:tcPr>
            <w:tcW w:w="1134" w:type="dxa"/>
            <w:vAlign w:val="center"/>
          </w:tcPr>
          <w:p w14:paraId="693F0AFF" w14:textId="05856E29" w:rsidR="00B24D29" w:rsidRPr="001411F5" w:rsidRDefault="00B24D29" w:rsidP="00B24D29">
            <w:pPr>
              <w:spacing w:before="100" w:after="100" w:line="312" w:lineRule="auto"/>
              <w:jc w:val="right"/>
              <w:rPr>
                <w:rFonts w:eastAsia="MS Mincho" w:cs="Arial"/>
                <w:b/>
                <w:bCs/>
                <w:szCs w:val="22"/>
              </w:rPr>
            </w:pPr>
            <w:r w:rsidRPr="00747657">
              <w:rPr>
                <w:b/>
                <w:bCs/>
              </w:rPr>
              <w:t>54,268</w:t>
            </w:r>
          </w:p>
        </w:tc>
        <w:tc>
          <w:tcPr>
            <w:tcW w:w="1134" w:type="dxa"/>
            <w:vAlign w:val="center"/>
          </w:tcPr>
          <w:p w14:paraId="3295B673" w14:textId="2744C0F4" w:rsidR="00B24D29" w:rsidRPr="001411F5" w:rsidRDefault="00B24D29" w:rsidP="00B24D29">
            <w:pPr>
              <w:spacing w:before="100" w:after="100" w:line="312" w:lineRule="auto"/>
              <w:jc w:val="right"/>
              <w:rPr>
                <w:rFonts w:eastAsia="MS Mincho" w:cs="Arial"/>
                <w:b/>
                <w:bCs/>
                <w:szCs w:val="22"/>
              </w:rPr>
            </w:pPr>
            <w:r w:rsidRPr="00747657">
              <w:rPr>
                <w:b/>
                <w:bCs/>
              </w:rPr>
              <w:t>54,7</w:t>
            </w:r>
            <w:r>
              <w:rPr>
                <w:b/>
                <w:bCs/>
              </w:rPr>
              <w:t>36</w:t>
            </w:r>
          </w:p>
        </w:tc>
        <w:tc>
          <w:tcPr>
            <w:tcW w:w="1134" w:type="dxa"/>
            <w:vAlign w:val="center"/>
          </w:tcPr>
          <w:p w14:paraId="34851D24" w14:textId="248A3066" w:rsidR="00B24D29" w:rsidRPr="001411F5" w:rsidRDefault="00B24D29" w:rsidP="00B24D29">
            <w:pPr>
              <w:spacing w:before="100" w:after="100" w:line="312" w:lineRule="auto"/>
              <w:jc w:val="right"/>
              <w:rPr>
                <w:rFonts w:eastAsia="MS Mincho" w:cs="Arial"/>
                <w:b/>
                <w:bCs/>
                <w:szCs w:val="22"/>
              </w:rPr>
            </w:pPr>
            <w:r w:rsidRPr="00747657">
              <w:rPr>
                <w:b/>
                <w:bCs/>
              </w:rPr>
              <w:t>55,</w:t>
            </w:r>
            <w:r>
              <w:rPr>
                <w:b/>
                <w:bCs/>
              </w:rPr>
              <w:t>166</w:t>
            </w:r>
          </w:p>
        </w:tc>
        <w:tc>
          <w:tcPr>
            <w:tcW w:w="1134" w:type="dxa"/>
            <w:vAlign w:val="center"/>
          </w:tcPr>
          <w:p w14:paraId="71BBACDE" w14:textId="7A38B2D1" w:rsidR="00B24D29" w:rsidRPr="001411F5" w:rsidRDefault="00B24D29" w:rsidP="00B24D29">
            <w:pPr>
              <w:spacing w:before="100" w:after="100" w:line="312" w:lineRule="auto"/>
              <w:jc w:val="right"/>
              <w:rPr>
                <w:rFonts w:eastAsia="MS Mincho" w:cs="Arial"/>
                <w:b/>
                <w:bCs/>
                <w:szCs w:val="22"/>
              </w:rPr>
            </w:pPr>
            <w:r w:rsidRPr="00747657">
              <w:rPr>
                <w:b/>
                <w:bCs/>
              </w:rPr>
              <w:t>55,</w:t>
            </w:r>
            <w:r w:rsidR="00697830">
              <w:rPr>
                <w:b/>
                <w:bCs/>
              </w:rPr>
              <w:t>197</w:t>
            </w:r>
          </w:p>
        </w:tc>
        <w:tc>
          <w:tcPr>
            <w:tcW w:w="1134" w:type="dxa"/>
            <w:vAlign w:val="center"/>
          </w:tcPr>
          <w:p w14:paraId="47E3A2BB" w14:textId="6C30EF9D" w:rsidR="00B24D29" w:rsidRPr="001411F5" w:rsidRDefault="00B24D29" w:rsidP="00B24D29">
            <w:pPr>
              <w:spacing w:before="100" w:after="100" w:line="312" w:lineRule="auto"/>
              <w:jc w:val="right"/>
              <w:rPr>
                <w:rFonts w:eastAsia="MS Mincho" w:cs="Arial"/>
                <w:b/>
                <w:bCs/>
                <w:szCs w:val="22"/>
              </w:rPr>
            </w:pPr>
            <w:r w:rsidRPr="00747657">
              <w:rPr>
                <w:b/>
                <w:bCs/>
              </w:rPr>
              <w:t>219,</w:t>
            </w:r>
            <w:r w:rsidR="00697830">
              <w:rPr>
                <w:b/>
                <w:bCs/>
              </w:rPr>
              <w:t>368</w:t>
            </w:r>
          </w:p>
        </w:tc>
      </w:tr>
      <w:tr w:rsidR="00B24D29" w:rsidRPr="001411F5" w14:paraId="3CDCF5E0" w14:textId="77777777" w:rsidTr="00B95757">
        <w:trPr>
          <w:cnfStyle w:val="000000010000" w:firstRow="0" w:lastRow="0" w:firstColumn="0" w:lastColumn="0" w:oddVBand="0" w:evenVBand="0" w:oddHBand="0" w:evenHBand="1" w:firstRowFirstColumn="0" w:firstRowLastColumn="0" w:lastRowFirstColumn="0" w:lastRowLastColumn="0"/>
          <w:cantSplit/>
        </w:trPr>
        <w:tc>
          <w:tcPr>
            <w:tcW w:w="3515" w:type="dxa"/>
            <w:vAlign w:val="center"/>
          </w:tcPr>
          <w:p w14:paraId="671E81DC" w14:textId="57CA25DF" w:rsidR="00B24D29" w:rsidRPr="001411F5" w:rsidRDefault="00B24D29" w:rsidP="00B24D29">
            <w:pPr>
              <w:spacing w:before="100" w:after="100" w:line="312" w:lineRule="auto"/>
              <w:rPr>
                <w:rFonts w:eastAsia="Times New Roman" w:cs="Arial"/>
                <w:b/>
                <w:bCs/>
                <w:color w:val="000000"/>
                <w:szCs w:val="21"/>
                <w:lang w:val="en-GB"/>
              </w:rPr>
            </w:pPr>
            <w:r w:rsidRPr="00747657">
              <w:rPr>
                <w:rFonts w:eastAsia="Times New Roman"/>
                <w:b/>
                <w:bCs/>
                <w:color w:val="000000"/>
                <w:szCs w:val="21"/>
                <w:lang w:val="en-GB"/>
              </w:rPr>
              <w:t xml:space="preserve">Year-on-year growth rate (experience-based projection) (%) </w:t>
            </w:r>
          </w:p>
        </w:tc>
        <w:tc>
          <w:tcPr>
            <w:tcW w:w="1134" w:type="dxa"/>
            <w:vAlign w:val="center"/>
          </w:tcPr>
          <w:p w14:paraId="1868C83E" w14:textId="1ECBC17E" w:rsidR="00B24D29" w:rsidRPr="001411F5" w:rsidRDefault="00B24D29" w:rsidP="00B24D29">
            <w:pPr>
              <w:spacing w:before="100" w:after="100" w:line="312" w:lineRule="auto"/>
              <w:jc w:val="right"/>
              <w:rPr>
                <w:rFonts w:eastAsia="MS Mincho" w:cs="Arial"/>
                <w:b/>
                <w:bCs/>
                <w:szCs w:val="22"/>
              </w:rPr>
            </w:pPr>
            <w:r w:rsidRPr="00747657">
              <w:rPr>
                <w:b/>
                <w:bCs/>
              </w:rPr>
              <w:t>9.4%</w:t>
            </w:r>
          </w:p>
        </w:tc>
        <w:tc>
          <w:tcPr>
            <w:tcW w:w="1134" w:type="dxa"/>
            <w:vAlign w:val="center"/>
          </w:tcPr>
          <w:p w14:paraId="06D6AB8C" w14:textId="401F5EAF" w:rsidR="00B24D29" w:rsidRPr="001411F5" w:rsidRDefault="00B24D29" w:rsidP="00B24D29">
            <w:pPr>
              <w:spacing w:before="100" w:after="100" w:line="312" w:lineRule="auto"/>
              <w:jc w:val="right"/>
              <w:rPr>
                <w:rFonts w:eastAsia="MS Mincho" w:cs="Arial"/>
                <w:b/>
                <w:bCs/>
                <w:szCs w:val="22"/>
              </w:rPr>
            </w:pPr>
            <w:r w:rsidRPr="00747657">
              <w:rPr>
                <w:b/>
                <w:bCs/>
              </w:rPr>
              <w:t>9.4%</w:t>
            </w:r>
          </w:p>
        </w:tc>
        <w:tc>
          <w:tcPr>
            <w:tcW w:w="1134" w:type="dxa"/>
            <w:vAlign w:val="center"/>
          </w:tcPr>
          <w:p w14:paraId="747FD619" w14:textId="65C494B2" w:rsidR="00B24D29" w:rsidRPr="001411F5" w:rsidRDefault="00B24D29" w:rsidP="00B24D29">
            <w:pPr>
              <w:spacing w:before="100" w:after="100" w:line="312" w:lineRule="auto"/>
              <w:jc w:val="right"/>
              <w:rPr>
                <w:rFonts w:eastAsia="MS Mincho" w:cs="Arial"/>
                <w:b/>
                <w:bCs/>
                <w:szCs w:val="22"/>
              </w:rPr>
            </w:pPr>
            <w:r w:rsidRPr="00747657">
              <w:rPr>
                <w:b/>
                <w:bCs/>
              </w:rPr>
              <w:t>9.4%</w:t>
            </w:r>
          </w:p>
        </w:tc>
        <w:tc>
          <w:tcPr>
            <w:tcW w:w="1134" w:type="dxa"/>
            <w:vAlign w:val="center"/>
          </w:tcPr>
          <w:p w14:paraId="67457EC8" w14:textId="5031CC87" w:rsidR="00B24D29" w:rsidRPr="001411F5" w:rsidRDefault="00B24D29" w:rsidP="00B24D29">
            <w:pPr>
              <w:spacing w:before="100" w:after="100" w:line="312" w:lineRule="auto"/>
              <w:jc w:val="right"/>
              <w:rPr>
                <w:rFonts w:eastAsia="MS Mincho" w:cs="Arial"/>
                <w:b/>
                <w:bCs/>
                <w:szCs w:val="22"/>
              </w:rPr>
            </w:pPr>
            <w:r w:rsidRPr="00747657">
              <w:rPr>
                <w:b/>
                <w:bCs/>
              </w:rPr>
              <w:t>9.3%</w:t>
            </w:r>
          </w:p>
        </w:tc>
        <w:tc>
          <w:tcPr>
            <w:tcW w:w="1134" w:type="dxa"/>
            <w:vAlign w:val="center"/>
          </w:tcPr>
          <w:p w14:paraId="701DA8AD" w14:textId="4EB4D634" w:rsidR="00B24D29" w:rsidRPr="001411F5" w:rsidRDefault="00B24D29" w:rsidP="00B24D29">
            <w:pPr>
              <w:spacing w:before="100" w:after="100" w:line="312" w:lineRule="auto"/>
              <w:jc w:val="right"/>
              <w:rPr>
                <w:rFonts w:eastAsia="MS Mincho" w:cs="Arial"/>
                <w:b/>
                <w:bCs/>
                <w:szCs w:val="22"/>
              </w:rPr>
            </w:pPr>
            <w:r w:rsidRPr="00747657">
              <w:rPr>
                <w:b/>
                <w:bCs/>
              </w:rPr>
              <w:t>n/a</w:t>
            </w:r>
          </w:p>
        </w:tc>
      </w:tr>
      <w:tr w:rsidR="00B24D29" w:rsidRPr="001411F5" w14:paraId="53053916" w14:textId="77777777" w:rsidTr="00B95757">
        <w:trPr>
          <w:cnfStyle w:val="000000100000" w:firstRow="0" w:lastRow="0" w:firstColumn="0" w:lastColumn="0" w:oddVBand="0" w:evenVBand="0" w:oddHBand="1" w:evenHBand="0" w:firstRowFirstColumn="0" w:firstRowLastColumn="0" w:lastRowFirstColumn="0" w:lastRowLastColumn="0"/>
          <w:cantSplit/>
        </w:trPr>
        <w:tc>
          <w:tcPr>
            <w:tcW w:w="3515" w:type="dxa"/>
            <w:vAlign w:val="center"/>
          </w:tcPr>
          <w:p w14:paraId="03D16420" w14:textId="7A33EF04" w:rsidR="00B24D29" w:rsidRPr="001411F5" w:rsidRDefault="00B24D29" w:rsidP="00B24D29">
            <w:pPr>
              <w:spacing w:before="100" w:after="100" w:line="312" w:lineRule="auto"/>
              <w:rPr>
                <w:rFonts w:eastAsia="Times New Roman" w:cs="Arial"/>
                <w:b/>
                <w:bCs/>
                <w:color w:val="000000"/>
                <w:szCs w:val="21"/>
                <w:lang w:val="en-GB"/>
              </w:rPr>
            </w:pPr>
            <w:r w:rsidRPr="00747657">
              <w:rPr>
                <w:rFonts w:eastAsia="Times New Roman"/>
                <w:b/>
                <w:bCs/>
                <w:color w:val="000000"/>
                <w:szCs w:val="21"/>
                <w:lang w:val="en-GB"/>
              </w:rPr>
              <w:t>Year-on-year growth rate (post-reforms projection) (%)</w:t>
            </w:r>
          </w:p>
        </w:tc>
        <w:tc>
          <w:tcPr>
            <w:tcW w:w="1134" w:type="dxa"/>
            <w:vAlign w:val="center"/>
          </w:tcPr>
          <w:p w14:paraId="12FAD99F" w14:textId="0E1A8563" w:rsidR="00B24D29" w:rsidRPr="001411F5" w:rsidRDefault="00B24D29" w:rsidP="00B24D29">
            <w:pPr>
              <w:spacing w:before="100" w:after="100" w:line="312" w:lineRule="auto"/>
              <w:jc w:val="right"/>
              <w:rPr>
                <w:rFonts w:eastAsia="MS Mincho" w:cs="Arial"/>
                <w:b/>
                <w:bCs/>
                <w:szCs w:val="22"/>
              </w:rPr>
            </w:pPr>
            <w:r w:rsidRPr="00747657">
              <w:rPr>
                <w:b/>
                <w:bCs/>
              </w:rPr>
              <w:t>6.0%</w:t>
            </w:r>
          </w:p>
        </w:tc>
        <w:tc>
          <w:tcPr>
            <w:tcW w:w="1134" w:type="dxa"/>
            <w:vAlign w:val="center"/>
          </w:tcPr>
          <w:p w14:paraId="3C7B72DE" w14:textId="6C585425" w:rsidR="00B24D29" w:rsidRPr="001411F5" w:rsidRDefault="00B24D29" w:rsidP="00B24D29">
            <w:pPr>
              <w:spacing w:before="100" w:after="100" w:line="312" w:lineRule="auto"/>
              <w:jc w:val="right"/>
              <w:rPr>
                <w:rFonts w:eastAsia="MS Mincho" w:cs="Arial"/>
                <w:b/>
                <w:bCs/>
                <w:szCs w:val="22"/>
              </w:rPr>
            </w:pPr>
            <w:r w:rsidRPr="00747657">
              <w:rPr>
                <w:b/>
                <w:bCs/>
              </w:rPr>
              <w:t>0.9%</w:t>
            </w:r>
          </w:p>
        </w:tc>
        <w:tc>
          <w:tcPr>
            <w:tcW w:w="1134" w:type="dxa"/>
            <w:vAlign w:val="center"/>
          </w:tcPr>
          <w:p w14:paraId="66F27AC6" w14:textId="201C55BB" w:rsidR="00B24D29" w:rsidRPr="001411F5" w:rsidRDefault="00B24D29" w:rsidP="00B24D29">
            <w:pPr>
              <w:spacing w:before="100" w:after="100" w:line="312" w:lineRule="auto"/>
              <w:jc w:val="right"/>
              <w:rPr>
                <w:rFonts w:eastAsia="MS Mincho" w:cs="Arial"/>
                <w:b/>
                <w:bCs/>
                <w:szCs w:val="22"/>
              </w:rPr>
            </w:pPr>
            <w:r w:rsidRPr="00747657">
              <w:rPr>
                <w:b/>
                <w:bCs/>
              </w:rPr>
              <w:t>0.</w:t>
            </w:r>
            <w:r>
              <w:rPr>
                <w:b/>
                <w:bCs/>
              </w:rPr>
              <w:t>8</w:t>
            </w:r>
            <w:r w:rsidRPr="00747657">
              <w:rPr>
                <w:b/>
                <w:bCs/>
              </w:rPr>
              <w:t>%</w:t>
            </w:r>
          </w:p>
        </w:tc>
        <w:tc>
          <w:tcPr>
            <w:tcW w:w="1134" w:type="dxa"/>
            <w:vAlign w:val="center"/>
          </w:tcPr>
          <w:p w14:paraId="7F5CECBF" w14:textId="2C654542" w:rsidR="00B24D29" w:rsidRPr="001411F5" w:rsidRDefault="00B24D29" w:rsidP="00B24D29">
            <w:pPr>
              <w:spacing w:before="100" w:after="100" w:line="312" w:lineRule="auto"/>
              <w:jc w:val="right"/>
              <w:rPr>
                <w:rFonts w:eastAsia="MS Mincho" w:cs="Arial"/>
                <w:b/>
                <w:bCs/>
                <w:szCs w:val="22"/>
              </w:rPr>
            </w:pPr>
            <w:r w:rsidRPr="00747657">
              <w:rPr>
                <w:b/>
                <w:bCs/>
              </w:rPr>
              <w:t>0.1%</w:t>
            </w:r>
          </w:p>
        </w:tc>
        <w:tc>
          <w:tcPr>
            <w:tcW w:w="1134" w:type="dxa"/>
            <w:vAlign w:val="center"/>
          </w:tcPr>
          <w:p w14:paraId="2AF34E07" w14:textId="339A1822" w:rsidR="00B24D29" w:rsidRPr="001411F5" w:rsidRDefault="00B24D29" w:rsidP="00B24D29">
            <w:pPr>
              <w:spacing w:before="100" w:after="100" w:line="312" w:lineRule="auto"/>
              <w:jc w:val="right"/>
              <w:rPr>
                <w:rFonts w:eastAsia="MS Mincho" w:cs="Arial"/>
                <w:b/>
                <w:bCs/>
                <w:szCs w:val="22"/>
              </w:rPr>
            </w:pPr>
            <w:r w:rsidRPr="00747657">
              <w:rPr>
                <w:b/>
                <w:bCs/>
              </w:rPr>
              <w:t>n/a</w:t>
            </w:r>
          </w:p>
        </w:tc>
      </w:tr>
    </w:tbl>
    <w:p w14:paraId="09C7355E" w14:textId="6C58BA41" w:rsidR="00CE41E1" w:rsidRDefault="00CE41E1" w:rsidP="00CE41E1">
      <w:pPr>
        <w:pStyle w:val="Heading3"/>
      </w:pPr>
      <w:bookmarkStart w:id="47" w:name="_Toc241826724"/>
      <w:r>
        <w:t xml:space="preserve">3.4 Risks and </w:t>
      </w:r>
      <w:r w:rsidR="00E01256">
        <w:t>u</w:t>
      </w:r>
      <w:r>
        <w:t>ncertainty</w:t>
      </w:r>
      <w:bookmarkEnd w:id="47"/>
    </w:p>
    <w:p w14:paraId="57DC98DF" w14:textId="77777777" w:rsidR="00FF7FC5" w:rsidRDefault="00FF7FC5" w:rsidP="00FF7FC5">
      <w:r>
        <w:t>There are inherent risks and uncertainty associated with the experience-based assumptions and estimated impacts of Scheme reforms.</w:t>
      </w:r>
    </w:p>
    <w:p w14:paraId="44E179B4" w14:textId="292A6307" w:rsidR="00FF7FC5" w:rsidRDefault="00FF7FC5" w:rsidP="00FF7FC5">
      <w:r>
        <w:t xml:space="preserve">Risks associated with experience-based assumptions include: </w:t>
      </w:r>
    </w:p>
    <w:p w14:paraId="1906CE4D" w14:textId="67190032" w:rsidR="00FF7FC5" w:rsidRDefault="00FF7FC5" w:rsidP="00FF7FC5">
      <w:pPr>
        <w:pStyle w:val="Bullet1"/>
      </w:pPr>
      <w:r w:rsidRPr="00FF7FC5">
        <w:rPr>
          <w:b/>
          <w:bCs/>
        </w:rPr>
        <w:t>Numbers of new entrants</w:t>
      </w:r>
      <w:r>
        <w:t xml:space="preserve"> </w:t>
      </w:r>
      <w:r w:rsidR="004C5CC9">
        <w:t xml:space="preserve">– </w:t>
      </w:r>
      <w:r>
        <w:t>linked to potential future demand for access to the NDIS and current access eligibility criteria/rules.</w:t>
      </w:r>
    </w:p>
    <w:p w14:paraId="352526A2" w14:textId="6C897E40" w:rsidR="00FF7FC5" w:rsidRDefault="00FF7FC5" w:rsidP="00FF7FC5">
      <w:pPr>
        <w:pStyle w:val="Bullet1"/>
      </w:pPr>
      <w:r w:rsidRPr="00FF7FC5">
        <w:rPr>
          <w:b/>
          <w:bCs/>
        </w:rPr>
        <w:t xml:space="preserve">Numbers of participants transitioning to High </w:t>
      </w:r>
      <w:r w:rsidR="00697830">
        <w:rPr>
          <w:b/>
          <w:bCs/>
        </w:rPr>
        <w:t xml:space="preserve">Core </w:t>
      </w:r>
      <w:r w:rsidRPr="00FF7FC5">
        <w:rPr>
          <w:b/>
          <w:bCs/>
        </w:rPr>
        <w:t>Support</w:t>
      </w:r>
      <w:r w:rsidR="00697830">
        <w:rPr>
          <w:b/>
          <w:bCs/>
        </w:rPr>
        <w:t>s</w:t>
      </w:r>
      <w:r w:rsidRPr="00FF7FC5">
        <w:rPr>
          <w:b/>
          <w:bCs/>
        </w:rPr>
        <w:t xml:space="preserve"> (H</w:t>
      </w:r>
      <w:r w:rsidR="00697830">
        <w:rPr>
          <w:b/>
          <w:bCs/>
        </w:rPr>
        <w:t>C</w:t>
      </w:r>
      <w:r w:rsidRPr="00FF7FC5">
        <w:rPr>
          <w:b/>
          <w:bCs/>
        </w:rPr>
        <w:t>S)</w:t>
      </w:r>
      <w:r w:rsidRPr="00907AEC">
        <w:rPr>
          <w:rStyle w:val="FootnoteReference"/>
        </w:rPr>
        <w:footnoteReference w:id="5"/>
      </w:r>
      <w:r>
        <w:t xml:space="preserve"> </w:t>
      </w:r>
      <w:r w:rsidR="004C5CC9">
        <w:t xml:space="preserve">– </w:t>
      </w:r>
      <w:r>
        <w:t>linked to changes in participant circumstances and need for increased and/or additional supports.</w:t>
      </w:r>
    </w:p>
    <w:p w14:paraId="6D47D357" w14:textId="60C571A4" w:rsidR="00FF7FC5" w:rsidRDefault="00FF7FC5" w:rsidP="00FF7FC5">
      <w:pPr>
        <w:pStyle w:val="Bullet1"/>
      </w:pPr>
      <w:r w:rsidRPr="00EC4786">
        <w:rPr>
          <w:b/>
          <w:bCs/>
        </w:rPr>
        <w:t>Price and normal inflation</w:t>
      </w:r>
      <w:r>
        <w:t xml:space="preserve"> </w:t>
      </w:r>
      <w:r w:rsidR="004C5CC9">
        <w:t xml:space="preserve">– </w:t>
      </w:r>
      <w:r>
        <w:t>linked to FWC decisions on minimum award wages, including restructuring of the award rates for gender undervaluation and economic conditions.</w:t>
      </w:r>
    </w:p>
    <w:p w14:paraId="77839D2C" w14:textId="11A596F8" w:rsidR="00FF7FC5" w:rsidRDefault="00FF7FC5" w:rsidP="00FF7FC5">
      <w:pPr>
        <w:pStyle w:val="Bullet1"/>
      </w:pPr>
      <w:r w:rsidRPr="00EC4786">
        <w:rPr>
          <w:b/>
          <w:bCs/>
        </w:rPr>
        <w:t>Non-price growth in participant plan budgets</w:t>
      </w:r>
      <w:r>
        <w:t xml:space="preserve"> </w:t>
      </w:r>
      <w:r w:rsidR="004C5CC9">
        <w:t xml:space="preserve">– </w:t>
      </w:r>
      <w:r>
        <w:t>linked to changes in individual participant circumstances.</w:t>
      </w:r>
    </w:p>
    <w:p w14:paraId="0F31A8D5" w14:textId="36269D2D" w:rsidR="00FF7FC5" w:rsidRDefault="00FF7FC5" w:rsidP="00FF7FC5">
      <w:pPr>
        <w:pStyle w:val="Bullet1"/>
      </w:pPr>
      <w:r w:rsidRPr="00EC4786">
        <w:rPr>
          <w:b/>
          <w:bCs/>
        </w:rPr>
        <w:t xml:space="preserve">Participant rate of utilisation of plan budgets </w:t>
      </w:r>
      <w:r>
        <w:t>that varies with changes in participant needs and spending patterns over time.</w:t>
      </w:r>
    </w:p>
    <w:p w14:paraId="32E83EDC" w14:textId="77777777" w:rsidR="0049226B" w:rsidRDefault="00FF7FC5" w:rsidP="00907AEC">
      <w:r>
        <w:t xml:space="preserve">There is also risk associated with the estimated impacts of </w:t>
      </w:r>
      <w:r w:rsidR="00AE6C39">
        <w:t xml:space="preserve">future </w:t>
      </w:r>
      <w:r>
        <w:t>Scheme reforms. Two key risks are delays in the timing of commencement and phasing of rollout of measures and initiatives; and the overall effectiveness of reforms once implemented.</w:t>
      </w:r>
    </w:p>
    <w:p w14:paraId="22D2DCFA" w14:textId="7ACD5950" w:rsidR="00C126E4" w:rsidRDefault="00C126E4" w:rsidP="00907AEC">
      <w:r>
        <w:br w:type="page"/>
      </w:r>
    </w:p>
    <w:p w14:paraId="5BBC1924" w14:textId="193AFCAE" w:rsidR="007A4580" w:rsidRDefault="009A7CA2" w:rsidP="009A7CA2">
      <w:pPr>
        <w:pStyle w:val="Heading3"/>
      </w:pPr>
      <w:bookmarkStart w:id="48" w:name="_Toc226723913"/>
      <w:bookmarkStart w:id="49" w:name="_Toc241826725"/>
      <w:bookmarkEnd w:id="40"/>
      <w:r w:rsidRPr="009A7CA2">
        <w:t>3.</w:t>
      </w:r>
      <w:r w:rsidR="00721870">
        <w:t>5</w:t>
      </w:r>
      <w:r w:rsidRPr="009A7CA2">
        <w:t xml:space="preserve"> Letter from independent actuary</w:t>
      </w:r>
      <w:bookmarkEnd w:id="48"/>
      <w:bookmarkEnd w:id="49"/>
    </w:p>
    <w:p w14:paraId="5CE2E32E" w14:textId="71BD57E8" w:rsidR="00BC7F08" w:rsidRPr="00BC7F08" w:rsidRDefault="00CD0032" w:rsidP="00BC7F08">
      <w:r w:rsidRPr="00CD0032">
        <w:rPr>
          <w:noProof/>
        </w:rPr>
        <w:drawing>
          <wp:inline distT="0" distB="0" distL="0" distR="0" wp14:anchorId="1ACD3795" wp14:editId="4B82BF5C">
            <wp:extent cx="5831840" cy="8250555"/>
            <wp:effectExtent l="19050" t="19050" r="16510" b="17145"/>
            <wp:docPr id="123159699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31840" cy="8250555"/>
                    </a:xfrm>
                    <a:prstGeom prst="rect">
                      <a:avLst/>
                    </a:prstGeom>
                    <a:noFill/>
                    <a:ln>
                      <a:solidFill>
                        <a:schemeClr val="tx1"/>
                      </a:solidFill>
                    </a:ln>
                  </pic:spPr>
                </pic:pic>
              </a:graphicData>
            </a:graphic>
          </wp:inline>
        </w:drawing>
      </w:r>
    </w:p>
    <w:p w14:paraId="373D414A" w14:textId="07E24676" w:rsidR="00E560A0" w:rsidRDefault="009A457A" w:rsidP="0030394E">
      <w:r w:rsidRPr="009A457A">
        <w:rPr>
          <w:noProof/>
        </w:rPr>
        <w:drawing>
          <wp:inline distT="0" distB="0" distL="0" distR="0" wp14:anchorId="6556907C" wp14:editId="6BB0AD3F">
            <wp:extent cx="5831840" cy="8256270"/>
            <wp:effectExtent l="19050" t="19050" r="16510" b="11430"/>
            <wp:docPr id="156949467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31840" cy="8256270"/>
                    </a:xfrm>
                    <a:prstGeom prst="rect">
                      <a:avLst/>
                    </a:prstGeom>
                    <a:noFill/>
                    <a:ln>
                      <a:solidFill>
                        <a:schemeClr val="tx1"/>
                      </a:solidFill>
                    </a:ln>
                  </pic:spPr>
                </pic:pic>
              </a:graphicData>
            </a:graphic>
          </wp:inline>
        </w:drawing>
      </w:r>
    </w:p>
    <w:p w14:paraId="6B49D701" w14:textId="36CED139" w:rsidR="003159A4" w:rsidRDefault="002E607D" w:rsidP="0030394E">
      <w:pPr>
        <w:sectPr w:rsidR="003159A4" w:rsidSect="00EB1047">
          <w:type w:val="continuous"/>
          <w:pgSz w:w="11906" w:h="16838" w:code="9"/>
          <w:pgMar w:top="1247" w:right="1361" w:bottom="1247" w:left="1361" w:header="567" w:footer="454" w:gutter="0"/>
          <w:cols w:space="708"/>
          <w:docGrid w:linePitch="360"/>
        </w:sectPr>
      </w:pPr>
      <w:r>
        <w:br w:type="page"/>
      </w:r>
    </w:p>
    <w:p w14:paraId="57C34D84" w14:textId="62C7CAAA" w:rsidR="000137A6" w:rsidRDefault="00973FC4" w:rsidP="000137A6">
      <w:pPr>
        <w:pStyle w:val="Pull-out-Heading"/>
        <w:pBdr>
          <w:top w:val="single" w:sz="4" w:space="6" w:color="6B2976" w:themeColor="text1"/>
          <w:left w:val="single" w:sz="4" w:space="6" w:color="6B2976" w:themeColor="text1"/>
          <w:bottom w:val="single" w:sz="4" w:space="6" w:color="6B2976" w:themeColor="text1"/>
          <w:right w:val="single" w:sz="4" w:space="6" w:color="6B2976" w:themeColor="text1"/>
        </w:pBdr>
        <w:tabs>
          <w:tab w:val="left" w:pos="4253"/>
        </w:tabs>
      </w:pPr>
      <w:bookmarkStart w:id="50" w:name="_Toc226723914"/>
      <w:r>
        <w:t xml:space="preserve">The NDIS helps Samah and Rawah build brighter futures </w:t>
      </w:r>
    </w:p>
    <w:p w14:paraId="1E2ED0C5" w14:textId="77777777" w:rsidR="001D0C4E" w:rsidRPr="001D0C4E" w:rsidRDefault="001D0C4E" w:rsidP="001D0C4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1D0C4E">
        <w:t>When sisters Samah and Rawah arrived in Australia from Iraq in 2019, they could not have imagined how much their lives would change. </w:t>
      </w:r>
    </w:p>
    <w:p w14:paraId="050BD808" w14:textId="77777777" w:rsidR="001D0C4E" w:rsidRPr="001D0C4E" w:rsidRDefault="001D0C4E" w:rsidP="001D0C4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1D0C4E">
        <w:t>Today, with NDIS support, the Toowoomba sisters are pursuing their goals, building independence and embracing opportunities that once seemed out of reach. </w:t>
      </w:r>
    </w:p>
    <w:p w14:paraId="326B62CE" w14:textId="77777777" w:rsidR="001D0C4E" w:rsidRPr="001D0C4E" w:rsidRDefault="001D0C4E" w:rsidP="001D0C4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1D0C4E">
        <w:t>‘We are so grateful for our NDIS supports,’ Samah said. ‘They have been really helpful.’ </w:t>
      </w:r>
    </w:p>
    <w:p w14:paraId="5CBA3FA4" w14:textId="77777777" w:rsidR="001D0C4E" w:rsidRPr="001D0C4E" w:rsidRDefault="001D0C4E" w:rsidP="001D0C4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1D0C4E">
        <w:t>For both sisters, assistive technology has been life changing. </w:t>
      </w:r>
    </w:p>
    <w:p w14:paraId="7028695E" w14:textId="77777777" w:rsidR="001D0C4E" w:rsidRPr="001D0C4E" w:rsidRDefault="001D0C4E" w:rsidP="001D0C4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1D0C4E">
        <w:t>‘It has given us independence,’ Rawah said. </w:t>
      </w:r>
    </w:p>
    <w:p w14:paraId="595F1F7A" w14:textId="77777777" w:rsidR="001D0C4E" w:rsidRPr="001D0C4E" w:rsidRDefault="001D0C4E" w:rsidP="001D0C4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1D0C4E">
        <w:t>Before coming to Australia, access to equipment and supports was limited. Their family often shared a single scooter that frequently broke down. </w:t>
      </w:r>
    </w:p>
    <w:p w14:paraId="31476D8D" w14:textId="77777777" w:rsidR="001D0C4E" w:rsidRPr="001D0C4E" w:rsidRDefault="001D0C4E" w:rsidP="001D0C4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1D0C4E">
        <w:t>When the sisters received their own NDIS-funded equipment, everything changed. </w:t>
      </w:r>
    </w:p>
    <w:p w14:paraId="1C429916" w14:textId="77777777" w:rsidR="001D0C4E" w:rsidRPr="001D0C4E" w:rsidRDefault="001D0C4E" w:rsidP="001D0C4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1D0C4E">
        <w:t>‘I was eating breakfast and they brought my wheelchair in,’ Rawah said. ‘I was screaming so loudly. I was so happy.’ </w:t>
      </w:r>
    </w:p>
    <w:p w14:paraId="41F792D2" w14:textId="77777777" w:rsidR="001D0C4E" w:rsidRPr="001D0C4E" w:rsidRDefault="001D0C4E" w:rsidP="001D0C4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1D0C4E">
        <w:t>Today, they enjoy spending time with family and friends, attending community events and getting out and about with greater freedom. </w:t>
      </w:r>
    </w:p>
    <w:p w14:paraId="51C8541C" w14:textId="77777777" w:rsidR="001D0C4E" w:rsidRPr="001D0C4E" w:rsidRDefault="001D0C4E" w:rsidP="001D0C4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1D0C4E">
        <w:t>NDIS-funded supports have also helped them develop skills and confidence. Support workers assist with daily routines, while therapies help them work towards their goals. </w:t>
      </w:r>
    </w:p>
    <w:p w14:paraId="0D4F9D80" w14:textId="77777777" w:rsidR="001D0C4E" w:rsidRPr="001D0C4E" w:rsidRDefault="001D0C4E" w:rsidP="001D0C4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1D0C4E">
        <w:t>That confidence has inspired both sisters to dream bigger. Rawah is studying a Bachelor of Law, while Samah is working towards a career in medicine. </w:t>
      </w:r>
    </w:p>
    <w:p w14:paraId="4259FD7C" w14:textId="77777777" w:rsidR="001D0C4E" w:rsidRPr="001D0C4E" w:rsidRDefault="001D0C4E" w:rsidP="001D0C4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1D0C4E">
        <w:t>Both hope to use their education and lived experience to help others and create positive change. </w:t>
      </w:r>
    </w:p>
    <w:p w14:paraId="1358A340" w14:textId="77777777" w:rsidR="00C0586E" w:rsidRDefault="00C0586E" w:rsidP="00C0586E">
      <w:pPr>
        <w:spacing w:before="120" w:line="288" w:lineRule="auto"/>
        <w:sectPr w:rsidR="00C0586E" w:rsidSect="00EB1047">
          <w:headerReference w:type="even" r:id="rId36"/>
          <w:headerReference w:type="default" r:id="rId37"/>
          <w:footerReference w:type="default" r:id="rId38"/>
          <w:headerReference w:type="first" r:id="rId39"/>
          <w:type w:val="continuous"/>
          <w:pgSz w:w="11906" w:h="16838" w:code="9"/>
          <w:pgMar w:top="1247" w:right="1361" w:bottom="1247" w:left="1361" w:header="567" w:footer="454" w:gutter="0"/>
          <w:cols w:space="708"/>
          <w:docGrid w:linePitch="360"/>
        </w:sectPr>
      </w:pPr>
      <w:r>
        <w:br w:type="page"/>
      </w:r>
    </w:p>
    <w:p w14:paraId="0DEA8690" w14:textId="31E8308F" w:rsidR="007A5F28" w:rsidRDefault="007A5F28" w:rsidP="001A225F">
      <w:pPr>
        <w:pStyle w:val="Heading2"/>
      </w:pPr>
      <w:bookmarkStart w:id="51" w:name="_Toc241826726"/>
      <w:r w:rsidRPr="001A225F">
        <w:t>Section 4: Management and accountability</w:t>
      </w:r>
      <w:bookmarkEnd w:id="50"/>
      <w:bookmarkEnd w:id="51"/>
    </w:p>
    <w:p w14:paraId="7938EA52" w14:textId="77777777" w:rsidR="002E607D" w:rsidRPr="001A225F" w:rsidRDefault="002E607D" w:rsidP="00F63CF3">
      <w:bookmarkStart w:id="52" w:name="_Toc226723915"/>
      <w:r w:rsidRPr="001A225F">
        <w:br w:type="page"/>
      </w:r>
    </w:p>
    <w:p w14:paraId="17824BD8" w14:textId="77777777" w:rsidR="004624AC" w:rsidRDefault="004624AC" w:rsidP="004624AC">
      <w:pPr>
        <w:pStyle w:val="Heading3"/>
      </w:pPr>
      <w:bookmarkStart w:id="53" w:name="_Toc241826727"/>
      <w:r>
        <w:t>4.1 Corporate governance</w:t>
      </w:r>
      <w:bookmarkEnd w:id="52"/>
      <w:bookmarkEnd w:id="53"/>
    </w:p>
    <w:p w14:paraId="7CA46147" w14:textId="77777777" w:rsidR="004624AC" w:rsidRDefault="004624AC" w:rsidP="00584012">
      <w:pPr>
        <w:pStyle w:val="Heading4"/>
      </w:pPr>
      <w:r>
        <w:t>Governance model</w:t>
      </w:r>
    </w:p>
    <w:p w14:paraId="5EF6CEBA" w14:textId="77777777" w:rsidR="00DE7CCA" w:rsidRDefault="00DE7CCA" w:rsidP="00DE7CCA">
      <w:r>
        <w:t>The governance model for the NDIA is described in the NDIS Act and outlined below.</w:t>
      </w:r>
    </w:p>
    <w:p w14:paraId="3D6592EE" w14:textId="590D4815" w:rsidR="00DE7CCA" w:rsidRDefault="004540CE" w:rsidP="004540CE">
      <w:pPr>
        <w:pStyle w:val="Caption"/>
      </w:pPr>
      <w:r>
        <w:t xml:space="preserve">Figure </w:t>
      </w:r>
      <w:r>
        <w:fldChar w:fldCharType="begin"/>
      </w:r>
      <w:r>
        <w:instrText>SEQ Figure \* ARABIC</w:instrText>
      </w:r>
      <w:r>
        <w:fldChar w:fldCharType="separate"/>
      </w:r>
      <w:r w:rsidR="0021625A">
        <w:rPr>
          <w:noProof/>
        </w:rPr>
        <w:t>1</w:t>
      </w:r>
      <w:r>
        <w:fldChar w:fldCharType="end"/>
      </w:r>
      <w:r>
        <w:t xml:space="preserve">. </w:t>
      </w:r>
      <w:r w:rsidR="00DE7CCA">
        <w:t>NDIA governance</w:t>
      </w:r>
    </w:p>
    <w:p w14:paraId="7CC29ABC" w14:textId="375D36DB" w:rsidR="00DE7CCA" w:rsidRPr="00DE6869" w:rsidRDefault="005105D9" w:rsidP="00DE7CCA">
      <w:r>
        <w:rPr>
          <w:noProof/>
        </w:rPr>
        <w:drawing>
          <wp:inline distT="0" distB="0" distL="0" distR="0" wp14:anchorId="313C1ABB" wp14:editId="5028F94B">
            <wp:extent cx="4680000" cy="2483460"/>
            <wp:effectExtent l="0" t="0" r="6350" b="0"/>
            <wp:docPr id="470037166" name="Picture 8" descr="The NDIA governance model. This is in 3 layers. At the top there is Australian Parliament (Commonwealth Minister(s) and the Ministerial Council.&#10;The second layer includes the NDIA Board with a dotted line to the Independent Advisory Council.&#10;The third layer of the structure includes the NDIA Chief Executiv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37166" name="Picture 8" descr="The NDIA governance model. This is in 3 layers. At the top there is Australian Parliament (Commonwealth Minister(s) and the Ministerial Council.&#10;The second layer includes the NDIA Board with a dotted line to the Independent Advisory Council.&#10;The third layer of the structure includes the NDIA Chief Executive Office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680000" cy="2483460"/>
                    </a:xfrm>
                    <a:prstGeom prst="rect">
                      <a:avLst/>
                    </a:prstGeom>
                    <a:noFill/>
                  </pic:spPr>
                </pic:pic>
              </a:graphicData>
            </a:graphic>
          </wp:inline>
        </w:drawing>
      </w:r>
    </w:p>
    <w:p w14:paraId="091EF10D" w14:textId="77777777" w:rsidR="004624AC" w:rsidRPr="00584012" w:rsidRDefault="004624AC" w:rsidP="004624AC">
      <w:pPr>
        <w:pStyle w:val="Heading4"/>
      </w:pPr>
      <w:r w:rsidRPr="00584012">
        <w:t>Responsible minister</w:t>
      </w:r>
      <w:r w:rsidR="00B1038E" w:rsidRPr="00584012">
        <w:t>/s</w:t>
      </w:r>
    </w:p>
    <w:p w14:paraId="185160BC" w14:textId="77777777" w:rsidR="00742172" w:rsidRPr="00584012" w:rsidRDefault="00742172" w:rsidP="00354387">
      <w:r w:rsidRPr="00584012">
        <w:t>During 2025–26 the responsible ministers for the NDIS were:</w:t>
      </w:r>
    </w:p>
    <w:p w14:paraId="04F8C133" w14:textId="48BABD1A" w:rsidR="00742172" w:rsidRPr="00584012" w:rsidRDefault="00742172" w:rsidP="00354387">
      <w:pPr>
        <w:pStyle w:val="Bullet1"/>
      </w:pPr>
      <w:r w:rsidRPr="00584012">
        <w:t>the Hon Mark Butler MP, Minister for Disability and the National Disability Insurance Scheme</w:t>
      </w:r>
    </w:p>
    <w:p w14:paraId="56187E25" w14:textId="30BC2818" w:rsidR="00742172" w:rsidRPr="00584012" w:rsidRDefault="00742172" w:rsidP="00354387">
      <w:pPr>
        <w:pStyle w:val="Bullet1"/>
      </w:pPr>
      <w:r w:rsidRPr="00584012">
        <w:t>Senator the Hon Jenny McAllister, Minister for the National Disability Insurance Scheme.</w:t>
      </w:r>
    </w:p>
    <w:p w14:paraId="03122C89" w14:textId="04AC2943" w:rsidR="004624AC" w:rsidRPr="00584012" w:rsidRDefault="00742172" w:rsidP="00A240B5">
      <w:r w:rsidRPr="00584012">
        <w:t>The Minister for the National Disability Insurance Scheme is responsible for administering the NDIS Act. With the agreement of states and territories, the Minister exercises statutory powers, including the power to make delegated legislation in the form of NDIS Rules and to direct the NDIA.</w:t>
      </w:r>
    </w:p>
    <w:p w14:paraId="6B4328B5" w14:textId="77777777" w:rsidR="004624AC" w:rsidRPr="00584012" w:rsidRDefault="004624AC" w:rsidP="004624AC">
      <w:pPr>
        <w:pStyle w:val="Heading4"/>
      </w:pPr>
      <w:r w:rsidRPr="00584012">
        <w:t>Ministerial directions and policy orders</w:t>
      </w:r>
    </w:p>
    <w:p w14:paraId="6490EDC9" w14:textId="04323E25" w:rsidR="00DA141A" w:rsidRPr="00584012" w:rsidRDefault="00DA141A" w:rsidP="00DE1348">
      <w:pPr>
        <w:rPr>
          <w:rFonts w:eastAsia="Aptos" w:cs="Arial"/>
          <w:kern w:val="2"/>
          <w:lang w:bidi="th-TH"/>
          <w14:ligatures w14:val="standardContextual"/>
        </w:rPr>
      </w:pPr>
      <w:r w:rsidRPr="00584012">
        <w:rPr>
          <w:rFonts w:eastAsia="Aptos" w:cs="Arial"/>
          <w:kern w:val="2"/>
          <w:lang w:bidi="th-TH"/>
          <w14:ligatures w14:val="standardContextual"/>
        </w:rPr>
        <w:t xml:space="preserve">The NDIA did not receive any government policy orders or ministerial directions from the Minister for the </w:t>
      </w:r>
      <w:r w:rsidR="0004427E" w:rsidRPr="00584012">
        <w:rPr>
          <w:rFonts w:eastAsia="Aptos" w:cs="Arial"/>
          <w:kern w:val="2"/>
          <w:lang w:bidi="th-TH"/>
          <w14:ligatures w14:val="standardContextual"/>
        </w:rPr>
        <w:t xml:space="preserve">National Disability Insurance Scheme </w:t>
      </w:r>
      <w:r w:rsidRPr="00584012">
        <w:rPr>
          <w:rFonts w:eastAsia="Aptos" w:cs="Arial"/>
          <w:kern w:val="2"/>
          <w:lang w:bidi="th-TH"/>
          <w14:ligatures w14:val="standardContextual"/>
        </w:rPr>
        <w:t>in 2025–26.</w:t>
      </w:r>
    </w:p>
    <w:p w14:paraId="0F0948A2" w14:textId="77777777" w:rsidR="004624AC" w:rsidRPr="00584012" w:rsidRDefault="004624AC" w:rsidP="004624AC">
      <w:pPr>
        <w:pStyle w:val="Heading4"/>
      </w:pPr>
      <w:r w:rsidRPr="00584012">
        <w:t>Disability Reform Ministerial Council</w:t>
      </w:r>
    </w:p>
    <w:p w14:paraId="35304939" w14:textId="61BA88F0" w:rsidR="001E1F95" w:rsidRPr="00584012" w:rsidRDefault="001E1F95" w:rsidP="001E1F95">
      <w:r w:rsidRPr="00584012">
        <w:t xml:space="preserve">The Disability Reform Ministerial Council (DRMC) is the ‘Ministerial Council’ for the purposes of the NDIS Act. It is a forum for Commonwealth and state and territory ministers responsible for disability policy to drive national reform. </w:t>
      </w:r>
      <w:r w:rsidR="00766DAA" w:rsidRPr="00584012">
        <w:t xml:space="preserve">The </w:t>
      </w:r>
      <w:r w:rsidRPr="00584012">
        <w:t>DRMC also drives reform through Australia’s Disability Strategy.</w:t>
      </w:r>
    </w:p>
    <w:p w14:paraId="1875E654" w14:textId="77777777" w:rsidR="001E1F95" w:rsidRPr="00584012" w:rsidRDefault="001E1F95" w:rsidP="001E1F95">
      <w:r w:rsidRPr="00584012">
        <w:t>The DRMC receives reports and advice from the Board as required by the NDIS Act, considers policy matters that relate to the NDIS, and advises the Minister. The Minister also consults DRMC about policy matters relating to the NDIS or that arise under the NDIS Act. DRMC reports to National Cabinet.</w:t>
      </w:r>
    </w:p>
    <w:p w14:paraId="723418A9" w14:textId="216EDEB9" w:rsidR="004624AC" w:rsidRPr="00584012" w:rsidRDefault="001E1F95" w:rsidP="004624AC">
      <w:r w:rsidRPr="00584012">
        <w:t>DRMC communiques are publicly available on the Department of Health, Disability and Ageing website</w:t>
      </w:r>
      <w:r w:rsidR="0004427E" w:rsidRPr="00584012">
        <w:t>:</w:t>
      </w:r>
      <w:r w:rsidRPr="00584012">
        <w:t xml:space="preserve"> </w:t>
      </w:r>
      <w:hyperlink r:id="rId41">
        <w:r w:rsidRPr="00584012">
          <w:rPr>
            <w:rStyle w:val="Hyperlink"/>
          </w:rPr>
          <w:t>Disability Reform Ministerial Council communiques</w:t>
        </w:r>
      </w:hyperlink>
      <w:r w:rsidRPr="00584012">
        <w:t>.</w:t>
      </w:r>
    </w:p>
    <w:p w14:paraId="53A2F2DF" w14:textId="77777777" w:rsidR="005A3031" w:rsidRPr="00584012" w:rsidRDefault="004624AC" w:rsidP="00C333D7">
      <w:pPr>
        <w:pStyle w:val="Heading4"/>
      </w:pPr>
      <w:r w:rsidRPr="00584012">
        <w:t>NDIA Board</w:t>
      </w:r>
    </w:p>
    <w:p w14:paraId="483F01F6" w14:textId="40B8BEB0" w:rsidR="00742BAF" w:rsidRPr="00584012" w:rsidRDefault="00742BAF" w:rsidP="00354387">
      <w:r w:rsidRPr="00584012">
        <w:t xml:space="preserve">The NDIA is overseen by the NDIA </w:t>
      </w:r>
      <w:r w:rsidRPr="009C4978">
        <w:t>Board, the accountable authority</w:t>
      </w:r>
      <w:r w:rsidRPr="00584012">
        <w:t xml:space="preserve"> under the </w:t>
      </w:r>
      <w:r w:rsidRPr="00584012">
        <w:rPr>
          <w:i/>
          <w:iCs/>
        </w:rPr>
        <w:t>Public Governance, Performance and Accountability Act 2013</w:t>
      </w:r>
      <w:r w:rsidRPr="00584012">
        <w:t xml:space="preserve"> (Cth) (PGPA Act) (see Table</w:t>
      </w:r>
      <w:r w:rsidR="00826B8F" w:rsidRPr="00635CFB">
        <w:t> </w:t>
      </w:r>
      <w:r w:rsidR="00D438F0">
        <w:t>1</w:t>
      </w:r>
      <w:r w:rsidR="0068179C">
        <w:t>7</w:t>
      </w:r>
      <w:r w:rsidR="00AA2CF9" w:rsidRPr="00584012">
        <w:t xml:space="preserve"> </w:t>
      </w:r>
      <w:r w:rsidRPr="00584012">
        <w:t xml:space="preserve">for details of </w:t>
      </w:r>
      <w:r w:rsidR="005C4635">
        <w:t xml:space="preserve">the </w:t>
      </w:r>
      <w:r w:rsidRPr="00584012">
        <w:t>accountable authority).</w:t>
      </w:r>
    </w:p>
    <w:p w14:paraId="343B1063" w14:textId="77777777" w:rsidR="00742BAF" w:rsidRPr="00584012" w:rsidRDefault="00742BAF" w:rsidP="00354387">
      <w:r w:rsidRPr="00584012">
        <w:t>Under section 124 of the NDIS Act, the Board operates to:</w:t>
      </w:r>
    </w:p>
    <w:p w14:paraId="58F06D85" w14:textId="352703F6" w:rsidR="00742BAF" w:rsidRPr="00584012" w:rsidRDefault="00742BAF" w:rsidP="00DE1348">
      <w:pPr>
        <w:pStyle w:val="ListParagraph"/>
        <w:numPr>
          <w:ilvl w:val="0"/>
          <w:numId w:val="33"/>
        </w:numPr>
        <w:contextualSpacing w:val="0"/>
      </w:pPr>
      <w:r w:rsidRPr="00584012">
        <w:t>ensure the proper, efficient and effective performance of the NDIA’s functions</w:t>
      </w:r>
    </w:p>
    <w:p w14:paraId="1AA67311" w14:textId="331BCCE9" w:rsidR="00742BAF" w:rsidRPr="00584012" w:rsidRDefault="00742BAF" w:rsidP="00DE1348">
      <w:pPr>
        <w:pStyle w:val="ListParagraph"/>
        <w:numPr>
          <w:ilvl w:val="0"/>
          <w:numId w:val="33"/>
        </w:numPr>
        <w:contextualSpacing w:val="0"/>
      </w:pPr>
      <w:r w:rsidRPr="00584012">
        <w:t>determine objectives, strategies and policies to be followed by the NDIA</w:t>
      </w:r>
    </w:p>
    <w:p w14:paraId="7E990E4A" w14:textId="56B33C85" w:rsidR="00742BAF" w:rsidRPr="00584012" w:rsidRDefault="00742BAF" w:rsidP="00DE1348">
      <w:pPr>
        <w:pStyle w:val="ListParagraph"/>
        <w:numPr>
          <w:ilvl w:val="0"/>
          <w:numId w:val="33"/>
        </w:numPr>
        <w:contextualSpacing w:val="0"/>
      </w:pPr>
      <w:r w:rsidRPr="00584012">
        <w:t>carry out any other functions conferred on it by or under the NDIS Act, regulations or instruments made under the NDIS Act, or any other law of the Commonwealth.</w:t>
      </w:r>
    </w:p>
    <w:p w14:paraId="50C63926" w14:textId="77C7308D" w:rsidR="00742BAF" w:rsidRPr="00584012" w:rsidRDefault="00742BAF" w:rsidP="007B74F4">
      <w:r w:rsidRPr="00584012">
        <w:t xml:space="preserve">Board members are appointed by the responsible Commonwealth minister in consultation with the </w:t>
      </w:r>
      <w:r w:rsidR="00444008" w:rsidRPr="00584012">
        <w:t>d</w:t>
      </w:r>
      <w:r w:rsidRPr="00584012">
        <w:t xml:space="preserve">isability </w:t>
      </w:r>
      <w:r w:rsidR="00444008" w:rsidRPr="00584012">
        <w:t>m</w:t>
      </w:r>
      <w:r w:rsidRPr="00584012">
        <w:t>inisters of each state and territory. In 2025–26 Board appointments were made by the Minister for Disability and the National Disability Insurance Scheme.</w:t>
      </w:r>
    </w:p>
    <w:p w14:paraId="5F8B41D7" w14:textId="35D67F80" w:rsidR="00742BAF" w:rsidRPr="00584012" w:rsidRDefault="00742BAF" w:rsidP="007B74F4">
      <w:r w:rsidRPr="00584012">
        <w:t>The Board reviews its operations annually as part of its commitment to best practice corporate governance. This includes:</w:t>
      </w:r>
    </w:p>
    <w:p w14:paraId="7C69C98A" w14:textId="66536822" w:rsidR="00742BAF" w:rsidRPr="00584012" w:rsidRDefault="001B7EFB" w:rsidP="00DE1348">
      <w:pPr>
        <w:pStyle w:val="ListParagraph"/>
        <w:numPr>
          <w:ilvl w:val="0"/>
          <w:numId w:val="33"/>
        </w:numPr>
        <w:contextualSpacing w:val="0"/>
      </w:pPr>
      <w:r w:rsidRPr="00584012">
        <w:t xml:space="preserve">reviewing </w:t>
      </w:r>
      <w:r w:rsidR="00742BAF" w:rsidRPr="00584012">
        <w:t xml:space="preserve">Board and </w:t>
      </w:r>
      <w:r w:rsidRPr="00584012">
        <w:t>c</w:t>
      </w:r>
      <w:r w:rsidR="00742BAF" w:rsidRPr="00584012">
        <w:t>ommittee charters</w:t>
      </w:r>
      <w:r w:rsidRPr="00584012">
        <w:t xml:space="preserve"> to </w:t>
      </w:r>
      <w:r w:rsidR="00742BAF" w:rsidRPr="00584012">
        <w:t>ensure the focus and work effort of the committees support the Board to undertake its responsibility as the accountability authority of the NDIA</w:t>
      </w:r>
    </w:p>
    <w:p w14:paraId="0165BDAE" w14:textId="4314142B" w:rsidR="00742BAF" w:rsidRPr="00584012" w:rsidRDefault="001B7EFB" w:rsidP="00DE1348">
      <w:pPr>
        <w:pStyle w:val="ListParagraph"/>
        <w:numPr>
          <w:ilvl w:val="0"/>
          <w:numId w:val="33"/>
        </w:numPr>
        <w:contextualSpacing w:val="0"/>
      </w:pPr>
      <w:r w:rsidRPr="00584012">
        <w:t xml:space="preserve">ensuring </w:t>
      </w:r>
      <w:r w:rsidR="00742BAF" w:rsidRPr="00584012">
        <w:t>committee members have appropriate qualifications, knowledge, skills or experience to assist each committee to perform its functions.</w:t>
      </w:r>
    </w:p>
    <w:p w14:paraId="71EFEB81" w14:textId="74569E85" w:rsidR="00742BAF" w:rsidRPr="00584012" w:rsidRDefault="00742BAF" w:rsidP="007B74F4">
      <w:r w:rsidRPr="00584012">
        <w:t>The Board receives advice from the Independent Advisory Council</w:t>
      </w:r>
      <w:r w:rsidR="001B7EFB" w:rsidRPr="00584012">
        <w:t xml:space="preserve"> (IAC)</w:t>
      </w:r>
      <w:r w:rsidRPr="00584012">
        <w:t>, the Scheme Actuary and the Reviewing Actuary in accordance with the functions and duties outlined in the NDIS Act.</w:t>
      </w:r>
    </w:p>
    <w:p w14:paraId="5DCDFCF4" w14:textId="77777777" w:rsidR="00ED5853" w:rsidRPr="00584012" w:rsidRDefault="00ED5853" w:rsidP="00ED5853">
      <w:pPr>
        <w:pStyle w:val="Heading5"/>
      </w:pPr>
      <w:bookmarkStart w:id="54" w:name="_Toc207017702"/>
      <w:r w:rsidRPr="00584012">
        <w:t>NDIA Board members</w:t>
      </w:r>
      <w:bookmarkEnd w:id="54"/>
    </w:p>
    <w:p w14:paraId="7BAF7C2F" w14:textId="421CD683" w:rsidR="00594264" w:rsidRDefault="004C5A27" w:rsidP="00D11860">
      <w:pPr>
        <w:pStyle w:val="Heading6"/>
        <w:keepNext/>
        <w:rPr>
          <w:b/>
          <w:bCs/>
        </w:rPr>
      </w:pPr>
      <w:r w:rsidRPr="00584012">
        <w:rPr>
          <w:b/>
          <w:bCs/>
        </w:rPr>
        <w:t xml:space="preserve">Mr </w:t>
      </w:r>
      <w:r w:rsidR="00594264" w:rsidRPr="00584012">
        <w:rPr>
          <w:b/>
          <w:bCs/>
        </w:rPr>
        <w:t>Kurt Fearnley AO (Chair)</w:t>
      </w:r>
    </w:p>
    <w:p w14:paraId="164DC656" w14:textId="6888AA84" w:rsidR="00C55276" w:rsidRPr="00C55276" w:rsidRDefault="008C7B38" w:rsidP="00C55276">
      <w:r w:rsidRPr="007A3600">
        <w:rPr>
          <w:noProof/>
        </w:rPr>
        <w:drawing>
          <wp:inline distT="0" distB="0" distL="0" distR="0" wp14:anchorId="5E0279AB" wp14:editId="56826CA5">
            <wp:extent cx="1296000" cy="1895550"/>
            <wp:effectExtent l="0" t="0" r="0" b="0"/>
            <wp:docPr id="1405019254" name="Picture 26" descr="Mr Kurt Fearnley 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19254" name="Picture 26" descr="Mr Kurt Fearnley A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96000" cy="1895550"/>
                    </a:xfrm>
                    <a:prstGeom prst="rect">
                      <a:avLst/>
                    </a:prstGeom>
                    <a:noFill/>
                    <a:ln>
                      <a:noFill/>
                    </a:ln>
                  </pic:spPr>
                </pic:pic>
              </a:graphicData>
            </a:graphic>
          </wp:inline>
        </w:drawing>
      </w:r>
    </w:p>
    <w:p w14:paraId="714CB9EC" w14:textId="77777777" w:rsidR="00D51127" w:rsidRDefault="00D51127" w:rsidP="00D51127">
      <w:r>
        <w:t>Mr Kurt Fearnley AO is an experienced government and non-government director and five-time Australian Paralympian.</w:t>
      </w:r>
    </w:p>
    <w:p w14:paraId="27857B69" w14:textId="77777777" w:rsidR="00D51127" w:rsidRDefault="00D51127" w:rsidP="00D51127">
      <w:r>
        <w:t>He is a current member of the TAFE NSW Commission Advisory Board and member of Brisbane 2032’s Athletes and Sport Advisory Group. He is a former Board Commissioner of the Australian Sports Commission and Board Director of the Brisbane 2032 Olympic and Paralympic Organising Committee.</w:t>
      </w:r>
    </w:p>
    <w:p w14:paraId="46DC3B8B" w14:textId="77777777" w:rsidR="00D51127" w:rsidRDefault="00D51127" w:rsidP="00D51127">
      <w:r>
        <w:t>Mr Fearnley was also a member of the boards of Paralympics Australia, Life Without Barriers, Australian Volunteers International and the Newcastle Permanent Charitable Foundation.</w:t>
      </w:r>
    </w:p>
    <w:p w14:paraId="09E51984" w14:textId="77777777" w:rsidR="00D51127" w:rsidRDefault="00D51127" w:rsidP="00D51127">
      <w:r>
        <w:t>He was a member of the inaugural NDIS Independent Advisory Council, Vice Chairperson of the International Paralympic Committee Athletes’ Council, carried out a number of roles for the Gold Coast 2018 Commonwealth Games Organising Committee, and was Co-Captain of the Australian Paralympic Team at the Rio 2016 Paralympics.</w:t>
      </w:r>
    </w:p>
    <w:p w14:paraId="3510A483" w14:textId="731D26E5" w:rsidR="00D51127" w:rsidRDefault="00D51127" w:rsidP="00D51127">
      <w:r>
        <w:t xml:space="preserve">Mr Fearnley was awarded an Officer of the Order of Australia (AO) in the General Division in 2018 for his distinguished service to people with a disability, as a supporter of, and fundraiser for, </w:t>
      </w:r>
      <w:r w:rsidR="005067DB">
        <w:t>I</w:t>
      </w:r>
      <w:r>
        <w:t>ndigenous athletics and charitable organisations, and as a Paralympic Athlete.</w:t>
      </w:r>
    </w:p>
    <w:p w14:paraId="5A83FAF9" w14:textId="77777777" w:rsidR="00D51127" w:rsidRDefault="00D51127" w:rsidP="00D51127">
      <w:r>
        <w:t>He was the 2019 NSW Australian of the Year and was awarded an Honorary Doctorate from Griffith University for his contribution to sport and disability advocacy.</w:t>
      </w:r>
    </w:p>
    <w:p w14:paraId="144003F1" w14:textId="77777777" w:rsidR="00D51127" w:rsidRDefault="00D51127" w:rsidP="00D51127">
      <w:r>
        <w:t>He is a high-school teacher, television presenter, podcaster and broadcaster, and former professional wheelchair athlete.</w:t>
      </w:r>
    </w:p>
    <w:p w14:paraId="0426F105" w14:textId="67CAF19D" w:rsidR="00594264" w:rsidRPr="00584012" w:rsidRDefault="00594264" w:rsidP="00594264">
      <w:r w:rsidRPr="00584012">
        <w:t xml:space="preserve">Qualifications: Bachelor of Education and Bachelor of Human Movement (Charles Sturt University) </w:t>
      </w:r>
      <w:r w:rsidR="001B7EFB" w:rsidRPr="00584012">
        <w:t xml:space="preserve">and </w:t>
      </w:r>
      <w:r w:rsidRPr="00584012">
        <w:t>Honorary Doctorate (Griffith University).</w:t>
      </w:r>
    </w:p>
    <w:p w14:paraId="64F9041D" w14:textId="77777777" w:rsidR="00594264" w:rsidRPr="00584012" w:rsidRDefault="00594264" w:rsidP="00594264">
      <w:r w:rsidRPr="00584012">
        <w:t>Positions held: NDIA Board Chair, Sustainability Committee, and People and Outcomes Committee Chair.</w:t>
      </w:r>
    </w:p>
    <w:p w14:paraId="401FA853" w14:textId="26AF2A1F" w:rsidR="00594264" w:rsidRPr="00584012" w:rsidRDefault="001E4096" w:rsidP="00D11860">
      <w:pPr>
        <w:pStyle w:val="Heading6"/>
        <w:keepNext/>
        <w:rPr>
          <w:b/>
          <w:bCs/>
        </w:rPr>
      </w:pPr>
      <w:r w:rsidRPr="00584012">
        <w:rPr>
          <w:b/>
          <w:bCs/>
        </w:rPr>
        <w:t xml:space="preserve">Ms </w:t>
      </w:r>
      <w:r w:rsidR="00594264" w:rsidRPr="00584012">
        <w:rPr>
          <w:b/>
          <w:bCs/>
        </w:rPr>
        <w:t>Estelle Pearson</w:t>
      </w:r>
    </w:p>
    <w:p w14:paraId="250DCA7F" w14:textId="50475519" w:rsidR="008C7B38" w:rsidRDefault="002C650E" w:rsidP="00594264">
      <w:r w:rsidRPr="007A3600">
        <w:rPr>
          <w:noProof/>
        </w:rPr>
        <w:drawing>
          <wp:inline distT="0" distB="0" distL="0" distR="0" wp14:anchorId="5B9871AD" wp14:editId="759B8456">
            <wp:extent cx="1296000" cy="2107704"/>
            <wp:effectExtent l="0" t="0" r="0" b="6985"/>
            <wp:docPr id="1943955360" name="Picture 25" descr="Ms Estelle Pea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955360" name="Picture 25" descr="Ms Estelle Pearson"/>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96000" cy="2107704"/>
                    </a:xfrm>
                    <a:prstGeom prst="rect">
                      <a:avLst/>
                    </a:prstGeom>
                    <a:noFill/>
                    <a:ln>
                      <a:noFill/>
                    </a:ln>
                  </pic:spPr>
                </pic:pic>
              </a:graphicData>
            </a:graphic>
          </wp:inline>
        </w:drawing>
      </w:r>
    </w:p>
    <w:p w14:paraId="19893F30" w14:textId="6FA409BF" w:rsidR="00594264" w:rsidRPr="00584012" w:rsidRDefault="00594264" w:rsidP="00594264">
      <w:r w:rsidRPr="00584012">
        <w:t>Ms Estelle Pearson has extensive experience in the insurance and injury compensation sector</w:t>
      </w:r>
      <w:r w:rsidR="00766DAA" w:rsidRPr="00584012">
        <w:t>,</w:t>
      </w:r>
      <w:r w:rsidRPr="00584012">
        <w:t xml:space="preserve"> having worked as an actuary and consultant since 1989. </w:t>
      </w:r>
      <w:r w:rsidR="00852A6F" w:rsidRPr="00584012">
        <w:t xml:space="preserve">Estelle </w:t>
      </w:r>
      <w:r w:rsidRPr="00584012">
        <w:t>is currently a Director of Finity Consulting Pty Limited and was previously on the Council of the Actuaries Institute, including a term as President in 2015.</w:t>
      </w:r>
    </w:p>
    <w:p w14:paraId="4149CF68" w14:textId="0316CBF1" w:rsidR="00594264" w:rsidRPr="00584012" w:rsidRDefault="00594264" w:rsidP="00602445">
      <w:r w:rsidRPr="00584012">
        <w:t xml:space="preserve">Qualifications: Bachelor of Arts (Hons) </w:t>
      </w:r>
      <w:r w:rsidR="00231C48" w:rsidRPr="00584012">
        <w:t xml:space="preserve">in </w:t>
      </w:r>
      <w:r w:rsidRPr="00584012">
        <w:t xml:space="preserve">Mathematics (University of Oxford) </w:t>
      </w:r>
      <w:r w:rsidR="001B7EFB" w:rsidRPr="00584012">
        <w:t xml:space="preserve">and </w:t>
      </w:r>
      <w:r w:rsidRPr="00584012">
        <w:t>Fellow of the Institute of Actuaries of Australia (FIAA).</w:t>
      </w:r>
    </w:p>
    <w:p w14:paraId="47A6A0BF" w14:textId="5E7D8893" w:rsidR="00594264" w:rsidRPr="00584012" w:rsidRDefault="00594264" w:rsidP="00594264">
      <w:r w:rsidRPr="00584012">
        <w:t>Positions held: NDIA Board and Sustainability Committee Chair.</w:t>
      </w:r>
    </w:p>
    <w:p w14:paraId="5E71A2AA" w14:textId="372A545F" w:rsidR="00594264" w:rsidRPr="00584012" w:rsidRDefault="001E4096" w:rsidP="00D11860">
      <w:pPr>
        <w:pStyle w:val="Heading6"/>
        <w:keepNext/>
        <w:rPr>
          <w:b/>
          <w:bCs/>
        </w:rPr>
      </w:pPr>
      <w:r w:rsidRPr="00584012">
        <w:rPr>
          <w:b/>
          <w:bCs/>
        </w:rPr>
        <w:t xml:space="preserve">Ms </w:t>
      </w:r>
      <w:r w:rsidR="00594264" w:rsidRPr="00584012">
        <w:rPr>
          <w:b/>
          <w:bCs/>
        </w:rPr>
        <w:t>Leah van Poppel</w:t>
      </w:r>
    </w:p>
    <w:p w14:paraId="4DC64A6C" w14:textId="232DCBD7" w:rsidR="002C650E" w:rsidRDefault="00FB52F1" w:rsidP="00594264">
      <w:r w:rsidRPr="007A3600">
        <w:rPr>
          <w:noProof/>
        </w:rPr>
        <w:drawing>
          <wp:inline distT="0" distB="0" distL="0" distR="0" wp14:anchorId="2EF1A9E9" wp14:editId="66E634EB">
            <wp:extent cx="1296000" cy="1911923"/>
            <wp:effectExtent l="0" t="0" r="0" b="0"/>
            <wp:docPr id="2032450241" name="Picture 23" descr="Ms Leah van Popp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450241" name="Picture 23" descr="Ms Leah van Poppel"/>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96000" cy="1911923"/>
                    </a:xfrm>
                    <a:prstGeom prst="rect">
                      <a:avLst/>
                    </a:prstGeom>
                    <a:noFill/>
                    <a:ln>
                      <a:noFill/>
                    </a:ln>
                  </pic:spPr>
                </pic:pic>
              </a:graphicData>
            </a:graphic>
          </wp:inline>
        </w:drawing>
      </w:r>
    </w:p>
    <w:p w14:paraId="487A4772" w14:textId="70C22C25" w:rsidR="00594264" w:rsidRPr="00584012" w:rsidRDefault="00594264" w:rsidP="00594264">
      <w:r w:rsidRPr="00584012">
        <w:t>Ms Leah van Poppel is the Principal Member of the NDIS IAC and Chair of the Victorian NDIS Community Advisory Council.</w:t>
      </w:r>
    </w:p>
    <w:p w14:paraId="1613CBA4" w14:textId="67B3FF47" w:rsidR="00594264" w:rsidRPr="00584012" w:rsidRDefault="00594264" w:rsidP="00602445">
      <w:r w:rsidRPr="00584012">
        <w:t xml:space="preserve">A highly respected leader and disability rights advocate, </w:t>
      </w:r>
      <w:r w:rsidR="00852A6F" w:rsidRPr="00584012">
        <w:t>Leah</w:t>
      </w:r>
      <w:r w:rsidRPr="00584012">
        <w:t xml:space="preserve"> was </w:t>
      </w:r>
      <w:r w:rsidR="001B7EFB" w:rsidRPr="00584012">
        <w:t>Chief Executive Officer (</w:t>
      </w:r>
      <w:r w:rsidRPr="00584012">
        <w:t>CEO</w:t>
      </w:r>
      <w:r w:rsidR="001B7EFB" w:rsidRPr="00584012">
        <w:t>)</w:t>
      </w:r>
      <w:r w:rsidRPr="00584012">
        <w:t xml:space="preserve"> of Women with Disabilities Victoria from 2018</w:t>
      </w:r>
      <w:r w:rsidR="00766DAA" w:rsidRPr="00584012">
        <w:t xml:space="preserve"> to </w:t>
      </w:r>
      <w:r w:rsidRPr="00584012">
        <w:t>2021 and worked to empower marginalised women in the community through education and mentoring, as well as research, policy advice and government advocacy.</w:t>
      </w:r>
    </w:p>
    <w:p w14:paraId="10780349" w14:textId="7F5527BF" w:rsidR="00594264" w:rsidRPr="00584012" w:rsidRDefault="00A433DC" w:rsidP="00594264">
      <w:r w:rsidRPr="00584012">
        <w:t>Leah</w:t>
      </w:r>
      <w:r w:rsidR="00594264" w:rsidRPr="00584012">
        <w:t xml:space="preserve"> was the CEO of Blind Citizens Australia, Manager at Youth Disability Advocacy Service</w:t>
      </w:r>
      <w:r w:rsidR="001B7EFB" w:rsidRPr="00584012">
        <w:t>,</w:t>
      </w:r>
      <w:r w:rsidR="00594264" w:rsidRPr="00584012">
        <w:t xml:space="preserve"> and NDIS Readiness Project Officer at Australian Federation of Disability Organisations.</w:t>
      </w:r>
    </w:p>
    <w:p w14:paraId="6722BD8A" w14:textId="77777777" w:rsidR="00594264" w:rsidRPr="00584012" w:rsidRDefault="00594264" w:rsidP="00594264">
      <w:r w:rsidRPr="00584012">
        <w:t>Qualifications: Bachelor of Arts (Macquarie University).</w:t>
      </w:r>
    </w:p>
    <w:p w14:paraId="3ACE55EA" w14:textId="72753CD8" w:rsidR="00594264" w:rsidRPr="00584012" w:rsidRDefault="00594264" w:rsidP="00594264">
      <w:r w:rsidRPr="00584012">
        <w:t>Positions held: NDIA Board, Principal Member IAC, Sustainability Committee and People and Outcomes Committee.</w:t>
      </w:r>
    </w:p>
    <w:p w14:paraId="18C2B260" w14:textId="00E2CC3E" w:rsidR="00594264" w:rsidRPr="00584012" w:rsidRDefault="00594264" w:rsidP="00D11860">
      <w:pPr>
        <w:pStyle w:val="Heading6"/>
        <w:keepNext/>
        <w:rPr>
          <w:b/>
          <w:bCs/>
        </w:rPr>
      </w:pPr>
      <w:r w:rsidRPr="00584012">
        <w:rPr>
          <w:b/>
          <w:bCs/>
        </w:rPr>
        <w:t>Dr Denis Napthine AO</w:t>
      </w:r>
    </w:p>
    <w:p w14:paraId="03DB2127" w14:textId="05DCE423" w:rsidR="006051E1" w:rsidRDefault="00B33CA8" w:rsidP="00594264">
      <w:r>
        <w:rPr>
          <w:noProof/>
        </w:rPr>
        <w:drawing>
          <wp:inline distT="0" distB="0" distL="0" distR="0" wp14:anchorId="0628D661" wp14:editId="2362E2BB">
            <wp:extent cx="1394269" cy="1800000"/>
            <wp:effectExtent l="0" t="0" r="0" b="0"/>
            <wp:docPr id="366952324" name="Picture 25" descr="Image of Dr Denis Natphine 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952324" name="Picture 25" descr="Image of Dr Denis Natphine AO"/>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394269" cy="1800000"/>
                    </a:xfrm>
                    <a:prstGeom prst="rect">
                      <a:avLst/>
                    </a:prstGeom>
                  </pic:spPr>
                </pic:pic>
              </a:graphicData>
            </a:graphic>
          </wp:inline>
        </w:drawing>
      </w:r>
    </w:p>
    <w:p w14:paraId="0041C17B" w14:textId="34CD9403" w:rsidR="00594264" w:rsidRPr="00584012" w:rsidRDefault="00594264" w:rsidP="00594264">
      <w:r w:rsidRPr="00584012">
        <w:t xml:space="preserve">Dr Denis Napthine </w:t>
      </w:r>
      <w:r w:rsidR="002E21B5">
        <w:t xml:space="preserve">AO </w:t>
      </w:r>
      <w:r w:rsidRPr="00584012">
        <w:t>has held various senior positions in government and was the 47th Premier of Victoria.</w:t>
      </w:r>
    </w:p>
    <w:p w14:paraId="75A82C6D" w14:textId="17C211C3" w:rsidR="00594264" w:rsidRPr="00584012" w:rsidRDefault="00594264" w:rsidP="00594264">
      <w:r w:rsidRPr="00584012">
        <w:t xml:space="preserve">As the Premier, Denis led the Victorian </w:t>
      </w:r>
      <w:r w:rsidR="00A87F5D" w:rsidRPr="00584012">
        <w:t>G</w:t>
      </w:r>
      <w:r w:rsidRPr="00584012">
        <w:t>overnment in the signing of the NDIS Agreement with the then Prime Minister</w:t>
      </w:r>
      <w:r w:rsidR="00A87F5D" w:rsidRPr="00584012">
        <w:t>,</w:t>
      </w:r>
      <w:r w:rsidRPr="00584012">
        <w:t xml:space="preserve"> Julia Gillard</w:t>
      </w:r>
      <w:r w:rsidR="00A87F5D" w:rsidRPr="00584012">
        <w:t>,</w:t>
      </w:r>
      <w:r w:rsidRPr="00584012">
        <w:t xml:space="preserve"> in 2013. Denis has a long history of active involvement in local and regional services for people with disabilities and their families and carers, including serving as Victoria’s Minister for Youth and Community Services, which included Disability Services.</w:t>
      </w:r>
    </w:p>
    <w:p w14:paraId="4FBD39E6" w14:textId="4E2B8267" w:rsidR="00594264" w:rsidRPr="00584012" w:rsidRDefault="00594264" w:rsidP="00602445">
      <w:r w:rsidRPr="00584012">
        <w:t>In 2020 Denis was made an Officer of the Order of Australia (AO) for distinguished service to the people and Parliament of Victoria, particularly as Premier, to veterinary science and to the community.</w:t>
      </w:r>
    </w:p>
    <w:p w14:paraId="29630ECA" w14:textId="6E1109FC" w:rsidR="00594264" w:rsidRPr="00584012" w:rsidRDefault="00594264" w:rsidP="00594264">
      <w:r w:rsidRPr="00584012">
        <w:t>Qualifications: Bachelor of Veterinar</w:t>
      </w:r>
      <w:r w:rsidR="00B72ADB">
        <w:t>y</w:t>
      </w:r>
      <w:r w:rsidRPr="00584012">
        <w:t xml:space="preserve"> Science and Master of Veterinar</w:t>
      </w:r>
      <w:r w:rsidR="00B72ADB">
        <w:t>y</w:t>
      </w:r>
      <w:r w:rsidRPr="00584012">
        <w:t xml:space="preserve"> Science, Epidemiology and Preventive Medicine (University of Melbourne) and Master Business Administration (Deakin University).</w:t>
      </w:r>
    </w:p>
    <w:p w14:paraId="583B13E1" w14:textId="0ACDE740" w:rsidR="00594264" w:rsidRPr="00584012" w:rsidRDefault="00594264" w:rsidP="00594264">
      <w:r w:rsidRPr="00584012">
        <w:t>Positions held: NDIA Board and Audit and Risk Committee.</w:t>
      </w:r>
    </w:p>
    <w:p w14:paraId="6D7676ED" w14:textId="77777777" w:rsidR="00594264" w:rsidRPr="00584012" w:rsidRDefault="00594264" w:rsidP="00D11860">
      <w:pPr>
        <w:pStyle w:val="Heading6"/>
        <w:keepNext/>
        <w:rPr>
          <w:b/>
          <w:bCs/>
        </w:rPr>
      </w:pPr>
      <w:r w:rsidRPr="00584012">
        <w:rPr>
          <w:b/>
          <w:bCs/>
        </w:rPr>
        <w:t>Dr Graeme Innes AM</w:t>
      </w:r>
    </w:p>
    <w:p w14:paraId="19B8920A" w14:textId="77777777" w:rsidR="006E1610" w:rsidRDefault="006E1610" w:rsidP="00594264">
      <w:r>
        <w:rPr>
          <w:noProof/>
        </w:rPr>
        <w:drawing>
          <wp:inline distT="0" distB="0" distL="0" distR="0" wp14:anchorId="155197D7" wp14:editId="2EF1AED3">
            <wp:extent cx="1764000" cy="1764000"/>
            <wp:effectExtent l="0" t="0" r="8255" b="8255"/>
            <wp:docPr id="977248833" name="Picture 13" descr="Image of Dr Graeme Innes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48833" name="Picture 13" descr="Image of Dr Graeme Innes AM"/>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764000" cy="1764000"/>
                    </a:xfrm>
                    <a:prstGeom prst="rect">
                      <a:avLst/>
                    </a:prstGeom>
                  </pic:spPr>
                </pic:pic>
              </a:graphicData>
            </a:graphic>
          </wp:inline>
        </w:drawing>
      </w:r>
    </w:p>
    <w:p w14:paraId="74BD5A48" w14:textId="30C1E69B" w:rsidR="00594264" w:rsidRPr="00584012" w:rsidRDefault="00594264" w:rsidP="00594264">
      <w:r w:rsidRPr="00584012">
        <w:t>Dr Graeme Innes AM is a lawyer, author</w:t>
      </w:r>
      <w:r w:rsidR="00A87F5D" w:rsidRPr="00584012">
        <w:t xml:space="preserve"> and </w:t>
      </w:r>
      <w:r w:rsidRPr="00584012">
        <w:t>company director</w:t>
      </w:r>
      <w:r w:rsidR="00A87F5D" w:rsidRPr="00584012">
        <w:t>;</w:t>
      </w:r>
      <w:r w:rsidRPr="00584012">
        <w:t xml:space="preserve"> and was Australia's Disability Discrimination Commissioner for 9 years.</w:t>
      </w:r>
    </w:p>
    <w:p w14:paraId="1F3D637C" w14:textId="245D7C4A" w:rsidR="00594264" w:rsidRPr="00584012" w:rsidRDefault="006168DD" w:rsidP="00594264">
      <w:r w:rsidRPr="00584012">
        <w:t>Graeme</w:t>
      </w:r>
      <w:r w:rsidR="00594264" w:rsidRPr="00584012">
        <w:t xml:space="preserve"> has been a human rights practitioner for more than 40 years and has been responsible for issues relating to disability, race and human rights.</w:t>
      </w:r>
    </w:p>
    <w:p w14:paraId="111E521C" w14:textId="075BCD19" w:rsidR="00594264" w:rsidRPr="00584012" w:rsidRDefault="00692ECC" w:rsidP="00594264">
      <w:r w:rsidRPr="00584012">
        <w:t>Graeme</w:t>
      </w:r>
      <w:r w:rsidR="00594264" w:rsidRPr="00584012">
        <w:t xml:space="preserve"> led the merger of 4 blindness agencies to form Vision Australia and </w:t>
      </w:r>
      <w:r w:rsidR="005E6E2C" w:rsidRPr="00584012">
        <w:t>c</w:t>
      </w:r>
      <w:r w:rsidR="00594264" w:rsidRPr="00584012">
        <w:t>haired the Board of that agency. He is Chancellor of Central Queensland University and was a Director of the State Insurance Regulatory Authority from 2016</w:t>
      </w:r>
      <w:r w:rsidR="00A87F5D" w:rsidRPr="00584012">
        <w:t xml:space="preserve"> to </w:t>
      </w:r>
      <w:r w:rsidR="00594264" w:rsidRPr="00584012">
        <w:t xml:space="preserve">2025, regulating workers’ compensation and motor vehicle accident insurance in </w:t>
      </w:r>
      <w:r w:rsidR="005E6E2C" w:rsidRPr="00584012">
        <w:t>New South Wales</w:t>
      </w:r>
      <w:r w:rsidR="00594264" w:rsidRPr="00584012">
        <w:t>.</w:t>
      </w:r>
    </w:p>
    <w:p w14:paraId="5340A947" w14:textId="60D3A5DD" w:rsidR="00594264" w:rsidRPr="00584012" w:rsidRDefault="00594264" w:rsidP="00602445">
      <w:r w:rsidRPr="00584012">
        <w:t xml:space="preserve">On the international stage, </w:t>
      </w:r>
      <w:r w:rsidR="00692ECC" w:rsidRPr="00584012">
        <w:t>Graeme</w:t>
      </w:r>
      <w:r w:rsidRPr="00584012">
        <w:t xml:space="preserve"> was a member of the Australian delegation that participated in negotiating the </w:t>
      </w:r>
      <w:r w:rsidR="005E6E2C" w:rsidRPr="00584012">
        <w:t xml:space="preserve">United Nations </w:t>
      </w:r>
      <w:r w:rsidRPr="00584012">
        <w:t>Convention on the Rights of People with Disabilities.</w:t>
      </w:r>
    </w:p>
    <w:p w14:paraId="72AAEFF7" w14:textId="436F8D2F" w:rsidR="00594264" w:rsidRPr="00584012" w:rsidRDefault="00692ECC" w:rsidP="00594264">
      <w:r w:rsidRPr="00584012">
        <w:t>Graeme</w:t>
      </w:r>
      <w:r w:rsidR="00594264" w:rsidRPr="00584012">
        <w:t xml:space="preserve"> was made a Member of the Order of Australia (AM) in 1995 for his work on the development of the Disability Discrimination Act</w:t>
      </w:r>
      <w:r w:rsidR="00A87F5D" w:rsidRPr="00584012">
        <w:t>;</w:t>
      </w:r>
      <w:r w:rsidR="00594264" w:rsidRPr="00584012">
        <w:t xml:space="preserve"> and in 2003 was a finalist for Australian of the Year. His autobiography</w:t>
      </w:r>
      <w:r w:rsidR="00A87F5D" w:rsidRPr="00584012">
        <w:t>,</w:t>
      </w:r>
      <w:r w:rsidR="00594264" w:rsidRPr="00584012">
        <w:t xml:space="preserve"> </w:t>
      </w:r>
      <w:r w:rsidR="00594264" w:rsidRPr="00584012">
        <w:rPr>
          <w:i/>
          <w:iCs/>
        </w:rPr>
        <w:t xml:space="preserve">Finding </w:t>
      </w:r>
      <w:r w:rsidR="00A87F5D" w:rsidRPr="00584012">
        <w:rPr>
          <w:i/>
          <w:iCs/>
        </w:rPr>
        <w:t>a</w:t>
      </w:r>
      <w:r w:rsidR="00594264" w:rsidRPr="00584012">
        <w:rPr>
          <w:i/>
          <w:iCs/>
        </w:rPr>
        <w:t xml:space="preserve"> </w:t>
      </w:r>
      <w:r w:rsidR="00A87F5D" w:rsidRPr="00584012">
        <w:rPr>
          <w:i/>
          <w:iCs/>
        </w:rPr>
        <w:t>w</w:t>
      </w:r>
      <w:r w:rsidR="00594264" w:rsidRPr="00584012">
        <w:rPr>
          <w:i/>
          <w:iCs/>
        </w:rPr>
        <w:t>ay</w:t>
      </w:r>
      <w:r w:rsidR="00A87F5D" w:rsidRPr="00584012">
        <w:t>,</w:t>
      </w:r>
      <w:r w:rsidR="00594264" w:rsidRPr="00584012">
        <w:t xml:space="preserve"> achieved popular acclaim in 2016.</w:t>
      </w:r>
    </w:p>
    <w:p w14:paraId="22C4DB81" w14:textId="29882076" w:rsidR="00594264" w:rsidRPr="00584012" w:rsidRDefault="00594264" w:rsidP="00594264">
      <w:r w:rsidRPr="00584012">
        <w:t xml:space="preserve">Qualifications: Bachelor of Laws (Sydney University), Honorary Doctorates (University of Canberra, RMIT University, University of NSW, Edith Cowan University) </w:t>
      </w:r>
      <w:r w:rsidR="005E6E2C" w:rsidRPr="00584012">
        <w:t xml:space="preserve">and </w:t>
      </w:r>
      <w:r w:rsidRPr="00584012">
        <w:t>Fellow of the Australian Institute of Company Directors (AICD).</w:t>
      </w:r>
    </w:p>
    <w:p w14:paraId="7525B89B" w14:textId="57E00A6B" w:rsidR="00594264" w:rsidRPr="00584012" w:rsidRDefault="00594264" w:rsidP="00594264">
      <w:r w:rsidRPr="00584012">
        <w:t>Positions held: NDIA Board and Audit and Risk Committee Chair.</w:t>
      </w:r>
    </w:p>
    <w:p w14:paraId="4327FCDB" w14:textId="66522748" w:rsidR="00594264" w:rsidRPr="00584012" w:rsidRDefault="001E4096" w:rsidP="00D11860">
      <w:pPr>
        <w:pStyle w:val="Heading6"/>
        <w:keepNext/>
        <w:rPr>
          <w:b/>
          <w:bCs/>
        </w:rPr>
      </w:pPr>
      <w:r w:rsidRPr="00584012">
        <w:rPr>
          <w:b/>
          <w:bCs/>
        </w:rPr>
        <w:t xml:space="preserve">Ms </w:t>
      </w:r>
      <w:r w:rsidR="00594264" w:rsidRPr="00584012">
        <w:rPr>
          <w:b/>
          <w:bCs/>
        </w:rPr>
        <w:t>Maryanne Diamond AO</w:t>
      </w:r>
    </w:p>
    <w:p w14:paraId="5BE84AAD" w14:textId="79AEA273" w:rsidR="006051E1" w:rsidRDefault="000D5D7E" w:rsidP="00594264">
      <w:r w:rsidRPr="007A3600">
        <w:rPr>
          <w:noProof/>
        </w:rPr>
        <w:drawing>
          <wp:inline distT="0" distB="0" distL="0" distR="0" wp14:anchorId="3B9B0E0A" wp14:editId="525EE920">
            <wp:extent cx="1296000" cy="1922089"/>
            <wp:effectExtent l="0" t="0" r="0" b="2540"/>
            <wp:docPr id="549493791" name="Picture 19" descr="Ms Maryanne Diamond 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93791" name="Picture 19" descr="Ms Maryanne Diamond AO"/>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6000" cy="1922089"/>
                    </a:xfrm>
                    <a:prstGeom prst="rect">
                      <a:avLst/>
                    </a:prstGeom>
                    <a:noFill/>
                    <a:ln>
                      <a:noFill/>
                    </a:ln>
                  </pic:spPr>
                </pic:pic>
              </a:graphicData>
            </a:graphic>
          </wp:inline>
        </w:drawing>
      </w:r>
    </w:p>
    <w:p w14:paraId="701C42C9" w14:textId="684F9FAC" w:rsidR="00594264" w:rsidRPr="00584012" w:rsidRDefault="00594264" w:rsidP="00594264">
      <w:r w:rsidRPr="00584012">
        <w:t>Ms Maryanne Diamond</w:t>
      </w:r>
      <w:r w:rsidR="003278A6">
        <w:t xml:space="preserve"> AO</w:t>
      </w:r>
      <w:r w:rsidRPr="00584012">
        <w:t xml:space="preserve"> has lived with disability all her life and has extensive experience leading organisations in Australia, including being Executive Officer of Blind Citizens Australia, and inaugural CEO of the Australian Federation of Disability Organisations.</w:t>
      </w:r>
    </w:p>
    <w:p w14:paraId="073B0213" w14:textId="31036F65" w:rsidR="00594264" w:rsidRPr="00584012" w:rsidRDefault="0061428F" w:rsidP="00594264">
      <w:r w:rsidRPr="00584012">
        <w:t>Maryanne</w:t>
      </w:r>
      <w:r w:rsidR="00594264" w:rsidRPr="00584012">
        <w:t xml:space="preserve"> has been employed in the information technology industry, the disability sector and in government, including </w:t>
      </w:r>
      <w:r w:rsidR="00A87F5D" w:rsidRPr="00584012">
        <w:t xml:space="preserve">5 </w:t>
      </w:r>
      <w:r w:rsidR="00594264" w:rsidRPr="00584012">
        <w:t>years as a senior executive at the NDIA.</w:t>
      </w:r>
    </w:p>
    <w:p w14:paraId="7DCB397D" w14:textId="6DE38DE8" w:rsidR="00594264" w:rsidRPr="00584012" w:rsidRDefault="00594264" w:rsidP="00594264">
      <w:r w:rsidRPr="00584012">
        <w:t>At the international level, Maryanne was President of the World Blind Union from 2008</w:t>
      </w:r>
      <w:r w:rsidR="00A87F5D" w:rsidRPr="00584012">
        <w:t xml:space="preserve"> to </w:t>
      </w:r>
      <w:r w:rsidRPr="00584012">
        <w:t>2012 and Chair of The International Disability Alliance from 2014</w:t>
      </w:r>
      <w:r w:rsidR="00A87F5D" w:rsidRPr="00584012">
        <w:t xml:space="preserve"> to </w:t>
      </w:r>
      <w:r w:rsidRPr="00584012">
        <w:t>2016.</w:t>
      </w:r>
    </w:p>
    <w:p w14:paraId="78695F27" w14:textId="0CC74AA0" w:rsidR="00594264" w:rsidRPr="00584012" w:rsidRDefault="00594264" w:rsidP="00594264">
      <w:r w:rsidRPr="00584012">
        <w:t xml:space="preserve">In 2014 </w:t>
      </w:r>
      <w:r w:rsidR="00D757BE" w:rsidRPr="00584012">
        <w:t>Maryanne</w:t>
      </w:r>
      <w:r w:rsidRPr="00584012">
        <w:t xml:space="preserve"> was appointed an Officer of the Order of Australia (AO) for distinguished service to people who are blind or have low vision and for her international leadership roles and advocacy for best practice employment opportunities.</w:t>
      </w:r>
    </w:p>
    <w:p w14:paraId="7D7446FD" w14:textId="48850106" w:rsidR="00594264" w:rsidRPr="00584012" w:rsidRDefault="00594264" w:rsidP="00594264">
      <w:r w:rsidRPr="00584012">
        <w:t>Qualifications: Bachelor of Science (Monash University), Graduate Diploma Information Technology (Caulfield Institute of Technology) and Graduate of the AICD.</w:t>
      </w:r>
    </w:p>
    <w:p w14:paraId="70D4406F" w14:textId="77777777" w:rsidR="00594264" w:rsidRPr="00584012" w:rsidRDefault="00594264" w:rsidP="00594264">
      <w:r w:rsidRPr="00584012">
        <w:t>Positions held: NDIA Board, Sustainability Committee, and Audit and Risk Committee Deputy Chair.</w:t>
      </w:r>
    </w:p>
    <w:p w14:paraId="19B8CB27" w14:textId="627952A7" w:rsidR="00594264" w:rsidRPr="00584012" w:rsidRDefault="001E4096" w:rsidP="00D11860">
      <w:pPr>
        <w:pStyle w:val="Heading6"/>
        <w:keepNext/>
        <w:rPr>
          <w:b/>
          <w:bCs/>
        </w:rPr>
      </w:pPr>
      <w:r w:rsidRPr="00584012">
        <w:rPr>
          <w:b/>
          <w:bCs/>
        </w:rPr>
        <w:t>M</w:t>
      </w:r>
      <w:r w:rsidR="00926654">
        <w:rPr>
          <w:b/>
          <w:bCs/>
        </w:rPr>
        <w:t>r</w:t>
      </w:r>
      <w:r w:rsidRPr="00584012">
        <w:rPr>
          <w:b/>
          <w:bCs/>
        </w:rPr>
        <w:t xml:space="preserve">s </w:t>
      </w:r>
      <w:r w:rsidR="00594264" w:rsidRPr="00584012">
        <w:rPr>
          <w:b/>
          <w:bCs/>
        </w:rPr>
        <w:t>Joan McKenna Kerr</w:t>
      </w:r>
    </w:p>
    <w:p w14:paraId="2BD1F6A2" w14:textId="12321266" w:rsidR="000D5D7E" w:rsidRDefault="00F560B5" w:rsidP="00594264">
      <w:r w:rsidRPr="007A3600">
        <w:rPr>
          <w:noProof/>
        </w:rPr>
        <w:drawing>
          <wp:inline distT="0" distB="0" distL="0" distR="0" wp14:anchorId="25F89418" wp14:editId="2778B219">
            <wp:extent cx="1560971" cy="1800000"/>
            <wp:effectExtent l="0" t="0" r="1270" b="0"/>
            <wp:docPr id="877627765" name="Picture 18" descr="Mrs Joan McKenna Ke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27765" name="Picture 18" descr="Mrs Joan McKenna Kerr"/>
                    <pic:cNvPicPr>
                      <a:picLocks noChangeAspect="1" noChangeArrowheads="1"/>
                    </pic:cNvPicPr>
                  </pic:nvPicPr>
                  <pic:blipFill rotWithShape="1">
                    <a:blip r:embed="rId47" cstate="print">
                      <a:extLst>
                        <a:ext uri="{BEBA8EAE-BF5A-486C-A8C5-ECC9F3942E4B}">
                          <a14:imgProps xmlns:a14="http://schemas.microsoft.com/office/drawing/2010/main">
                            <a14:imgLayer r:embed="rId48">
                              <a14:imgEffect>
                                <a14:sharpenSoften amount="100000"/>
                              </a14:imgEffect>
                            </a14:imgLayer>
                          </a14:imgProps>
                        </a:ext>
                        <a:ext uri="{28A0092B-C50C-407E-A947-70E740481C1C}">
                          <a14:useLocalDpi xmlns:a14="http://schemas.microsoft.com/office/drawing/2010/main" val="0"/>
                        </a:ext>
                      </a:extLst>
                    </a:blip>
                    <a:srcRect l="3540" t="2120" r="3919" b="8471"/>
                    <a:stretch>
                      <a:fillRect/>
                    </a:stretch>
                  </pic:blipFill>
                  <pic:spPr bwMode="auto">
                    <a:xfrm>
                      <a:off x="0" y="0"/>
                      <a:ext cx="1560971" cy="1800000"/>
                    </a:xfrm>
                    <a:prstGeom prst="rect">
                      <a:avLst/>
                    </a:prstGeom>
                    <a:noFill/>
                    <a:ln>
                      <a:noFill/>
                    </a:ln>
                    <a:extLst>
                      <a:ext uri="{53640926-AAD7-44D8-BBD7-CCE9431645EC}">
                        <a14:shadowObscured xmlns:a14="http://schemas.microsoft.com/office/drawing/2010/main"/>
                      </a:ext>
                    </a:extLst>
                  </pic:spPr>
                </pic:pic>
              </a:graphicData>
            </a:graphic>
          </wp:inline>
        </w:drawing>
      </w:r>
    </w:p>
    <w:p w14:paraId="61564F23" w14:textId="6364CBC6" w:rsidR="00594264" w:rsidRPr="00584012" w:rsidRDefault="00594264" w:rsidP="00594264">
      <w:r w:rsidRPr="00584012">
        <w:t>M</w:t>
      </w:r>
      <w:r w:rsidR="00926654">
        <w:t>r</w:t>
      </w:r>
      <w:r w:rsidRPr="00584012">
        <w:t>s Joan McKenna Kerr is an experienced CEO in the field of disability</w:t>
      </w:r>
      <w:r w:rsidR="00A87F5D" w:rsidRPr="00584012">
        <w:t>,</w:t>
      </w:r>
      <w:r w:rsidRPr="00584012">
        <w:t xml:space="preserve"> with significant experience as a </w:t>
      </w:r>
      <w:r w:rsidR="00A87F5D" w:rsidRPr="00584012">
        <w:t>b</w:t>
      </w:r>
      <w:r w:rsidRPr="00584012">
        <w:t xml:space="preserve">oard </w:t>
      </w:r>
      <w:r w:rsidR="00A87F5D" w:rsidRPr="00584012">
        <w:t>d</w:t>
      </w:r>
      <w:r w:rsidRPr="00584012">
        <w:t xml:space="preserve">irector. She was a member of the Expert Advisory Group on the development and establishment of the NDIS and of the inaugural NDIS </w:t>
      </w:r>
      <w:r w:rsidR="005E6E2C" w:rsidRPr="00584012">
        <w:t>IAC</w:t>
      </w:r>
      <w:r w:rsidRPr="00584012">
        <w:t>.</w:t>
      </w:r>
    </w:p>
    <w:p w14:paraId="4726E5DB" w14:textId="374F930A" w:rsidR="00594264" w:rsidRPr="00584012" w:rsidRDefault="00594264" w:rsidP="00594264">
      <w:r w:rsidRPr="00584012">
        <w:t xml:space="preserve">Joan has also </w:t>
      </w:r>
      <w:r w:rsidR="00A87F5D" w:rsidRPr="00584012">
        <w:t>c</w:t>
      </w:r>
      <w:r w:rsidRPr="00584012">
        <w:t>haired and served on numerous working parties tasked with disability sector reform and sustainability, including as Co-Chair of the NDIS Working Party on Eligibility and Assessment.</w:t>
      </w:r>
    </w:p>
    <w:p w14:paraId="3A4CCADD" w14:textId="6764F7F8" w:rsidR="00594264" w:rsidRPr="00584012" w:rsidRDefault="00594264" w:rsidP="00594264">
      <w:r w:rsidRPr="00584012">
        <w:t xml:space="preserve">Joan is a member of the </w:t>
      </w:r>
      <w:r w:rsidR="00A87F5D" w:rsidRPr="00584012">
        <w:t xml:space="preserve">AICD </w:t>
      </w:r>
      <w:r w:rsidRPr="00584012">
        <w:t>and is a former President of National Disability Services and the former National Chair of the Australian Advisory Board on Autism.</w:t>
      </w:r>
    </w:p>
    <w:p w14:paraId="2F0F64FD" w14:textId="2FFE8CD3" w:rsidR="00594264" w:rsidRPr="00584012" w:rsidRDefault="00594264" w:rsidP="00594264">
      <w:r w:rsidRPr="00584012">
        <w:t xml:space="preserve">For the </w:t>
      </w:r>
      <w:r w:rsidR="00134D4A" w:rsidRPr="00584012">
        <w:t>p</w:t>
      </w:r>
      <w:r w:rsidRPr="00584012">
        <w:t xml:space="preserve">ast decade, Joan has been involved in the </w:t>
      </w:r>
      <w:r w:rsidR="00A87F5D" w:rsidRPr="00584012">
        <w:t>s</w:t>
      </w:r>
      <w:r w:rsidRPr="00584012">
        <w:t>ister-</w:t>
      </w:r>
      <w:r w:rsidR="00A87F5D" w:rsidRPr="00584012">
        <w:t>s</w:t>
      </w:r>
      <w:r w:rsidRPr="00584012">
        <w:t>tate initiative between the West</w:t>
      </w:r>
      <w:r w:rsidR="00A87F5D" w:rsidRPr="00584012">
        <w:t>ern</w:t>
      </w:r>
      <w:r w:rsidRPr="00584012">
        <w:t xml:space="preserve"> Australian Government and East Java, Indonesia, assisting in the development of disability services in 5 regional government areas of East Java. In 2017 she was awarded the Asia Pacific Autism Award for a lifetime of service to people with </w:t>
      </w:r>
      <w:r w:rsidR="00A87F5D" w:rsidRPr="00584012">
        <w:t>a</w:t>
      </w:r>
      <w:r w:rsidRPr="00584012">
        <w:t>utism and their families.</w:t>
      </w:r>
    </w:p>
    <w:p w14:paraId="7CA21C8B" w14:textId="77777777" w:rsidR="00594264" w:rsidRPr="00584012" w:rsidRDefault="00594264" w:rsidP="00594264">
      <w:r w:rsidRPr="00584012">
        <w:t>Qualifications:  Bachelor of Arts, Moderatorship in Sociology (Trinity College, Dublin).</w:t>
      </w:r>
    </w:p>
    <w:p w14:paraId="722DEA24" w14:textId="536D46C7" w:rsidR="00594264" w:rsidRPr="00584012" w:rsidRDefault="00594264" w:rsidP="00594264">
      <w:r w:rsidRPr="00584012">
        <w:t>Positions held: NDIA Board and People and Outcomes Committee.</w:t>
      </w:r>
    </w:p>
    <w:p w14:paraId="667C6BC6" w14:textId="77777777" w:rsidR="00594264" w:rsidRPr="00584012" w:rsidRDefault="00594264" w:rsidP="00D11860">
      <w:pPr>
        <w:pStyle w:val="Heading6"/>
        <w:keepNext/>
        <w:rPr>
          <w:b/>
          <w:bCs/>
        </w:rPr>
      </w:pPr>
      <w:r w:rsidRPr="00584012">
        <w:rPr>
          <w:b/>
          <w:bCs/>
        </w:rPr>
        <w:t>Dr Richard Fejo</w:t>
      </w:r>
    </w:p>
    <w:p w14:paraId="5D96306F" w14:textId="61E33F3A" w:rsidR="00F560B5" w:rsidRDefault="00EB113B" w:rsidP="00594264">
      <w:r w:rsidRPr="007A3600">
        <w:rPr>
          <w:noProof/>
        </w:rPr>
        <w:drawing>
          <wp:inline distT="0" distB="0" distL="0" distR="0" wp14:anchorId="65FD8F2D" wp14:editId="627B5A72">
            <wp:extent cx="1332000" cy="1703310"/>
            <wp:effectExtent l="0" t="0" r="1905" b="0"/>
            <wp:docPr id="1268682722" name="Picture 17" descr="Dr Richard Fe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682722" name="Picture 17" descr="Dr Richard Fejo"/>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32000" cy="1703310"/>
                    </a:xfrm>
                    <a:prstGeom prst="rect">
                      <a:avLst/>
                    </a:prstGeom>
                    <a:noFill/>
                    <a:ln>
                      <a:noFill/>
                    </a:ln>
                  </pic:spPr>
                </pic:pic>
              </a:graphicData>
            </a:graphic>
          </wp:inline>
        </w:drawing>
      </w:r>
    </w:p>
    <w:p w14:paraId="1695129E" w14:textId="27238C06" w:rsidR="002F4D5D" w:rsidRDefault="002F4D5D" w:rsidP="002F4D5D">
      <w:r>
        <w:t>Dr Richard Fejo, better known as Uncle Richie, is a Larrakia man from Darwin from Grandfather lore and Warramungu from Tennant Creek on his mother’s side.</w:t>
      </w:r>
    </w:p>
    <w:p w14:paraId="6FF80194" w14:textId="19BF8C5D" w:rsidR="002F4D5D" w:rsidRDefault="002F4D5D" w:rsidP="002F4D5D">
      <w:r>
        <w:t>Richie has devoted his life to improving education and health outcomes for Aboriginal and Torres Strait Islander people within urban, rural and remote communities.</w:t>
      </w:r>
    </w:p>
    <w:p w14:paraId="186174DE" w14:textId="0E181807" w:rsidR="002F4D5D" w:rsidRDefault="002F4D5D" w:rsidP="002F4D5D">
      <w:r>
        <w:t>Richie has previously been the Chairman of the Larrakia Nation Aboriginal Corporation (LNAC), Chairman of the Darwin Waterfront Corporation (DWC), Chairman of the Australia Day Council Northern Territory (ADCNT) and sat on the City of Darwin’s International Relations Committee and is now a committee member of the Northern Territory branch of the Australian Institute of Company Directors.</w:t>
      </w:r>
    </w:p>
    <w:p w14:paraId="13EBD84A" w14:textId="46F28B7E" w:rsidR="00594264" w:rsidRPr="00584012" w:rsidRDefault="002F4D5D" w:rsidP="002F4D5D">
      <w:r>
        <w:t xml:space="preserve">In 2022, Richie was awarded an honorary doctorate by Flinders University in recognition of his contribution to education and Indigenous health. Richie is the Senior Elder of Flinders University for South Australia and the </w:t>
      </w:r>
      <w:r w:rsidR="00637E39">
        <w:t>3</w:t>
      </w:r>
      <w:r>
        <w:t xml:space="preserve"> Northern Territory campuses and the Elder in Residence at Brown’s Mart theatre in Darwin.</w:t>
      </w:r>
    </w:p>
    <w:p w14:paraId="59D55457" w14:textId="77777777" w:rsidR="00594264" w:rsidRPr="00584012" w:rsidRDefault="00594264" w:rsidP="00594264">
      <w:r w:rsidRPr="00584012">
        <w:t>Qualifications: Honorary Doctorate (Flinders University).</w:t>
      </w:r>
    </w:p>
    <w:p w14:paraId="6811760E" w14:textId="2B98E3CF" w:rsidR="00594264" w:rsidRPr="00584012" w:rsidRDefault="00594264" w:rsidP="00594264">
      <w:r w:rsidRPr="00584012">
        <w:t>Positions held: NDIA Board</w:t>
      </w:r>
      <w:r w:rsidR="005A725A">
        <w:t>, Sustainability Committee</w:t>
      </w:r>
      <w:r w:rsidRPr="00584012">
        <w:t xml:space="preserve"> and People and Outcomes Committee.</w:t>
      </w:r>
    </w:p>
    <w:p w14:paraId="00EAD8DF" w14:textId="77B7A6D0" w:rsidR="00594264" w:rsidRPr="00584012" w:rsidRDefault="00594264" w:rsidP="00D11860">
      <w:pPr>
        <w:pStyle w:val="Heading6"/>
        <w:keepNext/>
        <w:rPr>
          <w:b/>
          <w:bCs/>
        </w:rPr>
      </w:pPr>
      <w:r w:rsidRPr="00584012">
        <w:rPr>
          <w:b/>
          <w:bCs/>
        </w:rPr>
        <w:t xml:space="preserve">Mr </w:t>
      </w:r>
      <w:r w:rsidR="00B20ACC">
        <w:rPr>
          <w:b/>
          <w:bCs/>
        </w:rPr>
        <w:t>Mark</w:t>
      </w:r>
      <w:r w:rsidRPr="00584012">
        <w:rPr>
          <w:b/>
          <w:bCs/>
        </w:rPr>
        <w:t xml:space="preserve"> Darras</w:t>
      </w:r>
    </w:p>
    <w:p w14:paraId="6AB26243" w14:textId="66D5CC46" w:rsidR="00EB113B" w:rsidRDefault="00632855" w:rsidP="00594264">
      <w:r w:rsidRPr="007A3600">
        <w:rPr>
          <w:noProof/>
        </w:rPr>
        <w:drawing>
          <wp:inline distT="0" distB="0" distL="0" distR="0" wp14:anchorId="330A7DC3" wp14:editId="0D870EB9">
            <wp:extent cx="1296000" cy="1903303"/>
            <wp:effectExtent l="0" t="0" r="0" b="1905"/>
            <wp:docPr id="1589487462" name="Picture 16" descr="Mr Mark Dar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87462" name="Picture 16" descr="Mr Mark Darra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96000" cy="1903303"/>
                    </a:xfrm>
                    <a:prstGeom prst="rect">
                      <a:avLst/>
                    </a:prstGeom>
                    <a:noFill/>
                    <a:ln>
                      <a:noFill/>
                    </a:ln>
                  </pic:spPr>
                </pic:pic>
              </a:graphicData>
            </a:graphic>
          </wp:inline>
        </w:drawing>
      </w:r>
    </w:p>
    <w:p w14:paraId="4C8E980F" w14:textId="5B8772A5" w:rsidR="00594264" w:rsidRPr="00584012" w:rsidRDefault="00594264" w:rsidP="00594264">
      <w:r w:rsidRPr="00584012">
        <w:t xml:space="preserve">Mr </w:t>
      </w:r>
      <w:r w:rsidR="004556C2">
        <w:t>Mark</w:t>
      </w:r>
      <w:r w:rsidRPr="00584012">
        <w:t xml:space="preserve"> Darras is a former corporate lawyer and adviser (Ashurst Lawyers) and an experienced </w:t>
      </w:r>
      <w:r w:rsidR="00A87F5D" w:rsidRPr="00584012">
        <w:t>c</w:t>
      </w:r>
      <w:r w:rsidRPr="00584012">
        <w:t xml:space="preserve">ompany </w:t>
      </w:r>
      <w:r w:rsidR="00A87F5D" w:rsidRPr="00584012">
        <w:t>d</w:t>
      </w:r>
      <w:r w:rsidRPr="00584012">
        <w:t xml:space="preserve">irector, having served as a </w:t>
      </w:r>
      <w:r w:rsidR="00A87F5D" w:rsidRPr="00584012">
        <w:t>d</w:t>
      </w:r>
      <w:r w:rsidRPr="00584012">
        <w:t xml:space="preserve">irector and in leadership roles on </w:t>
      </w:r>
      <w:r w:rsidR="00A87F5D" w:rsidRPr="00584012">
        <w:t>b</w:t>
      </w:r>
      <w:r w:rsidRPr="00584012">
        <w:t>oards</w:t>
      </w:r>
      <w:r w:rsidR="007E0DA3" w:rsidRPr="00584012">
        <w:t>,</w:t>
      </w:r>
      <w:r w:rsidRPr="00584012">
        <w:t xml:space="preserve"> including Australia Post and Australia Post Superannuation, Southern Rural Water Board, John Holland Engineering and John Holland Queensland, and the South Australian Forestry Corporation.</w:t>
      </w:r>
    </w:p>
    <w:p w14:paraId="156C685F" w14:textId="23C149A5" w:rsidR="00594264" w:rsidRPr="00584012" w:rsidRDefault="00594264" w:rsidP="00594264">
      <w:r w:rsidRPr="00584012">
        <w:t xml:space="preserve">Mark was formerly the Chairman of the </w:t>
      </w:r>
      <w:r w:rsidR="00A87F5D" w:rsidRPr="00584012">
        <w:t xml:space="preserve">Australian </w:t>
      </w:r>
      <w:r w:rsidR="00450470" w:rsidRPr="00584012">
        <w:t>Government’s Telecommunications</w:t>
      </w:r>
      <w:r w:rsidRPr="00584012">
        <w:t xml:space="preserve"> Universal Services Management Agency and has served as a Member of the Australian Takeovers Panel. At present, Mark is Acting Chairman and a Commissioner of the Essential Services Commission of South Australia.</w:t>
      </w:r>
    </w:p>
    <w:p w14:paraId="4B4EAC32" w14:textId="47648CAD" w:rsidR="00465495" w:rsidRPr="00584012" w:rsidRDefault="00594264" w:rsidP="00594264">
      <w:r w:rsidRPr="00584012">
        <w:t xml:space="preserve">Prior to his appointment to the NDIA, Mark was the Independent Chair of the </w:t>
      </w:r>
      <w:r w:rsidR="00A87F5D" w:rsidRPr="00584012">
        <w:t xml:space="preserve">New South Wales </w:t>
      </w:r>
      <w:r w:rsidRPr="00584012">
        <w:t>Government</w:t>
      </w:r>
      <w:r w:rsidR="005E6E2C" w:rsidRPr="00584012">
        <w:t>’</w:t>
      </w:r>
      <w:r w:rsidRPr="00584012">
        <w:t xml:space="preserve">s Advisory Board for Strategic Release. </w:t>
      </w:r>
    </w:p>
    <w:p w14:paraId="7AECB92F" w14:textId="27D7DDB9" w:rsidR="00594264" w:rsidRPr="00584012" w:rsidRDefault="00594264" w:rsidP="00594264">
      <w:r w:rsidRPr="00584012">
        <w:t xml:space="preserve">As a lawyer, Mark specialised in corporate advisory </w:t>
      </w:r>
      <w:r w:rsidR="00465495" w:rsidRPr="00584012">
        <w:t>law. He</w:t>
      </w:r>
      <w:r w:rsidRPr="00584012">
        <w:t xml:space="preserve"> commenced his working life as an </w:t>
      </w:r>
      <w:r w:rsidR="00A87F5D" w:rsidRPr="00584012">
        <w:t>i</w:t>
      </w:r>
      <w:r w:rsidRPr="00584012">
        <w:t xml:space="preserve">ndustrial </w:t>
      </w:r>
      <w:r w:rsidR="00A87F5D" w:rsidRPr="00584012">
        <w:t>o</w:t>
      </w:r>
      <w:r w:rsidRPr="00584012">
        <w:t>fficer</w:t>
      </w:r>
      <w:r w:rsidR="00B37655" w:rsidRPr="00584012">
        <w:t xml:space="preserve"> in a trade union</w:t>
      </w:r>
      <w:r w:rsidRPr="00584012">
        <w:t>.</w:t>
      </w:r>
    </w:p>
    <w:p w14:paraId="66893483" w14:textId="1F61C74B" w:rsidR="00594264" w:rsidRPr="00584012" w:rsidRDefault="00594264" w:rsidP="00594264">
      <w:r w:rsidRPr="00584012">
        <w:t>Mark is from South Australia</w:t>
      </w:r>
      <w:r w:rsidR="00A87F5D" w:rsidRPr="00584012">
        <w:t>’</w:t>
      </w:r>
      <w:r w:rsidRPr="00584012">
        <w:t>s Riverland area and was educated in Renmark.</w:t>
      </w:r>
    </w:p>
    <w:p w14:paraId="38B069EB" w14:textId="726D4CE5" w:rsidR="00594264" w:rsidRPr="00584012" w:rsidRDefault="00594264" w:rsidP="00594264">
      <w:r w:rsidRPr="00584012">
        <w:t>Qualifications: Bachelor of Arts and Bachelor of Laws (University of Tasmania), Master of Laws (Australian National University) and Bachelor of Education (University of South Australia).</w:t>
      </w:r>
    </w:p>
    <w:p w14:paraId="62DC3E86" w14:textId="5CDC5E2D" w:rsidR="00594264" w:rsidRPr="00584012" w:rsidRDefault="00594264" w:rsidP="00594264">
      <w:r w:rsidRPr="00584012">
        <w:t>Positions held: NDIA Board and Audit and Risk Committee.</w:t>
      </w:r>
    </w:p>
    <w:p w14:paraId="365798EF" w14:textId="7C87FAA6" w:rsidR="00594264" w:rsidRDefault="00594264" w:rsidP="00D11860">
      <w:pPr>
        <w:pStyle w:val="Heading6"/>
        <w:keepNext/>
        <w:rPr>
          <w:b/>
          <w:bCs/>
        </w:rPr>
      </w:pPr>
      <w:r w:rsidRPr="00584012">
        <w:rPr>
          <w:b/>
          <w:bCs/>
        </w:rPr>
        <w:t>Dr Ian Watt AC</w:t>
      </w:r>
    </w:p>
    <w:p w14:paraId="7B58190B" w14:textId="75C7102A" w:rsidR="00A46CC4" w:rsidRPr="0004016D" w:rsidRDefault="00A46CC4" w:rsidP="0004016D">
      <w:r>
        <w:rPr>
          <w:noProof/>
        </w:rPr>
        <w:drawing>
          <wp:inline distT="0" distB="0" distL="0" distR="0" wp14:anchorId="70C40641" wp14:editId="2F6ACAC5">
            <wp:extent cx="1764000" cy="1764000"/>
            <wp:effectExtent l="0" t="0" r="8255" b="8255"/>
            <wp:docPr id="1222400327" name="Picture 11" descr="Image of Dr Ian Watt 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00327" name="Picture 11" descr="Image of Dr Ian Watt AC"/>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64000" cy="1764000"/>
                    </a:xfrm>
                    <a:prstGeom prst="rect">
                      <a:avLst/>
                    </a:prstGeom>
                  </pic:spPr>
                </pic:pic>
              </a:graphicData>
            </a:graphic>
          </wp:inline>
        </w:drawing>
      </w:r>
    </w:p>
    <w:p w14:paraId="5992E522" w14:textId="1A38BF49" w:rsidR="00594264" w:rsidRPr="00584012" w:rsidRDefault="00594264" w:rsidP="00594264">
      <w:r w:rsidRPr="00584012">
        <w:t>Dr Ian J Watt AC has had a long career as one of Australia’s most distinguished public servants, with nearly 20 years at the highest levels of the public service. His most recent and most senior appointment was as Secretary of the Department of the Prime Minister and Cabinet and head of the Australian Public Service</w:t>
      </w:r>
      <w:r w:rsidR="00A87F5D" w:rsidRPr="00584012">
        <w:t xml:space="preserve"> </w:t>
      </w:r>
      <w:r w:rsidR="00A87F5D" w:rsidRPr="00584012">
        <w:rPr>
          <w:rFonts w:ascii="Symbol" w:eastAsia="Symbol" w:hAnsi="Symbol" w:cs="Symbol"/>
        </w:rPr>
        <w:t>-</w:t>
      </w:r>
      <w:r w:rsidR="00A87F5D" w:rsidRPr="00584012">
        <w:t xml:space="preserve"> </w:t>
      </w:r>
      <w:r w:rsidRPr="00584012">
        <w:t xml:space="preserve">a position he held from late 2011 until the end of 2014. </w:t>
      </w:r>
      <w:r w:rsidR="005E6E2C" w:rsidRPr="00584012">
        <w:t xml:space="preserve">Between 2001 and 2011 </w:t>
      </w:r>
      <w:r w:rsidRPr="00584012">
        <w:t>he was Secretary of the Departments of Defence; Finance; and Communications, Information Technology and the Arts. Before that, he was Deputy Secretary of the Department of the Prime Minister and Cabinet.</w:t>
      </w:r>
    </w:p>
    <w:p w14:paraId="71105A5F" w14:textId="0C0A57D8" w:rsidR="00EF68A0" w:rsidRPr="00584012" w:rsidRDefault="006B2045" w:rsidP="00594264">
      <w:r w:rsidRPr="00584012">
        <w:t>Ian</w:t>
      </w:r>
      <w:r w:rsidR="00594264" w:rsidRPr="00584012">
        <w:t xml:space="preserve"> is currently Chair of the </w:t>
      </w:r>
      <w:r w:rsidR="00C92815" w:rsidRPr="00584012">
        <w:t xml:space="preserve">Australian Davos Connection </w:t>
      </w:r>
      <w:r w:rsidR="00594264" w:rsidRPr="00584012">
        <w:t xml:space="preserve">Advisory Council. He is the former Chair of BAE Systems Australia, former Chair of the Australian Governance and Ethical Index Fund Advisory Board, former Chair of the Smart Infrastructure Facility at the University of Wollongong, and former Chair of the Prader-Willi Medical Research Foundation. He currently serves on the </w:t>
      </w:r>
      <w:r w:rsidR="00A87F5D" w:rsidRPr="00584012">
        <w:t>b</w:t>
      </w:r>
      <w:r w:rsidR="00594264" w:rsidRPr="00584012">
        <w:t xml:space="preserve">oards of Smartgroup Corporation Ltd, O’Connell Street Associates Pty Ltd and the International Centre for Democratic Partnerships. </w:t>
      </w:r>
    </w:p>
    <w:p w14:paraId="736D4129" w14:textId="57611854" w:rsidR="00594264" w:rsidRPr="00584012" w:rsidRDefault="00EF68A0" w:rsidP="00594264">
      <w:r w:rsidRPr="00584012">
        <w:t>Ian</w:t>
      </w:r>
      <w:r w:rsidR="00594264" w:rsidRPr="00584012">
        <w:t xml:space="preserve"> is a Fellow of </w:t>
      </w:r>
      <w:r w:rsidR="003B7A61" w:rsidRPr="00584012">
        <w:t>the Australia and New Zealand School of Government (</w:t>
      </w:r>
      <w:r w:rsidR="00594264" w:rsidRPr="00584012">
        <w:t>ANZSOG</w:t>
      </w:r>
      <w:r w:rsidR="003B7A61" w:rsidRPr="00584012">
        <w:t>)</w:t>
      </w:r>
      <w:r w:rsidR="00594264" w:rsidRPr="00584012">
        <w:t xml:space="preserve"> and </w:t>
      </w:r>
      <w:r w:rsidR="003B7A61" w:rsidRPr="00584012">
        <w:t xml:space="preserve">the Institute of Public Administration </w:t>
      </w:r>
      <w:r w:rsidR="003B7A61" w:rsidRPr="002222FD">
        <w:t>Australia (</w:t>
      </w:r>
      <w:r w:rsidR="00594264" w:rsidRPr="002222FD">
        <w:t>IPAA</w:t>
      </w:r>
      <w:r w:rsidR="003B7A61" w:rsidRPr="002222FD">
        <w:t>)</w:t>
      </w:r>
      <w:r w:rsidR="00594264" w:rsidRPr="002222FD">
        <w:t>, and</w:t>
      </w:r>
      <w:r w:rsidR="00594264" w:rsidRPr="00584012">
        <w:t xml:space="preserve"> Senior Adviser to Flagstaff Partners. He is also a Member of the International Advisory Board of Veracity Worldwide.</w:t>
      </w:r>
    </w:p>
    <w:p w14:paraId="4169ACBE" w14:textId="42EF2548" w:rsidR="00594264" w:rsidRPr="00584012" w:rsidRDefault="007D049B" w:rsidP="00594264">
      <w:r w:rsidRPr="00584012">
        <w:t>Ian</w:t>
      </w:r>
      <w:r w:rsidR="00594264" w:rsidRPr="00584012">
        <w:t xml:space="preserve"> is a former Director of Citibank Pty Ltd and the Committee for Economic Development of Australia. He has also retired from the Board of the Grattan Institute and as Chair of the Grattan Public Policy Committee after a decade of service.</w:t>
      </w:r>
    </w:p>
    <w:p w14:paraId="0E14CFC4" w14:textId="7C284510" w:rsidR="00594264" w:rsidRPr="00584012" w:rsidRDefault="005E6E2C" w:rsidP="00594264">
      <w:r w:rsidRPr="00584012">
        <w:t xml:space="preserve">In July 2021 </w:t>
      </w:r>
      <w:r w:rsidR="007D049B" w:rsidRPr="00584012">
        <w:t>Ian</w:t>
      </w:r>
      <w:r w:rsidR="00594264" w:rsidRPr="00584012">
        <w:t xml:space="preserve"> completed an Independent Review of the Tasmanian State Service </w:t>
      </w:r>
      <w:r w:rsidR="00A87F5D" w:rsidRPr="00584012">
        <w:rPr>
          <w:rFonts w:ascii="Symbol" w:eastAsia="Symbol" w:hAnsi="Symbol" w:cs="Symbol"/>
        </w:rPr>
        <w:t>-</w:t>
      </w:r>
      <w:r w:rsidR="00A87F5D" w:rsidRPr="00584012">
        <w:t xml:space="preserve"> </w:t>
      </w:r>
      <w:r w:rsidR="00594264" w:rsidRPr="00584012">
        <w:t>the first in several decades. He recently completed reviews of the Western Australian University System, Services Australia and the NDIA’s Procurement Practices and Policies, and the Department of Home Affairs Capability.</w:t>
      </w:r>
    </w:p>
    <w:p w14:paraId="07B1C15F" w14:textId="2FEE5FDD" w:rsidR="005E6E2C" w:rsidRDefault="007D049B" w:rsidP="00594264">
      <w:r w:rsidRPr="00584012">
        <w:t>Ian</w:t>
      </w:r>
      <w:r w:rsidR="00594264" w:rsidRPr="00584012">
        <w:t xml:space="preserve"> was appointed as a Companion of the Order of Australia </w:t>
      </w:r>
      <w:r w:rsidR="005E6E2C" w:rsidRPr="00584012">
        <w:t xml:space="preserve">(AC) </w:t>
      </w:r>
      <w:r w:rsidR="00594264" w:rsidRPr="00584012">
        <w:t>in 2016.</w:t>
      </w:r>
    </w:p>
    <w:p w14:paraId="31B49C5D" w14:textId="0B7ADEC7" w:rsidR="006143F6" w:rsidRPr="00584012" w:rsidRDefault="006143F6" w:rsidP="00594264">
      <w:r>
        <w:t xml:space="preserve">Ian is currently undertaking an </w:t>
      </w:r>
      <w:r w:rsidR="00932BB0">
        <w:t>independent review of KPMG for the Australian Government.</w:t>
      </w:r>
    </w:p>
    <w:p w14:paraId="4F734468" w14:textId="15358CBC" w:rsidR="00594264" w:rsidRPr="00584012" w:rsidRDefault="00600EE9" w:rsidP="00594264">
      <w:r w:rsidRPr="00600EE9">
        <w:t>Qualifications:</w:t>
      </w:r>
      <w:r>
        <w:t xml:space="preserve"> </w:t>
      </w:r>
      <w:r w:rsidRPr="00600EE9">
        <w:t>Bachelor of Commerce (Honours) (</w:t>
      </w:r>
      <w:r w:rsidR="00E34573">
        <w:t>University of Melbourne</w:t>
      </w:r>
      <w:r w:rsidRPr="00600EE9">
        <w:t>), Master</w:t>
      </w:r>
      <w:r w:rsidR="006143F6">
        <w:t xml:space="preserve"> of Economics</w:t>
      </w:r>
      <w:r w:rsidRPr="00600EE9">
        <w:t xml:space="preserve"> and Doctor</w:t>
      </w:r>
      <w:r w:rsidR="001C41DD">
        <w:t xml:space="preserve"> of Philosophy</w:t>
      </w:r>
      <w:r w:rsidRPr="00600EE9">
        <w:t xml:space="preserve"> (La Trobe University),</w:t>
      </w:r>
      <w:r>
        <w:t xml:space="preserve"> </w:t>
      </w:r>
      <w:r w:rsidRPr="00600EE9">
        <w:t>Advanced Management Program (Harvard Business School).</w:t>
      </w:r>
    </w:p>
    <w:p w14:paraId="14141816" w14:textId="67EB6F29" w:rsidR="00594264" w:rsidRPr="00584012" w:rsidRDefault="00594264" w:rsidP="00594264">
      <w:r w:rsidRPr="00584012">
        <w:t>Positions held: NDIA Board and Audit and Risk Committee.</w:t>
      </w:r>
    </w:p>
    <w:p w14:paraId="61ECB059" w14:textId="77777777" w:rsidR="00594264" w:rsidRPr="00584012" w:rsidRDefault="00594264" w:rsidP="00D11860">
      <w:pPr>
        <w:pStyle w:val="Heading6"/>
        <w:keepNext/>
        <w:rPr>
          <w:b/>
          <w:bCs/>
        </w:rPr>
      </w:pPr>
      <w:r w:rsidRPr="00584012">
        <w:rPr>
          <w:b/>
          <w:bCs/>
        </w:rPr>
        <w:t>Dr Rhonda Galbally AC</w:t>
      </w:r>
    </w:p>
    <w:p w14:paraId="3832E564" w14:textId="2B648C6A" w:rsidR="00632855" w:rsidRDefault="004331F1" w:rsidP="00594264">
      <w:r w:rsidRPr="007A3600">
        <w:rPr>
          <w:noProof/>
        </w:rPr>
        <w:drawing>
          <wp:inline distT="0" distB="0" distL="0" distR="0" wp14:anchorId="4B6B8337" wp14:editId="3078F239">
            <wp:extent cx="1713731" cy="1764000"/>
            <wp:effectExtent l="0" t="0" r="1270" b="8255"/>
            <wp:docPr id="3226592" name="Picture 14" descr="Dr Rhonda Galbally 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592" name="Picture 14" descr="Dr Rhonda Galbally AC"/>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713731" cy="1764000"/>
                    </a:xfrm>
                    <a:prstGeom prst="rect">
                      <a:avLst/>
                    </a:prstGeom>
                    <a:noFill/>
                    <a:ln>
                      <a:noFill/>
                    </a:ln>
                  </pic:spPr>
                </pic:pic>
              </a:graphicData>
            </a:graphic>
          </wp:inline>
        </w:drawing>
      </w:r>
    </w:p>
    <w:p w14:paraId="5036348D" w14:textId="7CDAC059" w:rsidR="00594264" w:rsidRPr="00584012" w:rsidRDefault="00594264" w:rsidP="00594264">
      <w:r w:rsidRPr="00584012">
        <w:t xml:space="preserve">Dr Rhonda Galbally AC has been a CEO, </w:t>
      </w:r>
      <w:r w:rsidR="00A87F5D" w:rsidRPr="00584012">
        <w:t>c</w:t>
      </w:r>
      <w:r w:rsidRPr="00584012">
        <w:t xml:space="preserve">hair and </w:t>
      </w:r>
      <w:r w:rsidR="00A87F5D" w:rsidRPr="00584012">
        <w:t>b</w:t>
      </w:r>
      <w:r w:rsidRPr="00584012">
        <w:t>oard member for over 30 years, across business, the not-for-profit sector, the public sector and philanthropy.</w:t>
      </w:r>
    </w:p>
    <w:p w14:paraId="4A8AE67B" w14:textId="6F12005A" w:rsidR="00594264" w:rsidRPr="00584012" w:rsidRDefault="00594264" w:rsidP="00594264">
      <w:r w:rsidRPr="00584012">
        <w:t xml:space="preserve">As a woman with a lifelong disability, </w:t>
      </w:r>
      <w:r w:rsidR="00C97E49" w:rsidRPr="00584012">
        <w:t>Rhonda</w:t>
      </w:r>
      <w:r w:rsidRPr="00584012">
        <w:t xml:space="preserve"> first began focusing on disability rights and policy in the early 1980s while working at the Victorian Council for Social Services.</w:t>
      </w:r>
    </w:p>
    <w:p w14:paraId="4DB8CDAE" w14:textId="20A47DCD" w:rsidR="00594264" w:rsidRPr="00584012" w:rsidRDefault="00594264" w:rsidP="00594264">
      <w:r w:rsidRPr="00584012">
        <w:t xml:space="preserve">She was appointed as the founding CEO of </w:t>
      </w:r>
      <w:r w:rsidR="006C131B" w:rsidRPr="00584012">
        <w:t>several</w:t>
      </w:r>
      <w:r w:rsidRPr="00584012">
        <w:t xml:space="preserve"> organisations, including the Australian Commission for the Future, the Australian International Health Institute, the Australian National Preventative Health Agency and Our Community Pty Ltd.</w:t>
      </w:r>
    </w:p>
    <w:p w14:paraId="45B7739D" w14:textId="12CA4182" w:rsidR="00594264" w:rsidRPr="00584012" w:rsidRDefault="006C131B" w:rsidP="00594264">
      <w:r w:rsidRPr="00584012">
        <w:t>Rhonda</w:t>
      </w:r>
      <w:r w:rsidR="00594264" w:rsidRPr="00584012">
        <w:t xml:space="preserve"> was a member of the expert </w:t>
      </w:r>
      <w:r w:rsidR="00A87F5D" w:rsidRPr="00584012">
        <w:t>4</w:t>
      </w:r>
      <w:r w:rsidR="00594264" w:rsidRPr="00584012">
        <w:t xml:space="preserve">-person panel that developed the Victorian Charter of Human Rights and Responsibilities and went on to </w:t>
      </w:r>
      <w:r w:rsidR="00A87F5D" w:rsidRPr="00584012">
        <w:t>c</w:t>
      </w:r>
      <w:r w:rsidR="00594264" w:rsidRPr="00584012">
        <w:t xml:space="preserve">hair the </w:t>
      </w:r>
      <w:r w:rsidR="00A87F5D" w:rsidRPr="00584012">
        <w:t xml:space="preserve">Australian </w:t>
      </w:r>
      <w:r w:rsidR="00594264" w:rsidRPr="00584012">
        <w:t>Government</w:t>
      </w:r>
      <w:r w:rsidR="005E6E2C" w:rsidRPr="00584012">
        <w:t>’</w:t>
      </w:r>
      <w:r w:rsidR="00594264" w:rsidRPr="00584012">
        <w:t>s National People with Disability and Carers</w:t>
      </w:r>
      <w:r w:rsidR="00A87F5D" w:rsidRPr="00584012">
        <w:t>’</w:t>
      </w:r>
      <w:r w:rsidR="00594264" w:rsidRPr="00584012">
        <w:t xml:space="preserve"> Council. She has previously served on the NDIA Board and as Principal Member of the </w:t>
      </w:r>
      <w:r w:rsidR="003B7A61" w:rsidRPr="00584012">
        <w:t>IAC</w:t>
      </w:r>
      <w:r w:rsidR="00594264" w:rsidRPr="00584012">
        <w:t>.</w:t>
      </w:r>
    </w:p>
    <w:p w14:paraId="55A7244A" w14:textId="339F3BC4" w:rsidR="00594264" w:rsidRPr="00584012" w:rsidRDefault="00594264" w:rsidP="00594264">
      <w:r w:rsidRPr="00584012">
        <w:t xml:space="preserve">With a career spanning many decades and positions at the highest levels, </w:t>
      </w:r>
      <w:r w:rsidR="00F31C24" w:rsidRPr="00584012">
        <w:t>Rhonda</w:t>
      </w:r>
      <w:r w:rsidRPr="00584012">
        <w:t xml:space="preserve"> considers a highlight to be developing the National Disability and Carer Alliance, </w:t>
      </w:r>
      <w:r w:rsidR="00A87F5D" w:rsidRPr="00584012">
        <w:t xml:space="preserve">which </w:t>
      </w:r>
      <w:r w:rsidRPr="00584012">
        <w:t xml:space="preserve">brought together people with disabilities, families and carers with services to campaign for the </w:t>
      </w:r>
      <w:r w:rsidR="005E6E2C" w:rsidRPr="00584012">
        <w:t xml:space="preserve">NDIS </w:t>
      </w:r>
      <w:r w:rsidRPr="00584012">
        <w:t xml:space="preserve">by developing the Every Australian Counts </w:t>
      </w:r>
      <w:r w:rsidR="005E6E2C" w:rsidRPr="00584012">
        <w:t>c</w:t>
      </w:r>
      <w:r w:rsidRPr="00584012">
        <w:t>ampaign.</w:t>
      </w:r>
    </w:p>
    <w:p w14:paraId="0828168F" w14:textId="06151050" w:rsidR="00594264" w:rsidRPr="00584012" w:rsidRDefault="00F31C24" w:rsidP="00594264">
      <w:r w:rsidRPr="00584012">
        <w:t>Rhonda</w:t>
      </w:r>
      <w:r w:rsidR="00594264" w:rsidRPr="00584012">
        <w:t xml:space="preserve"> was awarded a </w:t>
      </w:r>
      <w:r w:rsidR="002222FD" w:rsidRPr="00584012">
        <w:t xml:space="preserve">Companion of the Order of Australia </w:t>
      </w:r>
      <w:r w:rsidR="002222FD">
        <w:t xml:space="preserve">(AC) </w:t>
      </w:r>
      <w:r w:rsidR="00594264" w:rsidRPr="00584012">
        <w:t>in 1990 and a Centenary Medal in 2003.</w:t>
      </w:r>
    </w:p>
    <w:p w14:paraId="04F6201A" w14:textId="59753F68" w:rsidR="00594264" w:rsidRPr="00584012" w:rsidRDefault="00594264" w:rsidP="00594264">
      <w:r w:rsidRPr="00584012">
        <w:t>Qualifications: Bachelor of Economics (Monash University), Diploma of Education (Monash University), Doctor of Science, honoris causa (RMIT)</w:t>
      </w:r>
      <w:r w:rsidR="005E6E2C" w:rsidRPr="00584012">
        <w:t xml:space="preserve"> and</w:t>
      </w:r>
      <w:r w:rsidRPr="00584012">
        <w:t xml:space="preserve"> Doctor of Social Science degree, honoris causa (RMIT).</w:t>
      </w:r>
    </w:p>
    <w:p w14:paraId="713A491A" w14:textId="11275597" w:rsidR="00594264" w:rsidRPr="00584012" w:rsidRDefault="00594264" w:rsidP="00594264">
      <w:r w:rsidRPr="00584012">
        <w:t>Positions held: NDIA Board and People and Outcomes Committee.</w:t>
      </w:r>
    </w:p>
    <w:p w14:paraId="64136B78" w14:textId="020E704C" w:rsidR="00594264" w:rsidRPr="00584012" w:rsidRDefault="001E4096" w:rsidP="00D11860">
      <w:pPr>
        <w:pStyle w:val="Heading6"/>
        <w:keepNext/>
        <w:rPr>
          <w:b/>
          <w:bCs/>
        </w:rPr>
      </w:pPr>
      <w:r w:rsidRPr="00584012">
        <w:rPr>
          <w:b/>
          <w:bCs/>
        </w:rPr>
        <w:t xml:space="preserve">Ms </w:t>
      </w:r>
      <w:r w:rsidR="00594264" w:rsidRPr="00584012">
        <w:rPr>
          <w:b/>
          <w:bCs/>
        </w:rPr>
        <w:t>Lois Boswell</w:t>
      </w:r>
    </w:p>
    <w:p w14:paraId="24FF65BE" w14:textId="6F46E59F" w:rsidR="00937F12" w:rsidRDefault="006A0BAC" w:rsidP="00594264">
      <w:r>
        <w:rPr>
          <w:noProof/>
        </w:rPr>
        <w:drawing>
          <wp:inline distT="0" distB="0" distL="0" distR="0" wp14:anchorId="0DE4026B" wp14:editId="4F4F122A">
            <wp:extent cx="1684040" cy="1764000"/>
            <wp:effectExtent l="0" t="0" r="0" b="8255"/>
            <wp:docPr id="2087939263" name="Picture 15" descr="Image of Ms Lois Bos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939263" name="Picture 15" descr="Image of Ms Lois Boswell"/>
                    <pic:cNvPicPr/>
                  </pic:nvPicPr>
                  <pic:blipFill rotWithShape="1">
                    <a:blip r:embed="rId53" cstate="print">
                      <a:extLst>
                        <a:ext uri="{28A0092B-C50C-407E-A947-70E740481C1C}">
                          <a14:useLocalDpi xmlns:a14="http://schemas.microsoft.com/office/drawing/2010/main" val="0"/>
                        </a:ext>
                      </a:extLst>
                    </a:blip>
                    <a:srcRect/>
                    <a:stretch>
                      <a:fillRect/>
                    </a:stretch>
                  </pic:blipFill>
                  <pic:spPr bwMode="auto">
                    <a:xfrm>
                      <a:off x="0" y="0"/>
                      <a:ext cx="1684040" cy="1764000"/>
                    </a:xfrm>
                    <a:prstGeom prst="rect">
                      <a:avLst/>
                    </a:prstGeom>
                    <a:ln>
                      <a:noFill/>
                    </a:ln>
                    <a:extLst>
                      <a:ext uri="{53640926-AAD7-44D8-BBD7-CCE9431645EC}">
                        <a14:shadowObscured xmlns:a14="http://schemas.microsoft.com/office/drawing/2010/main"/>
                      </a:ext>
                    </a:extLst>
                  </pic:spPr>
                </pic:pic>
              </a:graphicData>
            </a:graphic>
          </wp:inline>
        </w:drawing>
      </w:r>
    </w:p>
    <w:p w14:paraId="52A42E13" w14:textId="1F46AA07" w:rsidR="0096352F" w:rsidRDefault="004A5813" w:rsidP="0096352F">
      <w:r>
        <w:t xml:space="preserve">Ms </w:t>
      </w:r>
      <w:r w:rsidR="0096352F">
        <w:t xml:space="preserve">Lois Boswell is an experienced board director and former public sector chief executive with more than 30 years of leadership in public policy, governance, administration, and organisational reform. She has served as Chief Executive of </w:t>
      </w:r>
      <w:r w:rsidR="00274D37">
        <w:t>2</w:t>
      </w:r>
      <w:r w:rsidR="0096352F">
        <w:t xml:space="preserve"> South Australian Government entities and held senior executive roles in Cabinet Office, Treasury and Finance, and as Deputy Chief of Staff to the Premier of South Australia. </w:t>
      </w:r>
    </w:p>
    <w:p w14:paraId="62738281" w14:textId="60D601AA" w:rsidR="0096352F" w:rsidRDefault="0096352F" w:rsidP="0096352F">
      <w:r>
        <w:t xml:space="preserve">Her career spans major policy portfolios including disability, mental health, social services, planning, environment, education, and consumer affairs. Lois has led significant reform initiatives, including the establishment of South Australia’s no-fault lifetime care scheme, the state’s transition to the National Disability Insurance Scheme, and the delivery of major strategic planning frameworks. She has also served on boards across the non-government, government, and private sectors, with experience in domestic violence services, financial counselling, higher education, refugee settlement, data governance, and hospitality. </w:t>
      </w:r>
    </w:p>
    <w:p w14:paraId="55B98C8E" w14:textId="60401AA9" w:rsidR="00594264" w:rsidRPr="00584012" w:rsidRDefault="0096352F" w:rsidP="0096352F">
      <w:r>
        <w:t>A qualified lawyer, Lois holds a Bachelor of Laws and a Master of Applied Science in Social Ecology, and was inducted into the South Australian Women’s Honour Roll in recognition of her contribution to public policy and community outcomes.</w:t>
      </w:r>
    </w:p>
    <w:p w14:paraId="4A5206F1" w14:textId="2555E35E" w:rsidR="00594264" w:rsidRPr="00584012" w:rsidRDefault="00594264" w:rsidP="00594264">
      <w:r w:rsidRPr="00584012">
        <w:t>Qualifications: Bachelor of Laws (Southern Cross University)</w:t>
      </w:r>
      <w:r w:rsidR="005E6E2C" w:rsidRPr="00584012">
        <w:t>,</w:t>
      </w:r>
      <w:r w:rsidRPr="00584012">
        <w:t xml:space="preserve"> during which she received the Butterworths Legal Research Prize</w:t>
      </w:r>
      <w:r w:rsidR="005E6E2C" w:rsidRPr="00584012">
        <w:t>; and</w:t>
      </w:r>
      <w:r w:rsidRPr="00584012">
        <w:t xml:space="preserve"> Master of Applied Science in Social Ecology (University of Western Sydney)</w:t>
      </w:r>
      <w:r w:rsidR="005E6E2C" w:rsidRPr="00584012">
        <w:t>,</w:t>
      </w:r>
      <w:r w:rsidRPr="00584012">
        <w:t xml:space="preserve"> where she was awarded the Prize for Outstanding Research.</w:t>
      </w:r>
    </w:p>
    <w:p w14:paraId="47E11FD8" w14:textId="3A14F50C" w:rsidR="00594264" w:rsidRPr="00584012" w:rsidRDefault="00594264" w:rsidP="00594264">
      <w:r w:rsidRPr="00584012">
        <w:t>Positions: NDIA Board</w:t>
      </w:r>
      <w:r w:rsidR="00D44AD3" w:rsidRPr="00584012">
        <w:t>.</w:t>
      </w:r>
    </w:p>
    <w:p w14:paraId="228F8892" w14:textId="6B004BDC" w:rsidR="00594264" w:rsidRPr="00584012" w:rsidRDefault="001E4096" w:rsidP="00D11860">
      <w:pPr>
        <w:pStyle w:val="Heading6"/>
        <w:keepNext/>
        <w:rPr>
          <w:b/>
          <w:bCs/>
        </w:rPr>
      </w:pPr>
      <w:r w:rsidRPr="00584012">
        <w:rPr>
          <w:b/>
          <w:bCs/>
        </w:rPr>
        <w:t xml:space="preserve">Mr </w:t>
      </w:r>
      <w:r w:rsidR="00594264" w:rsidRPr="00584012">
        <w:rPr>
          <w:b/>
          <w:bCs/>
        </w:rPr>
        <w:t>Nigel Ray PSM</w:t>
      </w:r>
    </w:p>
    <w:p w14:paraId="445E15BA" w14:textId="33C07537" w:rsidR="009E0D36" w:rsidRDefault="008B12BC" w:rsidP="00594264">
      <w:r>
        <w:rPr>
          <w:noProof/>
        </w:rPr>
        <w:drawing>
          <wp:inline distT="0" distB="0" distL="0" distR="0" wp14:anchorId="795D7FF1" wp14:editId="68C470BA">
            <wp:extent cx="1950937" cy="1764000"/>
            <wp:effectExtent l="0" t="0" r="0" b="8255"/>
            <wp:docPr id="445659404" name="Picture 25" descr="Image of Mr Nigel 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9404" name="Picture 25" descr="Image of Mr Nigel Ray"/>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950937" cy="1764000"/>
                    </a:xfrm>
                    <a:prstGeom prst="rect">
                      <a:avLst/>
                    </a:prstGeom>
                  </pic:spPr>
                </pic:pic>
              </a:graphicData>
            </a:graphic>
          </wp:inline>
        </w:drawing>
      </w:r>
    </w:p>
    <w:p w14:paraId="7777207A" w14:textId="3B52DABE" w:rsidR="00594264" w:rsidRPr="00584012" w:rsidRDefault="00A87F5D" w:rsidP="00594264">
      <w:r w:rsidRPr="00584012">
        <w:t xml:space="preserve">Mr </w:t>
      </w:r>
      <w:r w:rsidR="00594264" w:rsidRPr="00584012">
        <w:t xml:space="preserve">Nigel Ray </w:t>
      </w:r>
      <w:r w:rsidR="00460874">
        <w:t xml:space="preserve">PSM </w:t>
      </w:r>
      <w:r w:rsidR="00594264" w:rsidRPr="00584012">
        <w:t xml:space="preserve">has over 40 years experience in public policy and economic analysis. </w:t>
      </w:r>
      <w:r w:rsidR="00414B73" w:rsidRPr="00584012">
        <w:t>H</w:t>
      </w:r>
      <w:r w:rsidR="00594264" w:rsidRPr="00584012">
        <w:t>e is currently a Director of Housing Australia and undertakes advisory work.</w:t>
      </w:r>
    </w:p>
    <w:p w14:paraId="3025E78D" w14:textId="1B0ABD77" w:rsidR="00594264" w:rsidRPr="00584012" w:rsidRDefault="00594264" w:rsidP="00594264">
      <w:r w:rsidRPr="00584012">
        <w:t xml:space="preserve">After a period at the Office of National Assessments, </w:t>
      </w:r>
      <w:r w:rsidR="001B07CA" w:rsidRPr="00584012">
        <w:t>Nigel</w:t>
      </w:r>
      <w:r w:rsidRPr="00584012">
        <w:t xml:space="preserve"> joined the Australian Treasury in 1988. Since the mid-1990s he has held several senior executive positions, including Deputy Secretary (Fiscal) from 2008</w:t>
      </w:r>
      <w:r w:rsidR="00A87F5D" w:rsidRPr="00584012">
        <w:t xml:space="preserve"> to </w:t>
      </w:r>
      <w:r w:rsidRPr="00584012">
        <w:t>2015 and Deputy Secretary (Macroeconomic) from 2015</w:t>
      </w:r>
      <w:r w:rsidR="00A87F5D" w:rsidRPr="00584012">
        <w:t xml:space="preserve"> to </w:t>
      </w:r>
      <w:r w:rsidRPr="00584012">
        <w:t>2018, when he was Australia’s G20 Finance Deputy and a member of the Australian Statistics Advisory Council.</w:t>
      </w:r>
    </w:p>
    <w:p w14:paraId="3930D02F" w14:textId="782F3843" w:rsidR="00594264" w:rsidRPr="00584012" w:rsidRDefault="00594264" w:rsidP="00594264">
      <w:r w:rsidRPr="00584012">
        <w:t xml:space="preserve">Subsequently, </w:t>
      </w:r>
      <w:r w:rsidR="00970943" w:rsidRPr="00584012">
        <w:t>Nigel</w:t>
      </w:r>
      <w:r w:rsidRPr="00584012">
        <w:t xml:space="preserve"> served as an Executive Director of the International Monetary Fund and sat on various </w:t>
      </w:r>
      <w:r w:rsidR="00A87F5D" w:rsidRPr="00584012">
        <w:t>b</w:t>
      </w:r>
      <w:r w:rsidRPr="00584012">
        <w:t>oards of the World Bank Group, representing Australia and 14 other countries. He retired from the Australian Public Service in January</w:t>
      </w:r>
      <w:r w:rsidR="00463231">
        <w:t xml:space="preserve"> </w:t>
      </w:r>
      <w:r w:rsidRPr="00584012">
        <w:t>2023.</w:t>
      </w:r>
    </w:p>
    <w:p w14:paraId="20AF6B40" w14:textId="794F9CF6" w:rsidR="00594264" w:rsidRPr="00584012" w:rsidRDefault="00594264" w:rsidP="00594264">
      <w:r w:rsidRPr="00584012">
        <w:t xml:space="preserve">In 2013 </w:t>
      </w:r>
      <w:r w:rsidR="00970943" w:rsidRPr="00584012">
        <w:t>Nigel</w:t>
      </w:r>
      <w:r w:rsidRPr="00584012">
        <w:t xml:space="preserve"> was awarded a Public Service Medal </w:t>
      </w:r>
      <w:r w:rsidR="005E6E2C" w:rsidRPr="00584012">
        <w:t xml:space="preserve">(PSM) </w:t>
      </w:r>
      <w:r w:rsidRPr="00584012">
        <w:t>for outstanding public service.</w:t>
      </w:r>
    </w:p>
    <w:p w14:paraId="04B2375E" w14:textId="77777777" w:rsidR="00594264" w:rsidRPr="00584012" w:rsidRDefault="00594264" w:rsidP="00594264">
      <w:r w:rsidRPr="00584012">
        <w:t>Qualifications: Bachelor of Laws and Master of Economics degrees (University of Sydney).</w:t>
      </w:r>
    </w:p>
    <w:p w14:paraId="4402BEB4" w14:textId="3F96C212" w:rsidR="00594264" w:rsidRPr="00584012" w:rsidRDefault="00594264" w:rsidP="00594264">
      <w:r w:rsidRPr="00584012">
        <w:t>Positions</w:t>
      </w:r>
      <w:r w:rsidR="00830E0C" w:rsidRPr="00584012">
        <w:t>:</w:t>
      </w:r>
      <w:r w:rsidRPr="00584012">
        <w:t xml:space="preserve"> NDIA Board</w:t>
      </w:r>
      <w:r w:rsidR="00260913" w:rsidRPr="00584012">
        <w:t>.</w:t>
      </w:r>
    </w:p>
    <w:p w14:paraId="385AEA04" w14:textId="7E458A17" w:rsidR="00594264" w:rsidRPr="00584012" w:rsidRDefault="001E4096" w:rsidP="00D11860">
      <w:pPr>
        <w:pStyle w:val="Heading6"/>
        <w:keepNext/>
        <w:rPr>
          <w:b/>
          <w:bCs/>
        </w:rPr>
      </w:pPr>
      <w:r w:rsidRPr="00584012">
        <w:rPr>
          <w:b/>
          <w:bCs/>
        </w:rPr>
        <w:t xml:space="preserve">Ms </w:t>
      </w:r>
      <w:r w:rsidR="00594264" w:rsidRPr="00584012">
        <w:rPr>
          <w:b/>
          <w:bCs/>
        </w:rPr>
        <w:t>Jane Spring AM</w:t>
      </w:r>
    </w:p>
    <w:p w14:paraId="66E1392F" w14:textId="2AE5D5CB" w:rsidR="00CE261F" w:rsidRDefault="00CE261F" w:rsidP="00594264">
      <w:r>
        <w:rPr>
          <w:noProof/>
        </w:rPr>
        <w:drawing>
          <wp:inline distT="0" distB="0" distL="0" distR="0" wp14:anchorId="4E479AAC" wp14:editId="6C31D897">
            <wp:extent cx="1804156" cy="1764000"/>
            <wp:effectExtent l="0" t="0" r="5715" b="8255"/>
            <wp:docPr id="1539006834" name="Picture 14" descr="Image of Ms Jane Spring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006834" name="Picture 14" descr="Image of Ms Jane Spring AM"/>
                    <pic:cNvPicPr/>
                  </pic:nvPicPr>
                  <pic:blipFill rotWithShape="1">
                    <a:blip r:embed="rId55" cstate="print">
                      <a:extLst>
                        <a:ext uri="{28A0092B-C50C-407E-A947-70E740481C1C}">
                          <a14:useLocalDpi xmlns:a14="http://schemas.microsoft.com/office/drawing/2010/main" val="0"/>
                        </a:ext>
                      </a:extLst>
                    </a:blip>
                    <a:srcRect/>
                    <a:stretch>
                      <a:fillRect/>
                    </a:stretch>
                  </pic:blipFill>
                  <pic:spPr bwMode="auto">
                    <a:xfrm>
                      <a:off x="0" y="0"/>
                      <a:ext cx="1804156" cy="1764000"/>
                    </a:xfrm>
                    <a:prstGeom prst="rect">
                      <a:avLst/>
                    </a:prstGeom>
                    <a:ln>
                      <a:noFill/>
                    </a:ln>
                    <a:extLst>
                      <a:ext uri="{53640926-AAD7-44D8-BBD7-CCE9431645EC}">
                        <a14:shadowObscured xmlns:a14="http://schemas.microsoft.com/office/drawing/2010/main"/>
                      </a:ext>
                    </a:extLst>
                  </pic:spPr>
                </pic:pic>
              </a:graphicData>
            </a:graphic>
          </wp:inline>
        </w:drawing>
      </w:r>
    </w:p>
    <w:p w14:paraId="12D06124" w14:textId="0CCE7167" w:rsidR="00594264" w:rsidRPr="00584012" w:rsidRDefault="00A87F5D" w:rsidP="00594264">
      <w:r w:rsidRPr="00584012">
        <w:t xml:space="preserve">Ms </w:t>
      </w:r>
      <w:r w:rsidR="00594264" w:rsidRPr="00584012">
        <w:t xml:space="preserve">Jane Spring AM is a chair and non-executive director with leadership and governance experience across government, education, health and sport sectors. She has over 30 years </w:t>
      </w:r>
      <w:r w:rsidR="005E6E2C" w:rsidRPr="00584012">
        <w:t xml:space="preserve">of </w:t>
      </w:r>
      <w:r w:rsidR="00594264" w:rsidRPr="00584012">
        <w:t>lived experience of paraplegia following a car accident in 1990.</w:t>
      </w:r>
    </w:p>
    <w:p w14:paraId="5F2B52B4" w14:textId="1520C427" w:rsidR="00594264" w:rsidRPr="00584012" w:rsidRDefault="00F7374F" w:rsidP="00594264">
      <w:r w:rsidRPr="00584012">
        <w:t>Jane</w:t>
      </w:r>
      <w:r w:rsidR="00594264" w:rsidRPr="00584012">
        <w:t xml:space="preserve"> is the Chair of Australia’s Disability Strategy Advisory Council; Chair of Disability Council NSW; Chair of Sydney University Sport </w:t>
      </w:r>
      <w:r w:rsidR="00083268">
        <w:t>and</w:t>
      </w:r>
      <w:r w:rsidR="00594264" w:rsidRPr="00584012">
        <w:t xml:space="preserve"> Fitness; and a </w:t>
      </w:r>
      <w:r w:rsidR="00A87F5D" w:rsidRPr="00584012">
        <w:t>b</w:t>
      </w:r>
      <w:r w:rsidR="00594264" w:rsidRPr="00584012">
        <w:t xml:space="preserve">oard member of Venues NSW and </w:t>
      </w:r>
      <w:r w:rsidR="006E1399" w:rsidRPr="00584012">
        <w:t xml:space="preserve">the </w:t>
      </w:r>
      <w:r w:rsidR="00594264" w:rsidRPr="00584012">
        <w:t>Institute of Public Administration NSW.</w:t>
      </w:r>
    </w:p>
    <w:p w14:paraId="1C10BF2D" w14:textId="463CB5C4" w:rsidR="00594264" w:rsidRPr="00584012" w:rsidRDefault="006E1399" w:rsidP="00594264">
      <w:r w:rsidRPr="00584012">
        <w:t>Jane</w:t>
      </w:r>
      <w:r w:rsidR="00594264" w:rsidRPr="00584012">
        <w:t xml:space="preserve"> is a member of Chief Executive Women and the Minerva Network. She is responsible for the Maybanke Fund</w:t>
      </w:r>
      <w:r w:rsidR="00A87F5D" w:rsidRPr="00584012">
        <w:t>,</w:t>
      </w:r>
      <w:r w:rsidR="00594264" w:rsidRPr="00584012">
        <w:t xml:space="preserve"> which is a charity within the Sydney Community Foundation</w:t>
      </w:r>
      <w:r w:rsidRPr="00584012">
        <w:t>,</w:t>
      </w:r>
      <w:r w:rsidR="00594264" w:rsidRPr="00584012">
        <w:t xml:space="preserve"> and </w:t>
      </w:r>
      <w:r w:rsidRPr="00584012">
        <w:t xml:space="preserve">she is </w:t>
      </w:r>
      <w:r w:rsidR="00594264" w:rsidRPr="00584012">
        <w:t xml:space="preserve">a member of the </w:t>
      </w:r>
      <w:r w:rsidR="00041B2E" w:rsidRPr="00584012">
        <w:t xml:space="preserve">Audit and Risk Committee of the </w:t>
      </w:r>
      <w:r w:rsidR="00594264" w:rsidRPr="00584012">
        <w:t>NSW Office of Sport.</w:t>
      </w:r>
    </w:p>
    <w:p w14:paraId="4982D785" w14:textId="22160223" w:rsidR="00594264" w:rsidRPr="00584012" w:rsidRDefault="0031049A" w:rsidP="00594264">
      <w:r w:rsidRPr="00584012">
        <w:t>Jane</w:t>
      </w:r>
      <w:r w:rsidR="00594264" w:rsidRPr="00584012">
        <w:t xml:space="preserve"> has previously held non-executive roles with Royal Rehab, the University of Sydney Senate, Western Sydney Local Health District, Paraplegic Benefit Fund, Combat Sports Authority and Wheelchair Sports Australia.</w:t>
      </w:r>
    </w:p>
    <w:p w14:paraId="3B92EFAB" w14:textId="415CBBB3" w:rsidR="00594264" w:rsidRPr="00584012" w:rsidRDefault="0031049A" w:rsidP="00594264">
      <w:r w:rsidRPr="00584012">
        <w:t>Jane</w:t>
      </w:r>
      <w:r w:rsidR="00594264" w:rsidRPr="00584012">
        <w:t xml:space="preserve"> has previously held executive roles</w:t>
      </w:r>
      <w:r w:rsidR="009670DF" w:rsidRPr="00584012">
        <w:t>,</w:t>
      </w:r>
      <w:r w:rsidR="00594264" w:rsidRPr="00584012">
        <w:t xml:space="preserve"> including Assistant Commissioner </w:t>
      </w:r>
      <w:r w:rsidR="00A87F5D" w:rsidRPr="00584012">
        <w:t xml:space="preserve">of the </w:t>
      </w:r>
      <w:r w:rsidR="00594264" w:rsidRPr="00584012">
        <w:t>NSW Public Service Commission, Deputy CEO of Jobs for NSW and Acting CEO for NSW Institute of Sport.</w:t>
      </w:r>
    </w:p>
    <w:p w14:paraId="5DFA512C" w14:textId="65789278" w:rsidR="00EC6AB2" w:rsidRPr="00584012" w:rsidRDefault="00EC6AB2" w:rsidP="00594264">
      <w:r w:rsidRPr="00584012">
        <w:t xml:space="preserve">Jane was made a Member of the Order of Australia (AM) in </w:t>
      </w:r>
      <w:r w:rsidR="00757D16" w:rsidRPr="00584012">
        <w:t>2023</w:t>
      </w:r>
      <w:r w:rsidR="00606CC5" w:rsidRPr="00584012">
        <w:t>.</w:t>
      </w:r>
    </w:p>
    <w:p w14:paraId="0F01519C" w14:textId="1130D72A" w:rsidR="00594264" w:rsidRPr="00584012" w:rsidRDefault="00594264" w:rsidP="00594264">
      <w:r w:rsidRPr="00584012">
        <w:t>Qualifications: Bachelor of Economics (Hons), Bachelor of Laws and</w:t>
      </w:r>
      <w:r w:rsidR="00260913" w:rsidRPr="00584012">
        <w:t xml:space="preserve"> </w:t>
      </w:r>
      <w:r w:rsidRPr="00584012">
        <w:t xml:space="preserve">ex Master of Public Administration (University of Sydney), Fellow of the AICD, Fellow of the Governance Institute of Australia </w:t>
      </w:r>
      <w:r w:rsidR="005E6E2C" w:rsidRPr="00584012">
        <w:t xml:space="preserve">and </w:t>
      </w:r>
      <w:r w:rsidRPr="00584012">
        <w:t>Fellow of the IPAA.</w:t>
      </w:r>
    </w:p>
    <w:p w14:paraId="40A48305" w14:textId="724AB559" w:rsidR="00594264" w:rsidRPr="00584012" w:rsidRDefault="00594264" w:rsidP="00594264">
      <w:r w:rsidRPr="00584012">
        <w:t>Positions held: NDIA Board</w:t>
      </w:r>
      <w:r w:rsidR="00260913" w:rsidRPr="00584012">
        <w:t>.</w:t>
      </w:r>
    </w:p>
    <w:p w14:paraId="11B2060C" w14:textId="77777777" w:rsidR="00D67DAC" w:rsidRPr="00584012" w:rsidRDefault="006A13D8" w:rsidP="006A13D8">
      <w:pPr>
        <w:pStyle w:val="Heading5"/>
      </w:pPr>
      <w:r w:rsidRPr="00584012">
        <w:t xml:space="preserve">Board </w:t>
      </w:r>
      <w:r w:rsidR="00442037" w:rsidRPr="00584012">
        <w:t>meeting</w:t>
      </w:r>
      <w:r w:rsidRPr="00584012">
        <w:t xml:space="preserve"> attendance</w:t>
      </w:r>
    </w:p>
    <w:p w14:paraId="759EA5E4" w14:textId="00675DDC" w:rsidR="009429DC" w:rsidRPr="00584012" w:rsidRDefault="004540CE" w:rsidP="004540CE">
      <w:pPr>
        <w:pStyle w:val="Caption"/>
      </w:pPr>
      <w:r>
        <w:t>Table</w:t>
      </w:r>
      <w:r w:rsidR="00930AA4">
        <w:t xml:space="preserve"> </w:t>
      </w:r>
      <w:r w:rsidR="00D438F0">
        <w:t>1</w:t>
      </w:r>
      <w:r w:rsidR="0068179C">
        <w:t>7</w:t>
      </w:r>
      <w:r>
        <w:t xml:space="preserve">. </w:t>
      </w:r>
      <w:r w:rsidR="009429DC" w:rsidRPr="00584012">
        <w:t>Number of Board meetings attended by members in 2025–26</w:t>
      </w:r>
    </w:p>
    <w:tbl>
      <w:tblPr>
        <w:tblStyle w:val="NDISTable1"/>
        <w:tblW w:w="8926"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3256"/>
        <w:gridCol w:w="3402"/>
        <w:gridCol w:w="2268"/>
      </w:tblGrid>
      <w:tr w:rsidR="002015CD" w:rsidRPr="00584012" w14:paraId="38C5B0FA" w14:textId="77777777" w:rsidTr="00D11860">
        <w:trPr>
          <w:cnfStyle w:val="100000000000" w:firstRow="1" w:lastRow="0" w:firstColumn="0" w:lastColumn="0" w:oddVBand="0" w:evenVBand="0" w:oddHBand="0" w:evenHBand="0" w:firstRowFirstColumn="0" w:firstRowLastColumn="0" w:lastRowFirstColumn="0" w:lastRowLastColumn="0"/>
        </w:trPr>
        <w:tc>
          <w:tcPr>
            <w:tcW w:w="3256" w:type="dxa"/>
          </w:tcPr>
          <w:p w14:paraId="57279167" w14:textId="77777777" w:rsidR="002015CD" w:rsidRPr="00584012" w:rsidRDefault="002015CD" w:rsidP="00427DC4">
            <w:pPr>
              <w:pStyle w:val="TableBody0"/>
              <w:spacing w:before="80" w:after="80" w:line="312" w:lineRule="auto"/>
              <w:rPr>
                <w:b/>
                <w:bCs/>
              </w:rPr>
            </w:pPr>
            <w:r w:rsidRPr="00584012">
              <w:rPr>
                <w:bCs/>
              </w:rPr>
              <w:t>Board member and position</w:t>
            </w:r>
            <w:r w:rsidRPr="00584012">
              <w:rPr>
                <w:bCs/>
              </w:rPr>
              <w:br/>
              <w:t>(all non-executive)</w:t>
            </w:r>
          </w:p>
        </w:tc>
        <w:tc>
          <w:tcPr>
            <w:tcW w:w="3402" w:type="dxa"/>
          </w:tcPr>
          <w:p w14:paraId="2401F8CE" w14:textId="77777777" w:rsidR="002015CD" w:rsidRPr="00584012" w:rsidRDefault="002015CD" w:rsidP="00427DC4">
            <w:pPr>
              <w:pStyle w:val="TableBody0"/>
              <w:spacing w:before="80" w:after="80" w:line="312" w:lineRule="auto"/>
              <w:rPr>
                <w:b/>
                <w:bCs/>
              </w:rPr>
            </w:pPr>
            <w:r w:rsidRPr="00584012">
              <w:rPr>
                <w:bCs/>
              </w:rPr>
              <w:t>Period as Board member during 2025–26</w:t>
            </w:r>
          </w:p>
        </w:tc>
        <w:tc>
          <w:tcPr>
            <w:tcW w:w="2268" w:type="dxa"/>
          </w:tcPr>
          <w:p w14:paraId="7AB2CF40" w14:textId="77777777" w:rsidR="002015CD" w:rsidRPr="00584012" w:rsidRDefault="002015CD" w:rsidP="00427DC4">
            <w:pPr>
              <w:pStyle w:val="TableBody0"/>
              <w:spacing w:before="80" w:after="80" w:line="312" w:lineRule="auto"/>
              <w:jc w:val="right"/>
              <w:rPr>
                <w:b/>
                <w:bCs/>
              </w:rPr>
            </w:pPr>
            <w:r w:rsidRPr="00584012">
              <w:rPr>
                <w:bCs/>
              </w:rPr>
              <w:t>Meetings attended/ eligible to attend</w:t>
            </w:r>
          </w:p>
        </w:tc>
      </w:tr>
      <w:tr w:rsidR="002015CD" w:rsidRPr="00584012" w14:paraId="2C718A26" w14:textId="77777777" w:rsidTr="00D11860">
        <w:trPr>
          <w:cnfStyle w:val="000000100000" w:firstRow="0" w:lastRow="0" w:firstColumn="0" w:lastColumn="0" w:oddVBand="0" w:evenVBand="0" w:oddHBand="1" w:evenHBand="0" w:firstRowFirstColumn="0" w:firstRowLastColumn="0" w:lastRowFirstColumn="0" w:lastRowLastColumn="0"/>
          <w:cantSplit/>
        </w:trPr>
        <w:tc>
          <w:tcPr>
            <w:tcW w:w="3256" w:type="dxa"/>
          </w:tcPr>
          <w:p w14:paraId="132341DC" w14:textId="77777777" w:rsidR="002015CD" w:rsidRPr="00584012" w:rsidRDefault="002015CD" w:rsidP="00427DC4">
            <w:pPr>
              <w:pStyle w:val="TableBody0"/>
              <w:spacing w:before="80" w:after="80" w:line="312" w:lineRule="auto"/>
            </w:pPr>
            <w:r w:rsidRPr="00584012">
              <w:t>Mr Kurt Fearnley AO (Chair)</w:t>
            </w:r>
          </w:p>
        </w:tc>
        <w:tc>
          <w:tcPr>
            <w:tcW w:w="3402" w:type="dxa"/>
          </w:tcPr>
          <w:p w14:paraId="4AA262FF" w14:textId="77777777" w:rsidR="002015CD" w:rsidRPr="00584012" w:rsidRDefault="002015CD" w:rsidP="00427DC4">
            <w:pPr>
              <w:pStyle w:val="TableBody0"/>
              <w:spacing w:before="80" w:after="80" w:line="312" w:lineRule="auto"/>
            </w:pPr>
            <w:r w:rsidRPr="00584012">
              <w:t>Full year</w:t>
            </w:r>
          </w:p>
        </w:tc>
        <w:tc>
          <w:tcPr>
            <w:tcW w:w="2268" w:type="dxa"/>
          </w:tcPr>
          <w:p w14:paraId="52BCB4D1" w14:textId="3E8FCDB6" w:rsidR="002015CD" w:rsidRPr="00584012" w:rsidRDefault="00D95389" w:rsidP="00427DC4">
            <w:pPr>
              <w:pStyle w:val="TableBody0"/>
              <w:spacing w:before="80" w:after="80" w:line="312" w:lineRule="auto"/>
              <w:jc w:val="right"/>
            </w:pPr>
            <w:r w:rsidRPr="0089242C">
              <w:t>15/15</w:t>
            </w:r>
          </w:p>
        </w:tc>
      </w:tr>
      <w:tr w:rsidR="002015CD" w:rsidRPr="00584012" w14:paraId="63437109" w14:textId="77777777" w:rsidTr="00D11860">
        <w:trPr>
          <w:cnfStyle w:val="000000010000" w:firstRow="0" w:lastRow="0" w:firstColumn="0" w:lastColumn="0" w:oddVBand="0" w:evenVBand="0" w:oddHBand="0" w:evenHBand="1" w:firstRowFirstColumn="0" w:firstRowLastColumn="0" w:lastRowFirstColumn="0" w:lastRowLastColumn="0"/>
          <w:cantSplit/>
        </w:trPr>
        <w:tc>
          <w:tcPr>
            <w:tcW w:w="3256" w:type="dxa"/>
          </w:tcPr>
          <w:p w14:paraId="1ACD8D94" w14:textId="77777777" w:rsidR="002015CD" w:rsidRPr="00584012" w:rsidRDefault="002015CD" w:rsidP="00427DC4">
            <w:pPr>
              <w:pStyle w:val="TableBody0"/>
              <w:spacing w:before="80" w:after="80" w:line="312" w:lineRule="auto"/>
            </w:pPr>
            <w:r w:rsidRPr="00584012">
              <w:t>Ms Estelle Pearson</w:t>
            </w:r>
          </w:p>
        </w:tc>
        <w:tc>
          <w:tcPr>
            <w:tcW w:w="3402" w:type="dxa"/>
          </w:tcPr>
          <w:p w14:paraId="5ABD1BF7" w14:textId="77777777" w:rsidR="002015CD" w:rsidRPr="00584012" w:rsidRDefault="002015CD" w:rsidP="00427DC4">
            <w:pPr>
              <w:pStyle w:val="TableBody0"/>
              <w:spacing w:before="80" w:after="80" w:line="312" w:lineRule="auto"/>
            </w:pPr>
            <w:r w:rsidRPr="00584012">
              <w:t>Full year</w:t>
            </w:r>
          </w:p>
        </w:tc>
        <w:tc>
          <w:tcPr>
            <w:tcW w:w="2268" w:type="dxa"/>
          </w:tcPr>
          <w:p w14:paraId="23E6AB39" w14:textId="2DD3A4F2" w:rsidR="002015CD" w:rsidRPr="00584012" w:rsidRDefault="00D95389" w:rsidP="00427DC4">
            <w:pPr>
              <w:pStyle w:val="TableBody0"/>
              <w:spacing w:before="80" w:after="80" w:line="312" w:lineRule="auto"/>
              <w:jc w:val="right"/>
            </w:pPr>
            <w:r w:rsidRPr="0089242C">
              <w:t>10/15</w:t>
            </w:r>
          </w:p>
        </w:tc>
      </w:tr>
      <w:tr w:rsidR="002015CD" w:rsidRPr="00584012" w14:paraId="46B03BDA" w14:textId="77777777" w:rsidTr="00D11860">
        <w:trPr>
          <w:cnfStyle w:val="000000100000" w:firstRow="0" w:lastRow="0" w:firstColumn="0" w:lastColumn="0" w:oddVBand="0" w:evenVBand="0" w:oddHBand="1" w:evenHBand="0" w:firstRowFirstColumn="0" w:firstRowLastColumn="0" w:lastRowFirstColumn="0" w:lastRowLastColumn="0"/>
          <w:cantSplit/>
        </w:trPr>
        <w:tc>
          <w:tcPr>
            <w:tcW w:w="3256" w:type="dxa"/>
          </w:tcPr>
          <w:p w14:paraId="2D54637A" w14:textId="77777777" w:rsidR="002015CD" w:rsidRPr="00584012" w:rsidDel="00E17A06" w:rsidRDefault="002015CD" w:rsidP="00427DC4">
            <w:pPr>
              <w:pStyle w:val="TableBody0"/>
              <w:spacing w:before="80" w:after="80" w:line="312" w:lineRule="auto"/>
            </w:pPr>
            <w:r w:rsidRPr="00584012">
              <w:t>Ms Leah van Poppel</w:t>
            </w:r>
          </w:p>
        </w:tc>
        <w:tc>
          <w:tcPr>
            <w:tcW w:w="3402" w:type="dxa"/>
          </w:tcPr>
          <w:p w14:paraId="197906CE" w14:textId="77777777" w:rsidR="002015CD" w:rsidRPr="00584012" w:rsidDel="00E17A06" w:rsidRDefault="002015CD" w:rsidP="00427DC4">
            <w:pPr>
              <w:pStyle w:val="TableBody0"/>
              <w:spacing w:before="80" w:after="80" w:line="312" w:lineRule="auto"/>
            </w:pPr>
            <w:r w:rsidRPr="00584012">
              <w:t>Full year</w:t>
            </w:r>
          </w:p>
        </w:tc>
        <w:tc>
          <w:tcPr>
            <w:tcW w:w="2268" w:type="dxa"/>
          </w:tcPr>
          <w:p w14:paraId="5306CB40" w14:textId="2B6BABFC" w:rsidR="002015CD" w:rsidRPr="00584012" w:rsidRDefault="00D95389" w:rsidP="00427DC4">
            <w:pPr>
              <w:pStyle w:val="TableBody0"/>
              <w:spacing w:before="80" w:after="80" w:line="312" w:lineRule="auto"/>
              <w:jc w:val="right"/>
            </w:pPr>
            <w:r w:rsidRPr="0089242C">
              <w:t>14/15</w:t>
            </w:r>
          </w:p>
        </w:tc>
      </w:tr>
      <w:tr w:rsidR="002015CD" w:rsidRPr="00584012" w14:paraId="008EA727" w14:textId="77777777" w:rsidTr="00D11860">
        <w:trPr>
          <w:cnfStyle w:val="000000010000" w:firstRow="0" w:lastRow="0" w:firstColumn="0" w:lastColumn="0" w:oddVBand="0" w:evenVBand="0" w:oddHBand="0" w:evenHBand="1" w:firstRowFirstColumn="0" w:firstRowLastColumn="0" w:lastRowFirstColumn="0" w:lastRowLastColumn="0"/>
          <w:cantSplit/>
        </w:trPr>
        <w:tc>
          <w:tcPr>
            <w:tcW w:w="3256" w:type="dxa"/>
          </w:tcPr>
          <w:p w14:paraId="71F4FFB8" w14:textId="19BB25F3" w:rsidR="002015CD" w:rsidRPr="00584012" w:rsidRDefault="002015CD" w:rsidP="00427DC4">
            <w:pPr>
              <w:pStyle w:val="TableBody0"/>
              <w:spacing w:before="80" w:after="80" w:line="312" w:lineRule="auto"/>
            </w:pPr>
            <w:r w:rsidRPr="00584012">
              <w:t>Dr Denis Napthine AO</w:t>
            </w:r>
            <w:r w:rsidR="00383B2A" w:rsidRPr="00584012">
              <w:rPr>
                <w:vertAlign w:val="superscript"/>
              </w:rPr>
              <w:t>1</w:t>
            </w:r>
          </w:p>
        </w:tc>
        <w:tc>
          <w:tcPr>
            <w:tcW w:w="3402" w:type="dxa"/>
          </w:tcPr>
          <w:p w14:paraId="5F033AC4" w14:textId="3BAB9DE4" w:rsidR="002015CD" w:rsidRPr="00584012" w:rsidRDefault="002015CD" w:rsidP="00427DC4">
            <w:pPr>
              <w:pStyle w:val="TableBody0"/>
              <w:spacing w:before="80" w:after="80" w:line="312" w:lineRule="auto"/>
            </w:pPr>
            <w:r w:rsidRPr="00584012">
              <w:t>1 July 2025</w:t>
            </w:r>
            <w:r w:rsidR="00295F50" w:rsidRPr="00584012">
              <w:t xml:space="preserve"> </w:t>
            </w:r>
            <w:r w:rsidR="00295F50" w:rsidRPr="00584012">
              <w:rPr>
                <w:rFonts w:ascii="Symbol" w:eastAsia="Symbol" w:hAnsi="Symbol" w:cs="Symbol"/>
              </w:rPr>
              <w:t>-</w:t>
            </w:r>
            <w:r w:rsidR="00295F50" w:rsidRPr="00584012">
              <w:t xml:space="preserve"> </w:t>
            </w:r>
            <w:r w:rsidRPr="00584012">
              <w:t>16 June 2026</w:t>
            </w:r>
          </w:p>
        </w:tc>
        <w:tc>
          <w:tcPr>
            <w:tcW w:w="2268" w:type="dxa"/>
          </w:tcPr>
          <w:p w14:paraId="19F25409" w14:textId="320520E3" w:rsidR="002015CD" w:rsidRPr="00584012" w:rsidRDefault="00D95389" w:rsidP="00427DC4">
            <w:pPr>
              <w:pStyle w:val="TableBody0"/>
              <w:spacing w:before="80" w:after="80" w:line="312" w:lineRule="auto"/>
              <w:jc w:val="right"/>
            </w:pPr>
            <w:r w:rsidRPr="0089242C">
              <w:t>13/14</w:t>
            </w:r>
          </w:p>
        </w:tc>
      </w:tr>
      <w:tr w:rsidR="002015CD" w:rsidRPr="00584012" w14:paraId="0FEB8B0C" w14:textId="77777777" w:rsidTr="00D11860">
        <w:trPr>
          <w:cnfStyle w:val="000000100000" w:firstRow="0" w:lastRow="0" w:firstColumn="0" w:lastColumn="0" w:oddVBand="0" w:evenVBand="0" w:oddHBand="1" w:evenHBand="0" w:firstRowFirstColumn="0" w:firstRowLastColumn="0" w:lastRowFirstColumn="0" w:lastRowLastColumn="0"/>
          <w:cantSplit/>
        </w:trPr>
        <w:tc>
          <w:tcPr>
            <w:tcW w:w="3256" w:type="dxa"/>
          </w:tcPr>
          <w:p w14:paraId="7BAF3A63" w14:textId="77777777" w:rsidR="002015CD" w:rsidRPr="00584012" w:rsidRDefault="002015CD" w:rsidP="00427DC4">
            <w:pPr>
              <w:pStyle w:val="TableBody0"/>
              <w:spacing w:before="80" w:after="80" w:line="312" w:lineRule="auto"/>
            </w:pPr>
            <w:r w:rsidRPr="00584012">
              <w:t>Dr Graeme Innes AM</w:t>
            </w:r>
          </w:p>
        </w:tc>
        <w:tc>
          <w:tcPr>
            <w:tcW w:w="3402" w:type="dxa"/>
          </w:tcPr>
          <w:p w14:paraId="0C5FE327" w14:textId="77777777" w:rsidR="002015CD" w:rsidRPr="00584012" w:rsidRDefault="002015CD" w:rsidP="00427DC4">
            <w:pPr>
              <w:pStyle w:val="TableBody0"/>
              <w:spacing w:before="80" w:after="80" w:line="312" w:lineRule="auto"/>
            </w:pPr>
            <w:r w:rsidRPr="00584012">
              <w:t>Full year</w:t>
            </w:r>
          </w:p>
        </w:tc>
        <w:tc>
          <w:tcPr>
            <w:tcW w:w="2268" w:type="dxa"/>
          </w:tcPr>
          <w:p w14:paraId="5599FF7F" w14:textId="09CB6834" w:rsidR="002015CD" w:rsidRPr="00584012" w:rsidRDefault="00D95389" w:rsidP="00427DC4">
            <w:pPr>
              <w:pStyle w:val="TableBody0"/>
              <w:spacing w:before="80" w:after="80" w:line="312" w:lineRule="auto"/>
              <w:jc w:val="right"/>
            </w:pPr>
            <w:r w:rsidRPr="0089242C">
              <w:t>15/15</w:t>
            </w:r>
          </w:p>
        </w:tc>
      </w:tr>
      <w:tr w:rsidR="002015CD" w:rsidRPr="00584012" w14:paraId="074099B1" w14:textId="77777777" w:rsidTr="00D11860">
        <w:trPr>
          <w:cnfStyle w:val="000000010000" w:firstRow="0" w:lastRow="0" w:firstColumn="0" w:lastColumn="0" w:oddVBand="0" w:evenVBand="0" w:oddHBand="0" w:evenHBand="1" w:firstRowFirstColumn="0" w:firstRowLastColumn="0" w:lastRowFirstColumn="0" w:lastRowLastColumn="0"/>
          <w:cantSplit/>
        </w:trPr>
        <w:tc>
          <w:tcPr>
            <w:tcW w:w="3256" w:type="dxa"/>
          </w:tcPr>
          <w:p w14:paraId="5A421204" w14:textId="41D4F9A9" w:rsidR="002015CD" w:rsidRPr="00584012" w:rsidRDefault="002015CD" w:rsidP="00427DC4">
            <w:pPr>
              <w:pStyle w:val="TableBody0"/>
              <w:spacing w:before="80" w:after="80" w:line="312" w:lineRule="auto"/>
            </w:pPr>
            <w:r w:rsidRPr="00584012">
              <w:t>Ms Maryanne Diamond AO</w:t>
            </w:r>
            <w:r w:rsidR="00383B2A" w:rsidRPr="00584012">
              <w:rPr>
                <w:vertAlign w:val="superscript"/>
              </w:rPr>
              <w:t>1</w:t>
            </w:r>
          </w:p>
        </w:tc>
        <w:tc>
          <w:tcPr>
            <w:tcW w:w="3402" w:type="dxa"/>
          </w:tcPr>
          <w:p w14:paraId="33BA084F" w14:textId="227AAD53" w:rsidR="002015CD" w:rsidRPr="00584012" w:rsidRDefault="002015CD" w:rsidP="00427DC4">
            <w:pPr>
              <w:pStyle w:val="TableBody0"/>
              <w:spacing w:before="80" w:after="80" w:line="312" w:lineRule="auto"/>
            </w:pPr>
            <w:r w:rsidRPr="00584012">
              <w:t>1 July 2025</w:t>
            </w:r>
            <w:r w:rsidR="00295F50" w:rsidRPr="00584012">
              <w:t xml:space="preserve"> </w:t>
            </w:r>
            <w:r w:rsidR="00295F50" w:rsidRPr="00584012">
              <w:rPr>
                <w:rFonts w:ascii="Symbol" w:eastAsia="Symbol" w:hAnsi="Symbol" w:cs="Symbol"/>
              </w:rPr>
              <w:t>-</w:t>
            </w:r>
            <w:r w:rsidR="00295F50" w:rsidRPr="00584012">
              <w:t xml:space="preserve"> </w:t>
            </w:r>
            <w:r w:rsidRPr="00584012">
              <w:t>16 June 2026</w:t>
            </w:r>
          </w:p>
        </w:tc>
        <w:tc>
          <w:tcPr>
            <w:tcW w:w="2268" w:type="dxa"/>
          </w:tcPr>
          <w:p w14:paraId="02DD84E9" w14:textId="5B694E28" w:rsidR="002015CD" w:rsidRPr="00584012" w:rsidRDefault="00D95389" w:rsidP="00427DC4">
            <w:pPr>
              <w:pStyle w:val="TableBody0"/>
              <w:spacing w:before="80" w:after="80" w:line="312" w:lineRule="auto"/>
              <w:jc w:val="right"/>
            </w:pPr>
            <w:r w:rsidRPr="0089242C">
              <w:t>13/14</w:t>
            </w:r>
          </w:p>
        </w:tc>
      </w:tr>
      <w:tr w:rsidR="002015CD" w:rsidRPr="00584012" w14:paraId="10522686" w14:textId="77777777" w:rsidTr="00D11860">
        <w:trPr>
          <w:cnfStyle w:val="000000100000" w:firstRow="0" w:lastRow="0" w:firstColumn="0" w:lastColumn="0" w:oddVBand="0" w:evenVBand="0" w:oddHBand="1" w:evenHBand="0" w:firstRowFirstColumn="0" w:firstRowLastColumn="0" w:lastRowFirstColumn="0" w:lastRowLastColumn="0"/>
          <w:cantSplit/>
        </w:trPr>
        <w:tc>
          <w:tcPr>
            <w:tcW w:w="3256" w:type="dxa"/>
          </w:tcPr>
          <w:p w14:paraId="5454D3E0" w14:textId="6709446C" w:rsidR="002015CD" w:rsidRPr="00584012" w:rsidRDefault="002015CD" w:rsidP="00427DC4">
            <w:pPr>
              <w:pStyle w:val="TableBody0"/>
              <w:spacing w:before="80" w:after="80" w:line="312" w:lineRule="auto"/>
            </w:pPr>
            <w:r w:rsidRPr="00584012">
              <w:t>M</w:t>
            </w:r>
            <w:r w:rsidR="00566848">
              <w:t>r</w:t>
            </w:r>
            <w:r w:rsidRPr="00584012">
              <w:t>s Joan McKenna Kerr</w:t>
            </w:r>
            <w:r w:rsidR="00383B2A" w:rsidRPr="00584012">
              <w:rPr>
                <w:vertAlign w:val="superscript"/>
              </w:rPr>
              <w:t>1</w:t>
            </w:r>
          </w:p>
        </w:tc>
        <w:tc>
          <w:tcPr>
            <w:tcW w:w="3402" w:type="dxa"/>
          </w:tcPr>
          <w:p w14:paraId="5551082A" w14:textId="695D71CD" w:rsidR="002015CD" w:rsidRPr="00584012" w:rsidRDefault="002015CD" w:rsidP="00427DC4">
            <w:pPr>
              <w:pStyle w:val="TableBody0"/>
              <w:spacing w:before="80" w:after="80" w:line="312" w:lineRule="auto"/>
            </w:pPr>
            <w:r w:rsidRPr="00584012">
              <w:t>1 July 2025</w:t>
            </w:r>
            <w:r w:rsidR="00295F50" w:rsidRPr="00584012">
              <w:t xml:space="preserve"> </w:t>
            </w:r>
            <w:r w:rsidR="00295F50" w:rsidRPr="00584012">
              <w:rPr>
                <w:rFonts w:ascii="Symbol" w:eastAsia="Symbol" w:hAnsi="Symbol" w:cs="Symbol"/>
              </w:rPr>
              <w:t>-</w:t>
            </w:r>
            <w:r w:rsidR="00295F50" w:rsidRPr="00584012">
              <w:t xml:space="preserve"> </w:t>
            </w:r>
            <w:r w:rsidRPr="00584012">
              <w:t>16 June 2026</w:t>
            </w:r>
          </w:p>
        </w:tc>
        <w:tc>
          <w:tcPr>
            <w:tcW w:w="2268" w:type="dxa"/>
          </w:tcPr>
          <w:p w14:paraId="20B30EF9" w14:textId="71E8485E" w:rsidR="002015CD" w:rsidRPr="00584012" w:rsidRDefault="00D95389" w:rsidP="00427DC4">
            <w:pPr>
              <w:pStyle w:val="TableBody0"/>
              <w:spacing w:before="80" w:after="80" w:line="312" w:lineRule="auto"/>
              <w:jc w:val="right"/>
            </w:pPr>
            <w:r w:rsidRPr="0089242C">
              <w:t>11/12</w:t>
            </w:r>
          </w:p>
        </w:tc>
      </w:tr>
      <w:tr w:rsidR="002015CD" w:rsidRPr="00584012" w14:paraId="72B7F9CF" w14:textId="77777777" w:rsidTr="00D11860">
        <w:trPr>
          <w:cnfStyle w:val="000000010000" w:firstRow="0" w:lastRow="0" w:firstColumn="0" w:lastColumn="0" w:oddVBand="0" w:evenVBand="0" w:oddHBand="0" w:evenHBand="1" w:firstRowFirstColumn="0" w:firstRowLastColumn="0" w:lastRowFirstColumn="0" w:lastRowLastColumn="0"/>
          <w:cantSplit/>
        </w:trPr>
        <w:tc>
          <w:tcPr>
            <w:tcW w:w="3256" w:type="dxa"/>
          </w:tcPr>
          <w:p w14:paraId="3A9CA1C5" w14:textId="77777777" w:rsidR="002015CD" w:rsidRPr="00584012" w:rsidRDefault="002015CD" w:rsidP="00427DC4">
            <w:pPr>
              <w:pStyle w:val="TableBody0"/>
              <w:spacing w:before="80" w:after="80" w:line="312" w:lineRule="auto"/>
            </w:pPr>
            <w:r w:rsidRPr="00584012">
              <w:t>Dr Richard Fejo</w:t>
            </w:r>
          </w:p>
        </w:tc>
        <w:tc>
          <w:tcPr>
            <w:tcW w:w="3402" w:type="dxa"/>
          </w:tcPr>
          <w:p w14:paraId="25F6DA29" w14:textId="77777777" w:rsidR="002015CD" w:rsidRPr="00584012" w:rsidRDefault="002015CD" w:rsidP="00427DC4">
            <w:pPr>
              <w:pStyle w:val="TableBody0"/>
              <w:spacing w:before="80" w:after="80" w:line="312" w:lineRule="auto"/>
            </w:pPr>
            <w:r w:rsidRPr="00584012">
              <w:t>Full year</w:t>
            </w:r>
          </w:p>
        </w:tc>
        <w:tc>
          <w:tcPr>
            <w:tcW w:w="2268" w:type="dxa"/>
          </w:tcPr>
          <w:p w14:paraId="0A1C1756" w14:textId="772D374E" w:rsidR="002015CD" w:rsidRPr="00584012" w:rsidRDefault="00D95389" w:rsidP="00427DC4">
            <w:pPr>
              <w:pStyle w:val="TableBody0"/>
              <w:spacing w:before="80" w:after="80" w:line="312" w:lineRule="auto"/>
              <w:jc w:val="right"/>
            </w:pPr>
            <w:r w:rsidRPr="0089242C">
              <w:t>14/15</w:t>
            </w:r>
          </w:p>
        </w:tc>
      </w:tr>
      <w:tr w:rsidR="002015CD" w:rsidRPr="00584012" w14:paraId="46295D8D" w14:textId="77777777" w:rsidTr="00D11860">
        <w:trPr>
          <w:cnfStyle w:val="000000100000" w:firstRow="0" w:lastRow="0" w:firstColumn="0" w:lastColumn="0" w:oddVBand="0" w:evenVBand="0" w:oddHBand="1" w:evenHBand="0" w:firstRowFirstColumn="0" w:firstRowLastColumn="0" w:lastRowFirstColumn="0" w:lastRowLastColumn="0"/>
          <w:cantSplit/>
        </w:trPr>
        <w:tc>
          <w:tcPr>
            <w:tcW w:w="3256" w:type="dxa"/>
          </w:tcPr>
          <w:p w14:paraId="16F7638D" w14:textId="637DDEB8" w:rsidR="002015CD" w:rsidRPr="00584012" w:rsidRDefault="002015CD" w:rsidP="00427DC4">
            <w:pPr>
              <w:pStyle w:val="TableBody0"/>
              <w:spacing w:before="80" w:after="80" w:line="312" w:lineRule="auto"/>
            </w:pPr>
            <w:r w:rsidRPr="00584012">
              <w:t xml:space="preserve">Mr </w:t>
            </w:r>
            <w:r w:rsidR="00FB19A9">
              <w:t>Asimakis (</w:t>
            </w:r>
            <w:r w:rsidR="004556C2">
              <w:t>Mark</w:t>
            </w:r>
            <w:r w:rsidR="00FB19A9">
              <w:t>)</w:t>
            </w:r>
            <w:r w:rsidRPr="00584012">
              <w:t xml:space="preserve"> Darras</w:t>
            </w:r>
          </w:p>
        </w:tc>
        <w:tc>
          <w:tcPr>
            <w:tcW w:w="3402" w:type="dxa"/>
          </w:tcPr>
          <w:p w14:paraId="2BB2DAB0" w14:textId="77777777" w:rsidR="002015CD" w:rsidRPr="00584012" w:rsidRDefault="002015CD" w:rsidP="00427DC4">
            <w:pPr>
              <w:pStyle w:val="TableBody0"/>
              <w:spacing w:before="80" w:after="80" w:line="312" w:lineRule="auto"/>
            </w:pPr>
            <w:r w:rsidRPr="00584012">
              <w:t>Full year</w:t>
            </w:r>
          </w:p>
        </w:tc>
        <w:tc>
          <w:tcPr>
            <w:tcW w:w="2268" w:type="dxa"/>
          </w:tcPr>
          <w:p w14:paraId="077C49D6" w14:textId="2E9B03E7" w:rsidR="002015CD" w:rsidRPr="00584012" w:rsidRDefault="00D95389" w:rsidP="00427DC4">
            <w:pPr>
              <w:pStyle w:val="TableBody0"/>
              <w:spacing w:before="80" w:after="80" w:line="312" w:lineRule="auto"/>
              <w:jc w:val="right"/>
            </w:pPr>
            <w:r w:rsidRPr="0089242C">
              <w:t>12/15</w:t>
            </w:r>
          </w:p>
        </w:tc>
      </w:tr>
      <w:tr w:rsidR="002015CD" w:rsidRPr="00584012" w14:paraId="55FF7B9E" w14:textId="77777777" w:rsidTr="00D11860">
        <w:trPr>
          <w:cnfStyle w:val="000000010000" w:firstRow="0" w:lastRow="0" w:firstColumn="0" w:lastColumn="0" w:oddVBand="0" w:evenVBand="0" w:oddHBand="0" w:evenHBand="1" w:firstRowFirstColumn="0" w:firstRowLastColumn="0" w:lastRowFirstColumn="0" w:lastRowLastColumn="0"/>
          <w:cantSplit/>
        </w:trPr>
        <w:tc>
          <w:tcPr>
            <w:tcW w:w="3256" w:type="dxa"/>
          </w:tcPr>
          <w:p w14:paraId="3BF6B6A6" w14:textId="77777777" w:rsidR="002015CD" w:rsidRPr="00584012" w:rsidRDefault="002015CD" w:rsidP="00427DC4">
            <w:pPr>
              <w:pStyle w:val="TableBody0"/>
              <w:spacing w:before="80" w:after="80" w:line="312" w:lineRule="auto"/>
            </w:pPr>
            <w:r w:rsidRPr="00584012">
              <w:t>Dr Ian Watt AC</w:t>
            </w:r>
          </w:p>
        </w:tc>
        <w:tc>
          <w:tcPr>
            <w:tcW w:w="3402" w:type="dxa"/>
          </w:tcPr>
          <w:p w14:paraId="02C9E2A3" w14:textId="77777777" w:rsidR="002015CD" w:rsidRPr="00584012" w:rsidRDefault="002015CD" w:rsidP="00427DC4">
            <w:pPr>
              <w:pStyle w:val="TableBody0"/>
              <w:spacing w:before="80" w:after="80" w:line="312" w:lineRule="auto"/>
            </w:pPr>
            <w:r w:rsidRPr="00584012">
              <w:t>Full year</w:t>
            </w:r>
          </w:p>
        </w:tc>
        <w:tc>
          <w:tcPr>
            <w:tcW w:w="2268" w:type="dxa"/>
          </w:tcPr>
          <w:p w14:paraId="16084303" w14:textId="19D401F8" w:rsidR="002015CD" w:rsidRPr="00584012" w:rsidRDefault="00D95389" w:rsidP="00427DC4">
            <w:pPr>
              <w:pStyle w:val="TableBody0"/>
              <w:spacing w:before="80" w:after="80" w:line="312" w:lineRule="auto"/>
              <w:jc w:val="right"/>
            </w:pPr>
            <w:r w:rsidRPr="0089242C">
              <w:t>14/15</w:t>
            </w:r>
          </w:p>
        </w:tc>
      </w:tr>
      <w:tr w:rsidR="002015CD" w:rsidRPr="00584012" w14:paraId="7C3D77BB" w14:textId="77777777" w:rsidTr="00D11860">
        <w:trPr>
          <w:cnfStyle w:val="000000100000" w:firstRow="0" w:lastRow="0" w:firstColumn="0" w:lastColumn="0" w:oddVBand="0" w:evenVBand="0" w:oddHBand="1" w:evenHBand="0" w:firstRowFirstColumn="0" w:firstRowLastColumn="0" w:lastRowFirstColumn="0" w:lastRowLastColumn="0"/>
          <w:cantSplit/>
        </w:trPr>
        <w:tc>
          <w:tcPr>
            <w:tcW w:w="3256" w:type="dxa"/>
          </w:tcPr>
          <w:p w14:paraId="45364FB7" w14:textId="77777777" w:rsidR="002015CD" w:rsidRPr="00584012" w:rsidRDefault="002015CD" w:rsidP="00427DC4">
            <w:pPr>
              <w:pStyle w:val="TableBody0"/>
              <w:spacing w:before="80" w:after="80" w:line="312" w:lineRule="auto"/>
            </w:pPr>
            <w:r w:rsidRPr="00584012">
              <w:t>Dr Rhonda Galbally AC</w:t>
            </w:r>
          </w:p>
        </w:tc>
        <w:tc>
          <w:tcPr>
            <w:tcW w:w="3402" w:type="dxa"/>
          </w:tcPr>
          <w:p w14:paraId="4F9CE7DC" w14:textId="77777777" w:rsidR="002015CD" w:rsidRPr="00584012" w:rsidRDefault="002015CD" w:rsidP="00427DC4">
            <w:pPr>
              <w:pStyle w:val="TableBody0"/>
              <w:spacing w:before="80" w:after="80" w:line="312" w:lineRule="auto"/>
            </w:pPr>
            <w:r w:rsidRPr="00584012">
              <w:t>Full year</w:t>
            </w:r>
          </w:p>
        </w:tc>
        <w:tc>
          <w:tcPr>
            <w:tcW w:w="2268" w:type="dxa"/>
          </w:tcPr>
          <w:p w14:paraId="5177CE98" w14:textId="755C58C3" w:rsidR="002015CD" w:rsidRPr="00584012" w:rsidRDefault="00D95389" w:rsidP="00427DC4">
            <w:pPr>
              <w:pStyle w:val="TableBody0"/>
              <w:spacing w:before="80" w:after="80" w:line="312" w:lineRule="auto"/>
              <w:jc w:val="right"/>
            </w:pPr>
            <w:r w:rsidRPr="0089242C">
              <w:t>13/15</w:t>
            </w:r>
          </w:p>
        </w:tc>
      </w:tr>
      <w:tr w:rsidR="002015CD" w:rsidRPr="00584012" w14:paraId="44B78728" w14:textId="77777777" w:rsidTr="00D11860">
        <w:trPr>
          <w:cnfStyle w:val="000000010000" w:firstRow="0" w:lastRow="0" w:firstColumn="0" w:lastColumn="0" w:oddVBand="0" w:evenVBand="0" w:oddHBand="0" w:evenHBand="1" w:firstRowFirstColumn="0" w:firstRowLastColumn="0" w:lastRowFirstColumn="0" w:lastRowLastColumn="0"/>
          <w:cantSplit/>
        </w:trPr>
        <w:tc>
          <w:tcPr>
            <w:tcW w:w="3256" w:type="dxa"/>
          </w:tcPr>
          <w:p w14:paraId="5D272AF5" w14:textId="40E3A4C8" w:rsidR="002015CD" w:rsidRPr="00584012" w:rsidRDefault="002015CD" w:rsidP="00427DC4">
            <w:pPr>
              <w:pStyle w:val="TableBody0"/>
              <w:spacing w:before="80" w:after="80" w:line="312" w:lineRule="auto"/>
            </w:pPr>
            <w:r w:rsidRPr="00584012">
              <w:t>Ms Lois Boswell</w:t>
            </w:r>
            <w:r w:rsidR="00383B2A" w:rsidRPr="00584012">
              <w:rPr>
                <w:vertAlign w:val="superscript"/>
              </w:rPr>
              <w:t>2</w:t>
            </w:r>
          </w:p>
        </w:tc>
        <w:tc>
          <w:tcPr>
            <w:tcW w:w="3402" w:type="dxa"/>
          </w:tcPr>
          <w:p w14:paraId="42A7D3BE" w14:textId="7835684A" w:rsidR="002015CD" w:rsidRPr="00584012" w:rsidRDefault="002015CD" w:rsidP="00427DC4">
            <w:pPr>
              <w:pStyle w:val="TableBody0"/>
              <w:spacing w:before="80" w:after="80" w:line="312" w:lineRule="auto"/>
            </w:pPr>
            <w:r w:rsidRPr="00584012">
              <w:t xml:space="preserve">17 </w:t>
            </w:r>
            <w:r w:rsidRPr="002222FD">
              <w:t>June 2026</w:t>
            </w:r>
            <w:r w:rsidR="00295F50" w:rsidRPr="002222FD">
              <w:t xml:space="preserve"> </w:t>
            </w:r>
            <w:r w:rsidR="00295F50" w:rsidRPr="002222FD">
              <w:rPr>
                <w:rFonts w:ascii="Symbol" w:eastAsia="Symbol" w:hAnsi="Symbol" w:cs="Symbol"/>
              </w:rPr>
              <w:t>-</w:t>
            </w:r>
            <w:r w:rsidR="00295F50" w:rsidRPr="002222FD">
              <w:t xml:space="preserve"> </w:t>
            </w:r>
            <w:r w:rsidRPr="002222FD">
              <w:t>30 June</w:t>
            </w:r>
            <w:r w:rsidRPr="00584012">
              <w:t xml:space="preserve"> 2026</w:t>
            </w:r>
          </w:p>
        </w:tc>
        <w:tc>
          <w:tcPr>
            <w:tcW w:w="2268" w:type="dxa"/>
          </w:tcPr>
          <w:p w14:paraId="3B72F897" w14:textId="655E73DB" w:rsidR="002015CD" w:rsidRPr="00584012" w:rsidRDefault="00D95389" w:rsidP="00427DC4">
            <w:pPr>
              <w:pStyle w:val="TableBody0"/>
              <w:spacing w:before="80" w:after="80" w:line="312" w:lineRule="auto"/>
              <w:jc w:val="right"/>
            </w:pPr>
            <w:r w:rsidRPr="0089242C">
              <w:t>1/1</w:t>
            </w:r>
          </w:p>
        </w:tc>
      </w:tr>
      <w:tr w:rsidR="002015CD" w:rsidRPr="00584012" w14:paraId="78B72131" w14:textId="77777777" w:rsidTr="00D11860">
        <w:trPr>
          <w:cnfStyle w:val="000000100000" w:firstRow="0" w:lastRow="0" w:firstColumn="0" w:lastColumn="0" w:oddVBand="0" w:evenVBand="0" w:oddHBand="1" w:evenHBand="0" w:firstRowFirstColumn="0" w:firstRowLastColumn="0" w:lastRowFirstColumn="0" w:lastRowLastColumn="0"/>
          <w:cantSplit/>
        </w:trPr>
        <w:tc>
          <w:tcPr>
            <w:tcW w:w="3256" w:type="dxa"/>
          </w:tcPr>
          <w:p w14:paraId="4FC8DC40" w14:textId="33EEE4B5" w:rsidR="002015CD" w:rsidRPr="00584012" w:rsidRDefault="002015CD" w:rsidP="00427DC4">
            <w:pPr>
              <w:pStyle w:val="TableBody0"/>
              <w:spacing w:before="80" w:after="80" w:line="312" w:lineRule="auto"/>
            </w:pPr>
            <w:r w:rsidRPr="00584012">
              <w:t>Mr Nigel Ray PSM</w:t>
            </w:r>
            <w:r w:rsidR="00383B2A" w:rsidRPr="00584012">
              <w:rPr>
                <w:vertAlign w:val="superscript"/>
              </w:rPr>
              <w:t>2</w:t>
            </w:r>
          </w:p>
        </w:tc>
        <w:tc>
          <w:tcPr>
            <w:tcW w:w="3402" w:type="dxa"/>
          </w:tcPr>
          <w:p w14:paraId="67B67178" w14:textId="6EC8B71D" w:rsidR="002015CD" w:rsidRPr="00584012" w:rsidRDefault="002015CD" w:rsidP="00427DC4">
            <w:pPr>
              <w:pStyle w:val="TableBody0"/>
              <w:spacing w:before="80" w:after="80" w:line="312" w:lineRule="auto"/>
            </w:pPr>
            <w:r w:rsidRPr="00584012">
              <w:t>17 June 2026</w:t>
            </w:r>
            <w:r w:rsidR="00295F50" w:rsidRPr="00584012">
              <w:t xml:space="preserve"> </w:t>
            </w:r>
            <w:r w:rsidR="00295F50" w:rsidRPr="00584012">
              <w:rPr>
                <w:rFonts w:ascii="Symbol" w:eastAsia="Symbol" w:hAnsi="Symbol" w:cs="Symbol"/>
              </w:rPr>
              <w:t>-</w:t>
            </w:r>
            <w:r w:rsidR="00295F50" w:rsidRPr="00584012">
              <w:t xml:space="preserve"> </w:t>
            </w:r>
            <w:r w:rsidRPr="00584012">
              <w:t>30 June 2026</w:t>
            </w:r>
          </w:p>
        </w:tc>
        <w:tc>
          <w:tcPr>
            <w:tcW w:w="2268" w:type="dxa"/>
          </w:tcPr>
          <w:p w14:paraId="5D2BE9D9" w14:textId="558A285F" w:rsidR="002015CD" w:rsidRPr="00584012" w:rsidRDefault="00D95389" w:rsidP="00427DC4">
            <w:pPr>
              <w:pStyle w:val="TableBody0"/>
              <w:spacing w:before="80" w:after="80" w:line="312" w:lineRule="auto"/>
              <w:jc w:val="right"/>
            </w:pPr>
            <w:r w:rsidRPr="0089242C">
              <w:t>1/1</w:t>
            </w:r>
          </w:p>
        </w:tc>
      </w:tr>
      <w:tr w:rsidR="002015CD" w:rsidRPr="00584012" w14:paraId="6F43F980" w14:textId="77777777" w:rsidTr="00D11860">
        <w:trPr>
          <w:cnfStyle w:val="000000010000" w:firstRow="0" w:lastRow="0" w:firstColumn="0" w:lastColumn="0" w:oddVBand="0" w:evenVBand="0" w:oddHBand="0" w:evenHBand="1" w:firstRowFirstColumn="0" w:firstRowLastColumn="0" w:lastRowFirstColumn="0" w:lastRowLastColumn="0"/>
          <w:cantSplit/>
        </w:trPr>
        <w:tc>
          <w:tcPr>
            <w:tcW w:w="3256" w:type="dxa"/>
          </w:tcPr>
          <w:p w14:paraId="24813C34" w14:textId="2525B8B1" w:rsidR="002015CD" w:rsidRPr="00584012" w:rsidRDefault="002015CD" w:rsidP="00427DC4">
            <w:pPr>
              <w:pStyle w:val="TableBody0"/>
              <w:spacing w:before="80" w:after="80" w:line="312" w:lineRule="auto"/>
            </w:pPr>
            <w:r w:rsidRPr="00584012">
              <w:t>Ms Jane Spring AM</w:t>
            </w:r>
            <w:r w:rsidR="00383B2A" w:rsidRPr="00584012">
              <w:rPr>
                <w:vertAlign w:val="superscript"/>
              </w:rPr>
              <w:t>2</w:t>
            </w:r>
          </w:p>
        </w:tc>
        <w:tc>
          <w:tcPr>
            <w:tcW w:w="3402" w:type="dxa"/>
          </w:tcPr>
          <w:p w14:paraId="0CEF63D8" w14:textId="332B1A2B" w:rsidR="002015CD" w:rsidRPr="00584012" w:rsidRDefault="002015CD" w:rsidP="00427DC4">
            <w:pPr>
              <w:pStyle w:val="TableBody0"/>
              <w:spacing w:before="80" w:after="80" w:line="312" w:lineRule="auto"/>
            </w:pPr>
            <w:r w:rsidRPr="00584012">
              <w:t>17 June 2026</w:t>
            </w:r>
            <w:r w:rsidR="00295F50" w:rsidRPr="00584012">
              <w:t xml:space="preserve"> </w:t>
            </w:r>
            <w:r w:rsidR="00295F50" w:rsidRPr="00584012">
              <w:rPr>
                <w:rFonts w:ascii="Symbol" w:eastAsia="Symbol" w:hAnsi="Symbol" w:cs="Symbol"/>
              </w:rPr>
              <w:t>-</w:t>
            </w:r>
            <w:r w:rsidR="00295F50" w:rsidRPr="00584012">
              <w:t xml:space="preserve"> </w:t>
            </w:r>
            <w:r w:rsidRPr="00584012">
              <w:t>30 June 2026</w:t>
            </w:r>
          </w:p>
        </w:tc>
        <w:tc>
          <w:tcPr>
            <w:tcW w:w="2268" w:type="dxa"/>
          </w:tcPr>
          <w:p w14:paraId="56D61DD9" w14:textId="770DCAF0" w:rsidR="002015CD" w:rsidRPr="00584012" w:rsidRDefault="00D95389" w:rsidP="00427DC4">
            <w:pPr>
              <w:pStyle w:val="TableBody0"/>
              <w:spacing w:before="80" w:after="80" w:line="312" w:lineRule="auto"/>
              <w:jc w:val="right"/>
            </w:pPr>
            <w:r w:rsidRPr="0089242C">
              <w:t>1/1</w:t>
            </w:r>
          </w:p>
        </w:tc>
      </w:tr>
    </w:tbl>
    <w:p w14:paraId="3C0AD6BA" w14:textId="77777777" w:rsidR="006A13D8" w:rsidRPr="00DE5551" w:rsidRDefault="00096617" w:rsidP="00D11860">
      <w:pPr>
        <w:pStyle w:val="Tablenote"/>
        <w:rPr>
          <w:b/>
        </w:rPr>
      </w:pPr>
      <w:r w:rsidRPr="00DE5551">
        <w:rPr>
          <w:b/>
        </w:rPr>
        <w:t>Notes:</w:t>
      </w:r>
    </w:p>
    <w:p w14:paraId="46904AC5" w14:textId="7E526BC2" w:rsidR="00EF137C" w:rsidRPr="00E91373" w:rsidRDefault="00383B2A" w:rsidP="00D11860">
      <w:pPr>
        <w:pStyle w:val="Tablenote"/>
      </w:pPr>
      <w:r w:rsidRPr="00E91373">
        <w:t>1</w:t>
      </w:r>
      <w:r w:rsidR="00204E9D" w:rsidRPr="00E91373">
        <w:t xml:space="preserve"> </w:t>
      </w:r>
      <w:r w:rsidR="00EF137C" w:rsidRPr="00E91373">
        <w:t>Term expired 16 June 2026</w:t>
      </w:r>
      <w:r w:rsidR="00295F50" w:rsidRPr="00E91373">
        <w:t>.</w:t>
      </w:r>
    </w:p>
    <w:p w14:paraId="28914AC6" w14:textId="340CC0E0" w:rsidR="00EF137C" w:rsidRPr="00E91373" w:rsidRDefault="00383B2A" w:rsidP="00D11860">
      <w:pPr>
        <w:pStyle w:val="Tablenote"/>
      </w:pPr>
      <w:r w:rsidRPr="00E91373">
        <w:t>2</w:t>
      </w:r>
      <w:r w:rsidR="00384F61" w:rsidRPr="00E91373">
        <w:t xml:space="preserve"> </w:t>
      </w:r>
      <w:r w:rsidR="00EF137C" w:rsidRPr="00E91373">
        <w:t>Term commenced 17 June 2026</w:t>
      </w:r>
      <w:r w:rsidR="00295F50" w:rsidRPr="00E91373">
        <w:t>.</w:t>
      </w:r>
    </w:p>
    <w:p w14:paraId="545657E0" w14:textId="77777777" w:rsidR="004624AC" w:rsidRPr="00584012" w:rsidRDefault="004624AC" w:rsidP="00842A73">
      <w:pPr>
        <w:pStyle w:val="Heading4"/>
      </w:pPr>
      <w:r w:rsidRPr="00584012">
        <w:t>Board committees</w:t>
      </w:r>
    </w:p>
    <w:p w14:paraId="23CCB22A" w14:textId="2648D3C2" w:rsidR="00780A9C" w:rsidRPr="00584012" w:rsidRDefault="00780A9C" w:rsidP="00D11860">
      <w:pPr>
        <w:pStyle w:val="Caption"/>
        <w:keepNext w:val="0"/>
        <w:rPr>
          <w:b w:val="0"/>
          <w:bCs w:val="0"/>
          <w:color w:val="auto"/>
        </w:rPr>
      </w:pPr>
      <w:r w:rsidRPr="00584012">
        <w:rPr>
          <w:b w:val="0"/>
          <w:bCs w:val="0"/>
          <w:color w:val="auto"/>
        </w:rPr>
        <w:t xml:space="preserve">The Board has 3 </w:t>
      </w:r>
      <w:r w:rsidR="00384F61" w:rsidRPr="00584012">
        <w:rPr>
          <w:b w:val="0"/>
          <w:bCs w:val="0"/>
          <w:color w:val="auto"/>
        </w:rPr>
        <w:t>c</w:t>
      </w:r>
      <w:r w:rsidRPr="00584012">
        <w:rPr>
          <w:b w:val="0"/>
          <w:bCs w:val="0"/>
          <w:color w:val="auto"/>
        </w:rPr>
        <w:t xml:space="preserve">ommittees to </w:t>
      </w:r>
      <w:r w:rsidR="007E0DA3" w:rsidRPr="00584012">
        <w:rPr>
          <w:b w:val="0"/>
          <w:bCs w:val="0"/>
          <w:color w:val="auto"/>
        </w:rPr>
        <w:t>help it</w:t>
      </w:r>
      <w:r w:rsidRPr="00584012">
        <w:rPr>
          <w:b w:val="0"/>
          <w:bCs w:val="0"/>
          <w:color w:val="auto"/>
        </w:rPr>
        <w:t xml:space="preserve"> meet statutory requirements, manage risk and ensure the NDIA achieves best</w:t>
      </w:r>
      <w:r w:rsidR="00384F61" w:rsidRPr="00584012">
        <w:rPr>
          <w:b w:val="0"/>
          <w:bCs w:val="0"/>
          <w:color w:val="auto"/>
        </w:rPr>
        <w:t xml:space="preserve"> </w:t>
      </w:r>
      <w:r w:rsidRPr="00584012">
        <w:rPr>
          <w:b w:val="0"/>
          <w:bCs w:val="0"/>
          <w:color w:val="auto"/>
        </w:rPr>
        <w:t>practice governance.</w:t>
      </w:r>
    </w:p>
    <w:p w14:paraId="3D5DA337" w14:textId="188868B7" w:rsidR="009429DC" w:rsidRPr="00584012" w:rsidRDefault="004540CE" w:rsidP="009336E6">
      <w:pPr>
        <w:pStyle w:val="Caption"/>
      </w:pPr>
      <w:r>
        <w:t xml:space="preserve">Table </w:t>
      </w:r>
      <w:r w:rsidR="00D438F0">
        <w:t>1</w:t>
      </w:r>
      <w:r w:rsidR="0068179C">
        <w:t>8</w:t>
      </w:r>
      <w:r>
        <w:t xml:space="preserve">. </w:t>
      </w:r>
      <w:r w:rsidR="009429DC" w:rsidRPr="00584012">
        <w:t>Board committees and members as at 30 June 2026</w:t>
      </w:r>
    </w:p>
    <w:tbl>
      <w:tblPr>
        <w:tblStyle w:val="NDISTable1"/>
        <w:tblW w:w="9209"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1696"/>
        <w:gridCol w:w="5103"/>
        <w:gridCol w:w="2410"/>
      </w:tblGrid>
      <w:tr w:rsidR="00C200FB" w:rsidRPr="00584012" w14:paraId="0F866329" w14:textId="77777777" w:rsidTr="00DB3D52">
        <w:trPr>
          <w:cnfStyle w:val="100000000000" w:firstRow="1" w:lastRow="0" w:firstColumn="0" w:lastColumn="0" w:oddVBand="0" w:evenVBand="0" w:oddHBand="0" w:evenHBand="0" w:firstRowFirstColumn="0" w:firstRowLastColumn="0" w:lastRowFirstColumn="0" w:lastRowLastColumn="0"/>
        </w:trPr>
        <w:tc>
          <w:tcPr>
            <w:tcW w:w="1696" w:type="dxa"/>
          </w:tcPr>
          <w:p w14:paraId="3E5960EC" w14:textId="77777777" w:rsidR="00C200FB" w:rsidRPr="00584012" w:rsidRDefault="00C200FB" w:rsidP="00427DC4">
            <w:pPr>
              <w:pStyle w:val="TableBody0"/>
              <w:spacing w:line="312" w:lineRule="auto"/>
              <w:rPr>
                <w:b/>
                <w:bCs/>
              </w:rPr>
            </w:pPr>
            <w:r w:rsidRPr="00584012">
              <w:rPr>
                <w:bCs/>
              </w:rPr>
              <w:t>Committee</w:t>
            </w:r>
          </w:p>
        </w:tc>
        <w:tc>
          <w:tcPr>
            <w:tcW w:w="5103" w:type="dxa"/>
          </w:tcPr>
          <w:p w14:paraId="05E803CC" w14:textId="77777777" w:rsidR="00C200FB" w:rsidRPr="00584012" w:rsidRDefault="00C200FB" w:rsidP="00427DC4">
            <w:pPr>
              <w:pStyle w:val="TableBody0"/>
              <w:spacing w:line="312" w:lineRule="auto"/>
              <w:rPr>
                <w:b/>
                <w:bCs/>
              </w:rPr>
            </w:pPr>
            <w:r w:rsidRPr="00584012">
              <w:rPr>
                <w:bCs/>
              </w:rPr>
              <w:t>Role</w:t>
            </w:r>
          </w:p>
        </w:tc>
        <w:tc>
          <w:tcPr>
            <w:tcW w:w="2410" w:type="dxa"/>
          </w:tcPr>
          <w:p w14:paraId="30E65638" w14:textId="77777777" w:rsidR="00C200FB" w:rsidRPr="00584012" w:rsidRDefault="00C200FB" w:rsidP="00427DC4">
            <w:pPr>
              <w:pStyle w:val="TableBody0"/>
              <w:spacing w:line="312" w:lineRule="auto"/>
              <w:rPr>
                <w:b/>
                <w:bCs/>
              </w:rPr>
            </w:pPr>
            <w:r w:rsidRPr="00584012">
              <w:rPr>
                <w:bCs/>
              </w:rPr>
              <w:t>Members</w:t>
            </w:r>
          </w:p>
        </w:tc>
      </w:tr>
      <w:tr w:rsidR="00C200FB" w:rsidRPr="00584012" w14:paraId="78A37E5A" w14:textId="77777777" w:rsidTr="00DB3D52">
        <w:trPr>
          <w:cnfStyle w:val="000000100000" w:firstRow="0" w:lastRow="0" w:firstColumn="0" w:lastColumn="0" w:oddVBand="0" w:evenVBand="0" w:oddHBand="1" w:evenHBand="0" w:firstRowFirstColumn="0" w:firstRowLastColumn="0" w:lastRowFirstColumn="0" w:lastRowLastColumn="0"/>
          <w:cantSplit/>
        </w:trPr>
        <w:tc>
          <w:tcPr>
            <w:tcW w:w="1696" w:type="dxa"/>
          </w:tcPr>
          <w:p w14:paraId="3196D3F1" w14:textId="77777777" w:rsidR="00C200FB" w:rsidRPr="00584012" w:rsidRDefault="00C200FB" w:rsidP="00427DC4">
            <w:pPr>
              <w:pStyle w:val="TableBody0"/>
              <w:spacing w:line="312" w:lineRule="auto"/>
            </w:pPr>
            <w:r w:rsidRPr="00584012">
              <w:t>Audit and Risk Committee</w:t>
            </w:r>
          </w:p>
        </w:tc>
        <w:tc>
          <w:tcPr>
            <w:tcW w:w="5103" w:type="dxa"/>
          </w:tcPr>
          <w:p w14:paraId="024D994C" w14:textId="77777777" w:rsidR="00C200FB" w:rsidRPr="00584012" w:rsidRDefault="00C200FB" w:rsidP="00427DC4">
            <w:pPr>
              <w:spacing w:before="100" w:after="100" w:line="312" w:lineRule="auto"/>
            </w:pPr>
            <w:r w:rsidRPr="00584012">
              <w:t xml:space="preserve">Provides independent advice and assurance to the Board, as the NDIA’s accountable authority, in accordance with the: </w:t>
            </w:r>
          </w:p>
          <w:p w14:paraId="75FEBCCB" w14:textId="10EF5322" w:rsidR="00C200FB" w:rsidRPr="00584012" w:rsidRDefault="00C200FB" w:rsidP="00427DC4">
            <w:pPr>
              <w:pStyle w:val="TableBullet"/>
              <w:spacing w:line="312" w:lineRule="auto"/>
            </w:pPr>
            <w:r w:rsidRPr="00584012">
              <w:t>PGPA Act</w:t>
            </w:r>
          </w:p>
          <w:p w14:paraId="489D9CD4" w14:textId="6684D514" w:rsidR="00C200FB" w:rsidRPr="00584012" w:rsidRDefault="00C200FB" w:rsidP="00427DC4">
            <w:pPr>
              <w:pStyle w:val="TableBullet"/>
              <w:spacing w:line="312" w:lineRule="auto"/>
            </w:pPr>
            <w:r w:rsidRPr="00584012">
              <w:t>PGPA Rule</w:t>
            </w:r>
          </w:p>
          <w:p w14:paraId="61963CC4" w14:textId="3EE807ED" w:rsidR="00C200FB" w:rsidRPr="00584012" w:rsidRDefault="00C200FB" w:rsidP="00427DC4">
            <w:pPr>
              <w:pStyle w:val="TableBullet"/>
              <w:spacing w:line="312" w:lineRule="auto"/>
            </w:pPr>
            <w:r w:rsidRPr="00584012">
              <w:t>NDIS Act</w:t>
            </w:r>
          </w:p>
          <w:p w14:paraId="5BA61D8B" w14:textId="48550449" w:rsidR="00C200FB" w:rsidRPr="00584012" w:rsidRDefault="00C200FB" w:rsidP="00427DC4">
            <w:pPr>
              <w:pStyle w:val="TableBullet"/>
              <w:spacing w:line="312" w:lineRule="auto"/>
            </w:pPr>
            <w:r w:rsidRPr="00584012">
              <w:t>National Disability Insurance Scheme – Risk Management Rules 2013.</w:t>
            </w:r>
          </w:p>
          <w:p w14:paraId="0EC83E62" w14:textId="061019DB" w:rsidR="00C200FB" w:rsidRPr="00584012" w:rsidRDefault="00C200FB" w:rsidP="00427DC4">
            <w:pPr>
              <w:spacing w:before="100" w:after="100" w:line="312" w:lineRule="auto"/>
            </w:pPr>
            <w:r w:rsidRPr="00584012">
              <w:t>The committee reviews and provides advice to the Board on the appropriateness of the NDIA’s:</w:t>
            </w:r>
          </w:p>
          <w:p w14:paraId="330DE3C2" w14:textId="0092428F" w:rsidR="00C200FB" w:rsidRPr="00584012" w:rsidRDefault="00C200FB" w:rsidP="00427DC4">
            <w:pPr>
              <w:pStyle w:val="TableBullet"/>
              <w:spacing w:line="312" w:lineRule="auto"/>
            </w:pPr>
            <w:r w:rsidRPr="00584012">
              <w:t>financial reporting</w:t>
            </w:r>
          </w:p>
          <w:p w14:paraId="36E75F1F" w14:textId="0CCCD592" w:rsidR="00C200FB" w:rsidRPr="00584012" w:rsidRDefault="00C200FB" w:rsidP="00427DC4">
            <w:pPr>
              <w:pStyle w:val="TableBullet"/>
              <w:spacing w:line="312" w:lineRule="auto"/>
            </w:pPr>
            <w:r w:rsidRPr="00584012">
              <w:t>performance reporting</w:t>
            </w:r>
          </w:p>
          <w:p w14:paraId="6538F357" w14:textId="5159A553" w:rsidR="00C200FB" w:rsidRPr="00584012" w:rsidRDefault="00C200FB" w:rsidP="00427DC4">
            <w:pPr>
              <w:pStyle w:val="TableBullet"/>
              <w:spacing w:line="312" w:lineRule="auto"/>
            </w:pPr>
            <w:r w:rsidRPr="00584012">
              <w:t>systems of risk oversight and management, for fraud, legal, safety and security risks</w:t>
            </w:r>
          </w:p>
          <w:p w14:paraId="54DC2A98" w14:textId="32BC98FD" w:rsidR="00C200FB" w:rsidRPr="00584012" w:rsidRDefault="00C200FB" w:rsidP="00427DC4">
            <w:pPr>
              <w:pStyle w:val="TableBullet"/>
              <w:spacing w:line="312" w:lineRule="auto"/>
            </w:pPr>
            <w:r w:rsidRPr="00584012">
              <w:t>systems of internal control mechanisms.</w:t>
            </w:r>
          </w:p>
          <w:p w14:paraId="1D5AE8D4" w14:textId="4F31B1AE" w:rsidR="00C200FB" w:rsidRPr="00584012" w:rsidRDefault="00C200FB" w:rsidP="00427DC4">
            <w:pPr>
              <w:pStyle w:val="TableBody0"/>
              <w:spacing w:line="312" w:lineRule="auto"/>
            </w:pPr>
            <w:r w:rsidRPr="00584012">
              <w:t>The Australian National Audit Office attends Audit and Risk Committee meetings as the NDIA’s external auditor</w:t>
            </w:r>
            <w:r w:rsidR="00384F61" w:rsidRPr="00584012">
              <w:t>.</w:t>
            </w:r>
          </w:p>
        </w:tc>
        <w:tc>
          <w:tcPr>
            <w:tcW w:w="2410" w:type="dxa"/>
          </w:tcPr>
          <w:p w14:paraId="43A2DE2A" w14:textId="52F085FA" w:rsidR="00C200FB" w:rsidRPr="00584012" w:rsidRDefault="00C200FB" w:rsidP="00427DC4">
            <w:pPr>
              <w:pStyle w:val="TableBody0"/>
              <w:spacing w:line="312" w:lineRule="auto"/>
            </w:pPr>
            <w:r w:rsidRPr="00584012">
              <w:t>Dr Graeme Innes AM (Chair)</w:t>
            </w:r>
          </w:p>
          <w:p w14:paraId="5A31C03B" w14:textId="05E9E790" w:rsidR="00C200FB" w:rsidRPr="00584012" w:rsidRDefault="00CD3F31" w:rsidP="00427DC4">
            <w:pPr>
              <w:pStyle w:val="TableBody0"/>
              <w:spacing w:line="312" w:lineRule="auto"/>
            </w:pPr>
            <w:r w:rsidRPr="00584012">
              <w:t xml:space="preserve">Mr </w:t>
            </w:r>
            <w:r w:rsidR="006D4FB1">
              <w:t>Asimakis (</w:t>
            </w:r>
            <w:r w:rsidR="004556C2">
              <w:t>Mark</w:t>
            </w:r>
            <w:r w:rsidR="006D4FB1">
              <w:t>)</w:t>
            </w:r>
            <w:r w:rsidR="00C200FB" w:rsidRPr="00584012">
              <w:t xml:space="preserve"> Darras</w:t>
            </w:r>
          </w:p>
          <w:p w14:paraId="41A88282" w14:textId="77777777" w:rsidR="00C200FB" w:rsidRPr="00584012" w:rsidRDefault="00C200FB" w:rsidP="00427DC4">
            <w:pPr>
              <w:pStyle w:val="TableBody0"/>
              <w:spacing w:line="312" w:lineRule="auto"/>
            </w:pPr>
            <w:r w:rsidRPr="00584012">
              <w:t>Dr Ian Watt AC</w:t>
            </w:r>
          </w:p>
        </w:tc>
      </w:tr>
      <w:tr w:rsidR="00C200FB" w:rsidRPr="00584012" w14:paraId="5FBFC9DA" w14:textId="77777777" w:rsidTr="00DB3D52">
        <w:trPr>
          <w:cnfStyle w:val="000000010000" w:firstRow="0" w:lastRow="0" w:firstColumn="0" w:lastColumn="0" w:oddVBand="0" w:evenVBand="0" w:oddHBand="0" w:evenHBand="1" w:firstRowFirstColumn="0" w:firstRowLastColumn="0" w:lastRowFirstColumn="0" w:lastRowLastColumn="0"/>
          <w:cantSplit/>
        </w:trPr>
        <w:tc>
          <w:tcPr>
            <w:tcW w:w="1696" w:type="dxa"/>
          </w:tcPr>
          <w:p w14:paraId="33334DB0" w14:textId="77777777" w:rsidR="00C200FB" w:rsidRPr="00584012" w:rsidRDefault="00C200FB" w:rsidP="00427DC4">
            <w:pPr>
              <w:pStyle w:val="TableBody0"/>
              <w:spacing w:line="312" w:lineRule="auto"/>
            </w:pPr>
            <w:r w:rsidRPr="00584012">
              <w:t>Sustainability Committee</w:t>
            </w:r>
          </w:p>
        </w:tc>
        <w:tc>
          <w:tcPr>
            <w:tcW w:w="5103" w:type="dxa"/>
          </w:tcPr>
          <w:p w14:paraId="523830AE" w14:textId="7050B31D" w:rsidR="00C200FB" w:rsidRPr="00584012" w:rsidRDefault="00C200FB" w:rsidP="00427DC4">
            <w:pPr>
              <w:pStyle w:val="TableBody0"/>
              <w:spacing w:line="312" w:lineRule="auto"/>
            </w:pPr>
            <w:r w:rsidRPr="00584012">
              <w:t xml:space="preserve">Provides advice on assessing, monitoring, reporting on and </w:t>
            </w:r>
            <w:r w:rsidR="00384F61" w:rsidRPr="00584012">
              <w:t xml:space="preserve">managing </w:t>
            </w:r>
            <w:r w:rsidRPr="00584012">
              <w:t>the financial sustainability of the NDIS</w:t>
            </w:r>
            <w:r w:rsidR="00384F61" w:rsidRPr="00584012">
              <w:t>.</w:t>
            </w:r>
          </w:p>
        </w:tc>
        <w:tc>
          <w:tcPr>
            <w:tcW w:w="2410" w:type="dxa"/>
          </w:tcPr>
          <w:p w14:paraId="50B05196" w14:textId="436192D5" w:rsidR="00C200FB" w:rsidRPr="00584012" w:rsidRDefault="00CD3F31" w:rsidP="00427DC4">
            <w:pPr>
              <w:pStyle w:val="TableBody0"/>
              <w:spacing w:line="312" w:lineRule="auto"/>
            </w:pPr>
            <w:r w:rsidRPr="00584012">
              <w:t xml:space="preserve">Ms </w:t>
            </w:r>
            <w:r w:rsidR="00C200FB" w:rsidRPr="00584012">
              <w:t>Estelle Pearson (Chair)</w:t>
            </w:r>
          </w:p>
          <w:p w14:paraId="1736C12F" w14:textId="48344FB5" w:rsidR="00C200FB" w:rsidRPr="00584012" w:rsidRDefault="00CD3F31" w:rsidP="00427DC4">
            <w:pPr>
              <w:pStyle w:val="TableBody0"/>
              <w:spacing w:line="312" w:lineRule="auto"/>
            </w:pPr>
            <w:r w:rsidRPr="00584012">
              <w:t xml:space="preserve">Mr </w:t>
            </w:r>
            <w:r w:rsidR="00C200FB" w:rsidRPr="00584012">
              <w:t>Kurt Fearnley AO</w:t>
            </w:r>
          </w:p>
          <w:p w14:paraId="2A9DEBD0" w14:textId="6A851DA9" w:rsidR="00C200FB" w:rsidRPr="00584012" w:rsidRDefault="00CD3F31" w:rsidP="00427DC4">
            <w:pPr>
              <w:pStyle w:val="TableBody0"/>
              <w:spacing w:line="312" w:lineRule="auto"/>
            </w:pPr>
            <w:r w:rsidRPr="00584012">
              <w:t xml:space="preserve">Ms </w:t>
            </w:r>
            <w:r w:rsidR="00C200FB" w:rsidRPr="00584012">
              <w:t>Leah van Poppel</w:t>
            </w:r>
          </w:p>
          <w:p w14:paraId="076C45D6" w14:textId="77777777" w:rsidR="00C200FB" w:rsidRPr="00584012" w:rsidRDefault="00C200FB" w:rsidP="00427DC4">
            <w:pPr>
              <w:pStyle w:val="TableBody0"/>
              <w:spacing w:line="312" w:lineRule="auto"/>
            </w:pPr>
            <w:r w:rsidRPr="00584012">
              <w:t>Dr Richard Fejo</w:t>
            </w:r>
          </w:p>
        </w:tc>
      </w:tr>
      <w:tr w:rsidR="00C200FB" w:rsidRPr="00584012" w14:paraId="1DF9E3E5" w14:textId="77777777" w:rsidTr="00DB3D52">
        <w:trPr>
          <w:cnfStyle w:val="000000100000" w:firstRow="0" w:lastRow="0" w:firstColumn="0" w:lastColumn="0" w:oddVBand="0" w:evenVBand="0" w:oddHBand="1" w:evenHBand="0" w:firstRowFirstColumn="0" w:firstRowLastColumn="0" w:lastRowFirstColumn="0" w:lastRowLastColumn="0"/>
          <w:cantSplit/>
        </w:trPr>
        <w:tc>
          <w:tcPr>
            <w:tcW w:w="1696" w:type="dxa"/>
          </w:tcPr>
          <w:p w14:paraId="5BAFA95A" w14:textId="77777777" w:rsidR="00C200FB" w:rsidRPr="00584012" w:rsidRDefault="00C200FB" w:rsidP="00427DC4">
            <w:pPr>
              <w:pStyle w:val="TableBody0"/>
              <w:spacing w:line="312" w:lineRule="auto"/>
            </w:pPr>
            <w:r w:rsidRPr="00584012">
              <w:t>People and Outcomes Committee</w:t>
            </w:r>
          </w:p>
        </w:tc>
        <w:tc>
          <w:tcPr>
            <w:tcW w:w="5103" w:type="dxa"/>
          </w:tcPr>
          <w:p w14:paraId="7D00D6E1" w14:textId="35009F52" w:rsidR="00C200FB" w:rsidRPr="00584012" w:rsidRDefault="00C200FB" w:rsidP="00427DC4">
            <w:pPr>
              <w:pStyle w:val="TableBody0"/>
              <w:spacing w:line="312" w:lineRule="auto"/>
            </w:pPr>
            <w:r w:rsidRPr="00584012">
              <w:t xml:space="preserve">Supports the Board to determine the objectives, strategies and policies for the </w:t>
            </w:r>
            <w:r w:rsidR="00384F61" w:rsidRPr="00584012">
              <w:t>NDIA</w:t>
            </w:r>
            <w:r w:rsidRPr="00584012">
              <w:t>, with a focus on people, including staff and participants</w:t>
            </w:r>
            <w:r w:rsidR="009C4978">
              <w:t>.</w:t>
            </w:r>
            <w:r w:rsidR="00C36A9F" w:rsidRPr="00584012">
              <w:t xml:space="preserve"> It also includes </w:t>
            </w:r>
            <w:r w:rsidR="00937A02" w:rsidRPr="00584012">
              <w:t xml:space="preserve">a focus on </w:t>
            </w:r>
            <w:r w:rsidR="00475F9C" w:rsidRPr="00584012">
              <w:t xml:space="preserve">workplace </w:t>
            </w:r>
            <w:r w:rsidRPr="00584012">
              <w:t xml:space="preserve">culture and the outcomes delivered for people in the </w:t>
            </w:r>
            <w:r w:rsidR="00937A02" w:rsidRPr="00584012">
              <w:t xml:space="preserve">NDIA </w:t>
            </w:r>
            <w:r w:rsidRPr="00584012">
              <w:t xml:space="preserve">and the </w:t>
            </w:r>
            <w:r w:rsidR="00384F61" w:rsidRPr="00584012">
              <w:t>NDIS</w:t>
            </w:r>
            <w:r w:rsidRPr="00584012">
              <w:t>.</w:t>
            </w:r>
          </w:p>
        </w:tc>
        <w:tc>
          <w:tcPr>
            <w:tcW w:w="2410" w:type="dxa"/>
          </w:tcPr>
          <w:p w14:paraId="2440793D" w14:textId="69A2483B" w:rsidR="00C200FB" w:rsidRPr="00584012" w:rsidRDefault="00CD3F31" w:rsidP="00427DC4">
            <w:pPr>
              <w:pStyle w:val="TableBody0"/>
              <w:spacing w:line="312" w:lineRule="auto"/>
            </w:pPr>
            <w:r w:rsidRPr="00584012">
              <w:t xml:space="preserve">Mr </w:t>
            </w:r>
            <w:r w:rsidR="00C200FB" w:rsidRPr="00584012">
              <w:t>Kurt Fearnley AO (Chair)</w:t>
            </w:r>
          </w:p>
          <w:p w14:paraId="5877EA9B" w14:textId="31342164" w:rsidR="00C200FB" w:rsidRPr="00584012" w:rsidRDefault="00CD3F31" w:rsidP="00427DC4">
            <w:pPr>
              <w:pStyle w:val="TableBody0"/>
              <w:spacing w:line="312" w:lineRule="auto"/>
            </w:pPr>
            <w:r w:rsidRPr="00584012">
              <w:t xml:space="preserve">Ms </w:t>
            </w:r>
            <w:r w:rsidR="00C200FB" w:rsidRPr="00584012">
              <w:t>Leah van Poppel</w:t>
            </w:r>
          </w:p>
          <w:p w14:paraId="0B702729" w14:textId="77777777" w:rsidR="00C200FB" w:rsidRPr="00584012" w:rsidRDefault="00C200FB" w:rsidP="00427DC4">
            <w:pPr>
              <w:pStyle w:val="TableBody0"/>
              <w:spacing w:line="312" w:lineRule="auto"/>
            </w:pPr>
            <w:r w:rsidRPr="00584012">
              <w:t>Dr Richard Fejo</w:t>
            </w:r>
          </w:p>
          <w:p w14:paraId="689B041E" w14:textId="77777777" w:rsidR="00C200FB" w:rsidRPr="00584012" w:rsidRDefault="00C200FB" w:rsidP="00427DC4">
            <w:pPr>
              <w:pStyle w:val="TableBody0"/>
              <w:spacing w:line="312" w:lineRule="auto"/>
            </w:pPr>
            <w:r w:rsidRPr="00584012">
              <w:t>Dr Rhonda Galbally AC</w:t>
            </w:r>
          </w:p>
        </w:tc>
      </w:tr>
    </w:tbl>
    <w:p w14:paraId="3DF6D96C" w14:textId="77777777" w:rsidR="004624AC" w:rsidRPr="00584012" w:rsidRDefault="004624AC" w:rsidP="006B4979">
      <w:pPr>
        <w:pStyle w:val="Heading5"/>
      </w:pPr>
      <w:r w:rsidRPr="00584012">
        <w:t>Committee meeting attendance by each Board member</w:t>
      </w:r>
    </w:p>
    <w:p w14:paraId="41FFEC89" w14:textId="7D8AF9B0" w:rsidR="009429DC" w:rsidRPr="00584012" w:rsidRDefault="004540CE" w:rsidP="004540CE">
      <w:pPr>
        <w:pStyle w:val="Caption"/>
      </w:pPr>
      <w:r>
        <w:t>Table</w:t>
      </w:r>
      <w:r w:rsidR="00CA6C9B">
        <w:t xml:space="preserve"> </w:t>
      </w:r>
      <w:r w:rsidR="0068179C">
        <w:rPr>
          <w:noProof/>
        </w:rPr>
        <w:t>19</w:t>
      </w:r>
      <w:r>
        <w:t xml:space="preserve">. </w:t>
      </w:r>
      <w:r w:rsidR="009429DC" w:rsidRPr="00584012">
        <w:t xml:space="preserve">Number of committee meetings attended by Board members in </w:t>
      </w:r>
      <w:r w:rsidR="00525F8B">
        <w:br/>
      </w:r>
      <w:r w:rsidR="009429DC" w:rsidRPr="00584012">
        <w:t>2025–26</w:t>
      </w:r>
    </w:p>
    <w:tbl>
      <w:tblPr>
        <w:tblStyle w:val="NDISTable1"/>
        <w:tblW w:w="9242"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3458"/>
        <w:gridCol w:w="1928"/>
        <w:gridCol w:w="1928"/>
        <w:gridCol w:w="1928"/>
      </w:tblGrid>
      <w:tr w:rsidR="000A26CB" w:rsidRPr="00584012" w14:paraId="58FFCA6C" w14:textId="6C2A9575" w:rsidTr="00D11860">
        <w:trPr>
          <w:cnfStyle w:val="100000000000" w:firstRow="1" w:lastRow="0" w:firstColumn="0" w:lastColumn="0" w:oddVBand="0" w:evenVBand="0" w:oddHBand="0" w:evenHBand="0" w:firstRowFirstColumn="0" w:firstRowLastColumn="0" w:lastRowFirstColumn="0" w:lastRowLastColumn="0"/>
        </w:trPr>
        <w:tc>
          <w:tcPr>
            <w:tcW w:w="3458" w:type="dxa"/>
          </w:tcPr>
          <w:p w14:paraId="29D785DD" w14:textId="77777777" w:rsidR="000A26CB" w:rsidRPr="00584012" w:rsidRDefault="000A26CB" w:rsidP="009D4BF2">
            <w:pPr>
              <w:pStyle w:val="TableBody0"/>
              <w:spacing w:before="80" w:after="80" w:line="312" w:lineRule="auto"/>
              <w:rPr>
                <w:b/>
                <w:bCs/>
              </w:rPr>
            </w:pPr>
            <w:r w:rsidRPr="00584012">
              <w:rPr>
                <w:bCs/>
              </w:rPr>
              <w:t>Board member</w:t>
            </w:r>
          </w:p>
        </w:tc>
        <w:tc>
          <w:tcPr>
            <w:tcW w:w="1928" w:type="dxa"/>
          </w:tcPr>
          <w:p w14:paraId="241D2F10" w14:textId="17B2F4CB" w:rsidR="000A26CB" w:rsidRPr="00584012" w:rsidRDefault="000A26CB" w:rsidP="009D4BF2">
            <w:pPr>
              <w:pStyle w:val="TableBody0"/>
              <w:spacing w:before="80" w:after="80" w:line="312" w:lineRule="auto"/>
              <w:jc w:val="right"/>
              <w:rPr>
                <w:bCs/>
              </w:rPr>
            </w:pPr>
            <w:r w:rsidRPr="00584012">
              <w:rPr>
                <w:bCs/>
              </w:rPr>
              <w:t>Audit and Risk Committee</w:t>
            </w:r>
          </w:p>
        </w:tc>
        <w:tc>
          <w:tcPr>
            <w:tcW w:w="1928" w:type="dxa"/>
          </w:tcPr>
          <w:p w14:paraId="7F2B4BBC" w14:textId="71CB6CE3" w:rsidR="000A26CB" w:rsidRPr="00584012" w:rsidRDefault="000A26CB" w:rsidP="009D4BF2">
            <w:pPr>
              <w:pStyle w:val="TableBody0"/>
              <w:spacing w:before="80" w:after="80" w:line="312" w:lineRule="auto"/>
              <w:jc w:val="right"/>
              <w:rPr>
                <w:b/>
                <w:bCs/>
              </w:rPr>
            </w:pPr>
            <w:r w:rsidRPr="00584012">
              <w:rPr>
                <w:bCs/>
              </w:rPr>
              <w:t>Sustainability Committee</w:t>
            </w:r>
          </w:p>
        </w:tc>
        <w:tc>
          <w:tcPr>
            <w:tcW w:w="1928" w:type="dxa"/>
          </w:tcPr>
          <w:p w14:paraId="38B48CA3" w14:textId="3D4B6331" w:rsidR="000A26CB" w:rsidRPr="00584012" w:rsidRDefault="000A26CB" w:rsidP="009D4BF2">
            <w:pPr>
              <w:pStyle w:val="TableBody0"/>
              <w:spacing w:before="80" w:after="80" w:line="312" w:lineRule="auto"/>
              <w:jc w:val="right"/>
              <w:rPr>
                <w:bCs/>
              </w:rPr>
            </w:pPr>
            <w:r w:rsidRPr="00584012">
              <w:rPr>
                <w:bCs/>
              </w:rPr>
              <w:t>People and Outcomes Committee</w:t>
            </w:r>
          </w:p>
        </w:tc>
      </w:tr>
      <w:tr w:rsidR="000A26CB" w:rsidRPr="00584012" w14:paraId="5C253A62" w14:textId="6115CF5A" w:rsidTr="00D11860">
        <w:trPr>
          <w:cnfStyle w:val="000000100000" w:firstRow="0" w:lastRow="0" w:firstColumn="0" w:lastColumn="0" w:oddVBand="0" w:evenVBand="0" w:oddHBand="1" w:evenHBand="0" w:firstRowFirstColumn="0" w:firstRowLastColumn="0" w:lastRowFirstColumn="0" w:lastRowLastColumn="0"/>
          <w:cantSplit/>
        </w:trPr>
        <w:tc>
          <w:tcPr>
            <w:tcW w:w="3458" w:type="dxa"/>
          </w:tcPr>
          <w:p w14:paraId="680577E2" w14:textId="77777777" w:rsidR="000A26CB" w:rsidRPr="00584012" w:rsidRDefault="000A26CB" w:rsidP="009D4BF2">
            <w:pPr>
              <w:pStyle w:val="TableBody0"/>
              <w:spacing w:before="80" w:after="80" w:line="312" w:lineRule="auto"/>
            </w:pPr>
            <w:r w:rsidRPr="00584012">
              <w:rPr>
                <w:rFonts w:asciiTheme="minorHAnsi" w:hAnsiTheme="minorHAnsi" w:cstheme="minorHAnsi"/>
                <w:szCs w:val="24"/>
              </w:rPr>
              <w:t>Mr Kurt Fearnley AO (Chair)</w:t>
            </w:r>
          </w:p>
        </w:tc>
        <w:tc>
          <w:tcPr>
            <w:tcW w:w="1928" w:type="dxa"/>
          </w:tcPr>
          <w:p w14:paraId="3E753397" w14:textId="4765CB64" w:rsidR="000A26CB" w:rsidRPr="00584012" w:rsidRDefault="000A26CB" w:rsidP="009D4BF2">
            <w:pPr>
              <w:pStyle w:val="TableBody0"/>
              <w:spacing w:before="80" w:after="80" w:line="312" w:lineRule="auto"/>
              <w:jc w:val="right"/>
            </w:pPr>
            <w:r w:rsidRPr="00584012">
              <w:t>5</w:t>
            </w:r>
          </w:p>
        </w:tc>
        <w:tc>
          <w:tcPr>
            <w:tcW w:w="1928" w:type="dxa"/>
          </w:tcPr>
          <w:p w14:paraId="6D586118" w14:textId="089CCC55" w:rsidR="000A26CB" w:rsidRPr="00584012" w:rsidRDefault="000A26CB" w:rsidP="009D4BF2">
            <w:pPr>
              <w:pStyle w:val="TableBody0"/>
              <w:spacing w:before="80" w:after="80" w:line="312" w:lineRule="auto"/>
              <w:jc w:val="right"/>
            </w:pPr>
            <w:r w:rsidRPr="00584012">
              <w:t>7</w:t>
            </w:r>
            <w:r w:rsidRPr="00584012">
              <w:rPr>
                <w:rFonts w:asciiTheme="minorHAnsi" w:hAnsiTheme="minorHAnsi" w:cstheme="minorHAnsi"/>
                <w:color w:val="000000"/>
                <w:szCs w:val="24"/>
                <w:vertAlign w:val="superscript"/>
              </w:rPr>
              <w:t>1</w:t>
            </w:r>
          </w:p>
        </w:tc>
        <w:tc>
          <w:tcPr>
            <w:tcW w:w="1928" w:type="dxa"/>
          </w:tcPr>
          <w:p w14:paraId="1CC09EF7" w14:textId="10292B31" w:rsidR="000A26CB" w:rsidRPr="00584012" w:rsidRDefault="000A26CB" w:rsidP="009D4BF2">
            <w:pPr>
              <w:pStyle w:val="TableBody0"/>
              <w:spacing w:before="80" w:after="80" w:line="312" w:lineRule="auto"/>
              <w:jc w:val="right"/>
            </w:pPr>
            <w:r w:rsidRPr="00584012">
              <w:t>6</w:t>
            </w:r>
          </w:p>
        </w:tc>
      </w:tr>
      <w:tr w:rsidR="000A26CB" w:rsidRPr="00584012" w14:paraId="16409487" w14:textId="488F8D44" w:rsidTr="00D11860">
        <w:trPr>
          <w:cnfStyle w:val="000000010000" w:firstRow="0" w:lastRow="0" w:firstColumn="0" w:lastColumn="0" w:oddVBand="0" w:evenVBand="0" w:oddHBand="0" w:evenHBand="1" w:firstRowFirstColumn="0" w:firstRowLastColumn="0" w:lastRowFirstColumn="0" w:lastRowLastColumn="0"/>
          <w:cantSplit/>
        </w:trPr>
        <w:tc>
          <w:tcPr>
            <w:tcW w:w="3458" w:type="dxa"/>
          </w:tcPr>
          <w:p w14:paraId="1B3D9A8B" w14:textId="4EF4FA74" w:rsidR="000A26CB" w:rsidRPr="00584012" w:rsidRDefault="000A26CB" w:rsidP="009D4BF2">
            <w:pPr>
              <w:pStyle w:val="TableBody0"/>
              <w:spacing w:before="80" w:after="80" w:line="312" w:lineRule="auto"/>
            </w:pPr>
            <w:r w:rsidRPr="00584012">
              <w:rPr>
                <w:rFonts w:asciiTheme="minorHAnsi" w:hAnsiTheme="minorHAnsi" w:cstheme="minorHAnsi"/>
                <w:color w:val="000000"/>
                <w:szCs w:val="24"/>
              </w:rPr>
              <w:t>Ms Estelle Pearson</w:t>
            </w:r>
          </w:p>
        </w:tc>
        <w:tc>
          <w:tcPr>
            <w:tcW w:w="1928" w:type="dxa"/>
          </w:tcPr>
          <w:p w14:paraId="262CC57B" w14:textId="27388549" w:rsidR="000A26CB" w:rsidRPr="00584012" w:rsidRDefault="000A26CB" w:rsidP="009D4BF2">
            <w:pPr>
              <w:pStyle w:val="TableBody0"/>
              <w:spacing w:before="80" w:after="80" w:line="312" w:lineRule="auto"/>
              <w:jc w:val="right"/>
            </w:pPr>
            <w:r w:rsidRPr="00584012">
              <w:t>0</w:t>
            </w:r>
          </w:p>
        </w:tc>
        <w:tc>
          <w:tcPr>
            <w:tcW w:w="1928" w:type="dxa"/>
          </w:tcPr>
          <w:p w14:paraId="37F80EE9" w14:textId="28678381" w:rsidR="000A26CB" w:rsidRPr="00584012" w:rsidRDefault="000A26CB" w:rsidP="009D4BF2">
            <w:pPr>
              <w:pStyle w:val="TableBody0"/>
              <w:spacing w:before="80" w:after="80" w:line="312" w:lineRule="auto"/>
              <w:jc w:val="right"/>
            </w:pPr>
            <w:r w:rsidRPr="00584012">
              <w:t>6</w:t>
            </w:r>
          </w:p>
        </w:tc>
        <w:tc>
          <w:tcPr>
            <w:tcW w:w="1928" w:type="dxa"/>
          </w:tcPr>
          <w:p w14:paraId="462B5214" w14:textId="166AA8DB" w:rsidR="000A26CB" w:rsidRPr="00584012" w:rsidRDefault="000A26CB" w:rsidP="009D4BF2">
            <w:pPr>
              <w:pStyle w:val="TableBody0"/>
              <w:spacing w:before="80" w:after="80" w:line="312" w:lineRule="auto"/>
              <w:jc w:val="right"/>
            </w:pPr>
            <w:r w:rsidRPr="00584012">
              <w:t>1</w:t>
            </w:r>
          </w:p>
        </w:tc>
      </w:tr>
      <w:tr w:rsidR="000A26CB" w:rsidRPr="00584012" w14:paraId="4CCBBD25" w14:textId="312FECA7" w:rsidTr="00D11860">
        <w:trPr>
          <w:cnfStyle w:val="000000100000" w:firstRow="0" w:lastRow="0" w:firstColumn="0" w:lastColumn="0" w:oddVBand="0" w:evenVBand="0" w:oddHBand="1" w:evenHBand="0" w:firstRowFirstColumn="0" w:firstRowLastColumn="0" w:lastRowFirstColumn="0" w:lastRowLastColumn="0"/>
          <w:cantSplit/>
        </w:trPr>
        <w:tc>
          <w:tcPr>
            <w:tcW w:w="3458" w:type="dxa"/>
          </w:tcPr>
          <w:p w14:paraId="468EB5BE" w14:textId="1585701C" w:rsidR="000A26CB" w:rsidRPr="00584012" w:rsidRDefault="000A26CB" w:rsidP="009D4BF2">
            <w:pPr>
              <w:pStyle w:val="TableBody0"/>
              <w:spacing w:before="80" w:after="80" w:line="312" w:lineRule="auto"/>
            </w:pPr>
            <w:r w:rsidRPr="00584012">
              <w:rPr>
                <w:rFonts w:asciiTheme="minorHAnsi" w:hAnsiTheme="minorHAnsi" w:cstheme="minorHAnsi"/>
                <w:color w:val="000000"/>
                <w:szCs w:val="24"/>
              </w:rPr>
              <w:t>Ms Leah van Poppel</w:t>
            </w:r>
          </w:p>
        </w:tc>
        <w:tc>
          <w:tcPr>
            <w:tcW w:w="1928" w:type="dxa"/>
          </w:tcPr>
          <w:p w14:paraId="2B0A9C8C" w14:textId="3E5DFFB6" w:rsidR="000A26CB" w:rsidRPr="00584012" w:rsidRDefault="000A26CB" w:rsidP="009D4BF2">
            <w:pPr>
              <w:pStyle w:val="TableBody0"/>
              <w:spacing w:before="80" w:after="80" w:line="312" w:lineRule="auto"/>
              <w:jc w:val="right"/>
            </w:pPr>
            <w:r w:rsidRPr="00584012">
              <w:t>1</w:t>
            </w:r>
          </w:p>
        </w:tc>
        <w:tc>
          <w:tcPr>
            <w:tcW w:w="1928" w:type="dxa"/>
          </w:tcPr>
          <w:p w14:paraId="65B9B199" w14:textId="68F8C781" w:rsidR="000A26CB" w:rsidRPr="00584012" w:rsidRDefault="000A26CB" w:rsidP="009D4BF2">
            <w:pPr>
              <w:pStyle w:val="TableBody0"/>
              <w:spacing w:before="80" w:after="80" w:line="312" w:lineRule="auto"/>
              <w:jc w:val="right"/>
            </w:pPr>
            <w:r w:rsidRPr="00584012">
              <w:t>7</w:t>
            </w:r>
          </w:p>
        </w:tc>
        <w:tc>
          <w:tcPr>
            <w:tcW w:w="1928" w:type="dxa"/>
          </w:tcPr>
          <w:p w14:paraId="169695C4" w14:textId="14DC99ED" w:rsidR="000A26CB" w:rsidRPr="00584012" w:rsidRDefault="000A26CB" w:rsidP="009D4BF2">
            <w:pPr>
              <w:pStyle w:val="TableBody0"/>
              <w:spacing w:before="80" w:after="80" w:line="312" w:lineRule="auto"/>
              <w:jc w:val="right"/>
            </w:pPr>
            <w:r w:rsidRPr="00584012">
              <w:t>5</w:t>
            </w:r>
          </w:p>
        </w:tc>
      </w:tr>
      <w:tr w:rsidR="000A26CB" w:rsidRPr="00584012" w14:paraId="0E2CD010" w14:textId="5FB5A7E3" w:rsidTr="00D11860">
        <w:trPr>
          <w:cnfStyle w:val="000000010000" w:firstRow="0" w:lastRow="0" w:firstColumn="0" w:lastColumn="0" w:oddVBand="0" w:evenVBand="0" w:oddHBand="0" w:evenHBand="1" w:firstRowFirstColumn="0" w:firstRowLastColumn="0" w:lastRowFirstColumn="0" w:lastRowLastColumn="0"/>
          <w:cantSplit/>
        </w:trPr>
        <w:tc>
          <w:tcPr>
            <w:tcW w:w="3458" w:type="dxa"/>
          </w:tcPr>
          <w:p w14:paraId="3F24231C" w14:textId="025784F1" w:rsidR="000A26CB" w:rsidRPr="00584012" w:rsidRDefault="000A26CB" w:rsidP="009D4BF2">
            <w:pPr>
              <w:pStyle w:val="TableBody0"/>
              <w:spacing w:before="80" w:after="80" w:line="312" w:lineRule="auto"/>
              <w:rPr>
                <w:rFonts w:asciiTheme="minorHAnsi" w:hAnsiTheme="minorHAnsi" w:cstheme="minorHAnsi"/>
                <w:color w:val="000000"/>
                <w:szCs w:val="24"/>
              </w:rPr>
            </w:pPr>
            <w:r w:rsidRPr="00584012">
              <w:rPr>
                <w:rFonts w:asciiTheme="minorHAnsi" w:hAnsiTheme="minorHAnsi" w:cstheme="minorHAnsi"/>
                <w:color w:val="000000"/>
                <w:szCs w:val="24"/>
              </w:rPr>
              <w:t>Dr Denis Napthine AO</w:t>
            </w:r>
            <w:r w:rsidRPr="00584012">
              <w:rPr>
                <w:rFonts w:asciiTheme="minorHAnsi" w:hAnsiTheme="minorHAnsi" w:cstheme="minorHAnsi"/>
                <w:color w:val="000000"/>
                <w:szCs w:val="24"/>
                <w:vertAlign w:val="superscript"/>
              </w:rPr>
              <w:t>2</w:t>
            </w:r>
          </w:p>
        </w:tc>
        <w:tc>
          <w:tcPr>
            <w:tcW w:w="1928" w:type="dxa"/>
          </w:tcPr>
          <w:p w14:paraId="7580494E" w14:textId="3727B9D1" w:rsidR="000A26CB" w:rsidRPr="00584012" w:rsidRDefault="000A26CB" w:rsidP="009D4BF2">
            <w:pPr>
              <w:pStyle w:val="TableBody0"/>
              <w:spacing w:before="80" w:after="80" w:line="312" w:lineRule="auto"/>
              <w:jc w:val="right"/>
            </w:pPr>
            <w:r w:rsidRPr="00584012">
              <w:t>5</w:t>
            </w:r>
          </w:p>
        </w:tc>
        <w:tc>
          <w:tcPr>
            <w:tcW w:w="1928" w:type="dxa"/>
          </w:tcPr>
          <w:p w14:paraId="57DDE902" w14:textId="196FEA68" w:rsidR="000A26CB" w:rsidRPr="00584012" w:rsidRDefault="000A26CB" w:rsidP="009D4BF2">
            <w:pPr>
              <w:pStyle w:val="TableBody0"/>
              <w:spacing w:before="80" w:after="80" w:line="312" w:lineRule="auto"/>
              <w:jc w:val="right"/>
            </w:pPr>
            <w:r w:rsidRPr="00584012">
              <w:t>5</w:t>
            </w:r>
          </w:p>
        </w:tc>
        <w:tc>
          <w:tcPr>
            <w:tcW w:w="1928" w:type="dxa"/>
          </w:tcPr>
          <w:p w14:paraId="56F6AB9F" w14:textId="6E09CDB2" w:rsidR="000A26CB" w:rsidRPr="00584012" w:rsidRDefault="000A26CB" w:rsidP="009D4BF2">
            <w:pPr>
              <w:pStyle w:val="TableBody0"/>
              <w:spacing w:before="80" w:after="80" w:line="312" w:lineRule="auto"/>
              <w:jc w:val="right"/>
            </w:pPr>
            <w:r w:rsidRPr="00584012">
              <w:t>5</w:t>
            </w:r>
          </w:p>
        </w:tc>
      </w:tr>
      <w:tr w:rsidR="000A26CB" w:rsidRPr="00584012" w14:paraId="3D9CF15E" w14:textId="5E1456FD" w:rsidTr="00D11860">
        <w:trPr>
          <w:cnfStyle w:val="000000100000" w:firstRow="0" w:lastRow="0" w:firstColumn="0" w:lastColumn="0" w:oddVBand="0" w:evenVBand="0" w:oddHBand="1" w:evenHBand="0" w:firstRowFirstColumn="0" w:firstRowLastColumn="0" w:lastRowFirstColumn="0" w:lastRowLastColumn="0"/>
          <w:cantSplit/>
        </w:trPr>
        <w:tc>
          <w:tcPr>
            <w:tcW w:w="3458" w:type="dxa"/>
          </w:tcPr>
          <w:p w14:paraId="6836B5B9" w14:textId="77777777" w:rsidR="000A26CB" w:rsidRPr="00584012" w:rsidRDefault="000A26CB" w:rsidP="009D4BF2">
            <w:pPr>
              <w:pStyle w:val="TableBody0"/>
              <w:spacing w:before="80" w:after="80" w:line="312" w:lineRule="auto"/>
              <w:rPr>
                <w:rFonts w:asciiTheme="minorHAnsi" w:hAnsiTheme="minorHAnsi" w:cstheme="minorHAnsi"/>
                <w:color w:val="000000"/>
                <w:szCs w:val="24"/>
              </w:rPr>
            </w:pPr>
            <w:r w:rsidRPr="00584012">
              <w:rPr>
                <w:rFonts w:asciiTheme="minorHAnsi" w:hAnsiTheme="minorHAnsi" w:cstheme="minorHAnsi"/>
                <w:color w:val="000000"/>
                <w:szCs w:val="24"/>
              </w:rPr>
              <w:t>Dr Graeme Innes AM</w:t>
            </w:r>
          </w:p>
        </w:tc>
        <w:tc>
          <w:tcPr>
            <w:tcW w:w="1928" w:type="dxa"/>
          </w:tcPr>
          <w:p w14:paraId="39436DFD" w14:textId="0A105275" w:rsidR="000A26CB" w:rsidRPr="00584012" w:rsidRDefault="000A26CB" w:rsidP="009D4BF2">
            <w:pPr>
              <w:pStyle w:val="TableBody0"/>
              <w:spacing w:before="80" w:after="80" w:line="312" w:lineRule="auto"/>
              <w:jc w:val="right"/>
            </w:pPr>
            <w:r w:rsidRPr="00584012">
              <w:t>5</w:t>
            </w:r>
          </w:p>
        </w:tc>
        <w:tc>
          <w:tcPr>
            <w:tcW w:w="1928" w:type="dxa"/>
          </w:tcPr>
          <w:p w14:paraId="4599C3D3" w14:textId="26201E9F" w:rsidR="000A26CB" w:rsidRPr="00584012" w:rsidRDefault="000A26CB" w:rsidP="009D4BF2">
            <w:pPr>
              <w:pStyle w:val="TableBody0"/>
              <w:spacing w:before="80" w:after="80" w:line="312" w:lineRule="auto"/>
              <w:jc w:val="right"/>
            </w:pPr>
            <w:r w:rsidRPr="00584012">
              <w:t>1</w:t>
            </w:r>
          </w:p>
        </w:tc>
        <w:tc>
          <w:tcPr>
            <w:tcW w:w="1928" w:type="dxa"/>
          </w:tcPr>
          <w:p w14:paraId="4D5A1861" w14:textId="09251323" w:rsidR="000A26CB" w:rsidRPr="00584012" w:rsidRDefault="000A26CB" w:rsidP="009D4BF2">
            <w:pPr>
              <w:pStyle w:val="TableBody0"/>
              <w:spacing w:before="80" w:after="80" w:line="312" w:lineRule="auto"/>
              <w:jc w:val="right"/>
            </w:pPr>
            <w:r w:rsidRPr="00584012">
              <w:t>2</w:t>
            </w:r>
          </w:p>
        </w:tc>
      </w:tr>
      <w:tr w:rsidR="000A26CB" w:rsidRPr="00584012" w14:paraId="7D8D448A" w14:textId="7F93E195" w:rsidTr="00D11860">
        <w:trPr>
          <w:cnfStyle w:val="000000010000" w:firstRow="0" w:lastRow="0" w:firstColumn="0" w:lastColumn="0" w:oddVBand="0" w:evenVBand="0" w:oddHBand="0" w:evenHBand="1" w:firstRowFirstColumn="0" w:firstRowLastColumn="0" w:lastRowFirstColumn="0" w:lastRowLastColumn="0"/>
          <w:cantSplit/>
        </w:trPr>
        <w:tc>
          <w:tcPr>
            <w:tcW w:w="3458" w:type="dxa"/>
          </w:tcPr>
          <w:p w14:paraId="48E468FB" w14:textId="7293BD88" w:rsidR="000A26CB" w:rsidRPr="00584012" w:rsidRDefault="000A26CB" w:rsidP="009D4BF2">
            <w:pPr>
              <w:pStyle w:val="TableBody0"/>
              <w:spacing w:before="80" w:after="80" w:line="312" w:lineRule="auto"/>
              <w:rPr>
                <w:rFonts w:asciiTheme="minorHAnsi" w:hAnsiTheme="minorHAnsi" w:cstheme="minorHAnsi"/>
                <w:color w:val="000000"/>
                <w:szCs w:val="24"/>
              </w:rPr>
            </w:pPr>
            <w:r w:rsidRPr="00584012">
              <w:rPr>
                <w:rFonts w:asciiTheme="minorHAnsi" w:hAnsiTheme="minorHAnsi" w:cstheme="minorHAnsi"/>
                <w:color w:val="000000"/>
                <w:szCs w:val="24"/>
              </w:rPr>
              <w:t>Ms Maryanne Diamond AO</w:t>
            </w:r>
            <w:r w:rsidRPr="00584012">
              <w:rPr>
                <w:rFonts w:asciiTheme="minorHAnsi" w:hAnsiTheme="minorHAnsi" w:cstheme="minorHAnsi"/>
                <w:color w:val="000000"/>
                <w:szCs w:val="24"/>
                <w:vertAlign w:val="superscript"/>
              </w:rPr>
              <w:t>2</w:t>
            </w:r>
          </w:p>
        </w:tc>
        <w:tc>
          <w:tcPr>
            <w:tcW w:w="1928" w:type="dxa"/>
          </w:tcPr>
          <w:p w14:paraId="41BF520F" w14:textId="2F380994" w:rsidR="000A26CB" w:rsidRPr="00584012" w:rsidRDefault="000A26CB" w:rsidP="009D4BF2">
            <w:pPr>
              <w:pStyle w:val="TableBody0"/>
              <w:spacing w:before="80" w:after="80" w:line="312" w:lineRule="auto"/>
              <w:jc w:val="right"/>
            </w:pPr>
            <w:r w:rsidRPr="00584012">
              <w:t>4</w:t>
            </w:r>
          </w:p>
        </w:tc>
        <w:tc>
          <w:tcPr>
            <w:tcW w:w="1928" w:type="dxa"/>
          </w:tcPr>
          <w:p w14:paraId="6FD407B5" w14:textId="281827E5" w:rsidR="000A26CB" w:rsidRPr="00584012" w:rsidRDefault="000A26CB" w:rsidP="009D4BF2">
            <w:pPr>
              <w:pStyle w:val="TableBody0"/>
              <w:spacing w:before="80" w:after="80" w:line="312" w:lineRule="auto"/>
              <w:jc w:val="right"/>
            </w:pPr>
            <w:r w:rsidRPr="00584012">
              <w:t>5</w:t>
            </w:r>
          </w:p>
        </w:tc>
        <w:tc>
          <w:tcPr>
            <w:tcW w:w="1928" w:type="dxa"/>
          </w:tcPr>
          <w:p w14:paraId="67420DE2" w14:textId="6E5BE7B9" w:rsidR="000A26CB" w:rsidRPr="00584012" w:rsidRDefault="000A26CB" w:rsidP="009D4BF2">
            <w:pPr>
              <w:pStyle w:val="TableBody0"/>
              <w:spacing w:before="80" w:after="80" w:line="312" w:lineRule="auto"/>
              <w:jc w:val="right"/>
            </w:pPr>
            <w:r w:rsidRPr="00584012">
              <w:t>5</w:t>
            </w:r>
          </w:p>
        </w:tc>
      </w:tr>
      <w:tr w:rsidR="000A26CB" w:rsidRPr="00584012" w14:paraId="406EB4E6" w14:textId="13A0FAD4" w:rsidTr="00D11860">
        <w:trPr>
          <w:cnfStyle w:val="000000100000" w:firstRow="0" w:lastRow="0" w:firstColumn="0" w:lastColumn="0" w:oddVBand="0" w:evenVBand="0" w:oddHBand="1" w:evenHBand="0" w:firstRowFirstColumn="0" w:firstRowLastColumn="0" w:lastRowFirstColumn="0" w:lastRowLastColumn="0"/>
          <w:cantSplit/>
        </w:trPr>
        <w:tc>
          <w:tcPr>
            <w:tcW w:w="3458" w:type="dxa"/>
          </w:tcPr>
          <w:p w14:paraId="2F8B62DC" w14:textId="4CE40A55" w:rsidR="000A26CB" w:rsidRPr="00584012" w:rsidRDefault="000A26CB" w:rsidP="009D4BF2">
            <w:pPr>
              <w:pStyle w:val="TableBody0"/>
              <w:spacing w:before="80" w:after="80" w:line="312" w:lineRule="auto"/>
              <w:rPr>
                <w:rFonts w:asciiTheme="minorHAnsi" w:hAnsiTheme="minorHAnsi" w:cstheme="minorHAnsi"/>
                <w:color w:val="000000"/>
                <w:szCs w:val="24"/>
              </w:rPr>
            </w:pPr>
            <w:r w:rsidRPr="00584012">
              <w:rPr>
                <w:rFonts w:asciiTheme="minorHAnsi" w:hAnsiTheme="minorHAnsi" w:cstheme="minorHAnsi"/>
                <w:color w:val="000000"/>
                <w:szCs w:val="24"/>
              </w:rPr>
              <w:t>M</w:t>
            </w:r>
            <w:r w:rsidR="00E9622B">
              <w:rPr>
                <w:rFonts w:asciiTheme="minorHAnsi" w:hAnsiTheme="minorHAnsi" w:cstheme="minorHAnsi"/>
                <w:color w:val="000000"/>
                <w:szCs w:val="24"/>
              </w:rPr>
              <w:t>r</w:t>
            </w:r>
            <w:r w:rsidRPr="00584012">
              <w:rPr>
                <w:rFonts w:asciiTheme="minorHAnsi" w:hAnsiTheme="minorHAnsi" w:cstheme="minorHAnsi"/>
                <w:color w:val="000000"/>
                <w:szCs w:val="24"/>
              </w:rPr>
              <w:t>s Joan McKenna Kerr</w:t>
            </w:r>
            <w:r w:rsidRPr="00584012">
              <w:rPr>
                <w:rFonts w:asciiTheme="minorHAnsi" w:hAnsiTheme="minorHAnsi" w:cstheme="minorHAnsi"/>
                <w:color w:val="000000"/>
                <w:szCs w:val="24"/>
                <w:vertAlign w:val="superscript"/>
              </w:rPr>
              <w:t>2</w:t>
            </w:r>
          </w:p>
        </w:tc>
        <w:tc>
          <w:tcPr>
            <w:tcW w:w="1928" w:type="dxa"/>
          </w:tcPr>
          <w:p w14:paraId="6EDA2CAB" w14:textId="13D439A7" w:rsidR="000A26CB" w:rsidRPr="00584012" w:rsidRDefault="000A26CB" w:rsidP="009D4BF2">
            <w:pPr>
              <w:pStyle w:val="TableBody0"/>
              <w:spacing w:before="80" w:after="80" w:line="312" w:lineRule="auto"/>
              <w:jc w:val="right"/>
            </w:pPr>
            <w:r w:rsidRPr="00584012">
              <w:t>0</w:t>
            </w:r>
          </w:p>
        </w:tc>
        <w:tc>
          <w:tcPr>
            <w:tcW w:w="1928" w:type="dxa"/>
          </w:tcPr>
          <w:p w14:paraId="21FAE560" w14:textId="33EB8F03" w:rsidR="000A26CB" w:rsidRPr="00584012" w:rsidRDefault="000A26CB" w:rsidP="009D4BF2">
            <w:pPr>
              <w:pStyle w:val="TableBody0"/>
              <w:spacing w:before="80" w:after="80" w:line="312" w:lineRule="auto"/>
              <w:jc w:val="right"/>
            </w:pPr>
            <w:r w:rsidRPr="00584012">
              <w:t>0</w:t>
            </w:r>
          </w:p>
        </w:tc>
        <w:tc>
          <w:tcPr>
            <w:tcW w:w="1928" w:type="dxa"/>
          </w:tcPr>
          <w:p w14:paraId="21C34566" w14:textId="56D5A562" w:rsidR="000A26CB" w:rsidRPr="00584012" w:rsidRDefault="000A26CB" w:rsidP="009D4BF2">
            <w:pPr>
              <w:pStyle w:val="TableBody0"/>
              <w:spacing w:before="80" w:after="80" w:line="312" w:lineRule="auto"/>
              <w:jc w:val="right"/>
            </w:pPr>
            <w:r w:rsidRPr="00584012">
              <w:t>5</w:t>
            </w:r>
          </w:p>
        </w:tc>
      </w:tr>
      <w:tr w:rsidR="000A26CB" w:rsidRPr="00584012" w14:paraId="500B9F5F" w14:textId="7EC4D245" w:rsidTr="00D11860">
        <w:trPr>
          <w:cnfStyle w:val="000000010000" w:firstRow="0" w:lastRow="0" w:firstColumn="0" w:lastColumn="0" w:oddVBand="0" w:evenVBand="0" w:oddHBand="0" w:evenHBand="1" w:firstRowFirstColumn="0" w:firstRowLastColumn="0" w:lastRowFirstColumn="0" w:lastRowLastColumn="0"/>
          <w:cantSplit/>
        </w:trPr>
        <w:tc>
          <w:tcPr>
            <w:tcW w:w="3458" w:type="dxa"/>
          </w:tcPr>
          <w:p w14:paraId="721EA9B4" w14:textId="77777777" w:rsidR="000A26CB" w:rsidRPr="00584012" w:rsidRDefault="000A26CB" w:rsidP="009D4BF2">
            <w:pPr>
              <w:pStyle w:val="TableBody0"/>
              <w:spacing w:before="80" w:after="80" w:line="312" w:lineRule="auto"/>
              <w:rPr>
                <w:rFonts w:asciiTheme="minorHAnsi" w:hAnsiTheme="minorHAnsi" w:cstheme="minorHAnsi"/>
                <w:color w:val="000000"/>
                <w:szCs w:val="24"/>
              </w:rPr>
            </w:pPr>
            <w:r w:rsidRPr="00584012">
              <w:rPr>
                <w:rFonts w:asciiTheme="minorHAnsi" w:hAnsiTheme="minorHAnsi" w:cstheme="minorHAnsi"/>
                <w:color w:val="000000"/>
                <w:szCs w:val="24"/>
              </w:rPr>
              <w:t>Dr Richard Fejo</w:t>
            </w:r>
          </w:p>
        </w:tc>
        <w:tc>
          <w:tcPr>
            <w:tcW w:w="1928" w:type="dxa"/>
          </w:tcPr>
          <w:p w14:paraId="7BC9760F" w14:textId="4FB468B3" w:rsidR="000A26CB" w:rsidRPr="00584012" w:rsidRDefault="000A26CB" w:rsidP="009D4BF2">
            <w:pPr>
              <w:pStyle w:val="TableBody0"/>
              <w:spacing w:before="80" w:after="80" w:line="312" w:lineRule="auto"/>
              <w:jc w:val="right"/>
            </w:pPr>
            <w:r w:rsidRPr="00584012">
              <w:t>5</w:t>
            </w:r>
          </w:p>
        </w:tc>
        <w:tc>
          <w:tcPr>
            <w:tcW w:w="1928" w:type="dxa"/>
          </w:tcPr>
          <w:p w14:paraId="384F0362" w14:textId="0BF2C703" w:rsidR="000A26CB" w:rsidRPr="00584012" w:rsidRDefault="000A26CB" w:rsidP="009D4BF2">
            <w:pPr>
              <w:pStyle w:val="TableBody0"/>
              <w:spacing w:before="80" w:after="80" w:line="312" w:lineRule="auto"/>
              <w:jc w:val="right"/>
            </w:pPr>
            <w:r w:rsidRPr="00584012">
              <w:t>6</w:t>
            </w:r>
          </w:p>
        </w:tc>
        <w:tc>
          <w:tcPr>
            <w:tcW w:w="1928" w:type="dxa"/>
          </w:tcPr>
          <w:p w14:paraId="5FC39C79" w14:textId="5D368022" w:rsidR="000A26CB" w:rsidRPr="00584012" w:rsidRDefault="000A26CB" w:rsidP="009D4BF2">
            <w:pPr>
              <w:pStyle w:val="TableBody0"/>
              <w:spacing w:before="80" w:after="80" w:line="312" w:lineRule="auto"/>
              <w:jc w:val="right"/>
            </w:pPr>
            <w:r w:rsidRPr="00584012">
              <w:t>6</w:t>
            </w:r>
          </w:p>
        </w:tc>
      </w:tr>
      <w:tr w:rsidR="000A26CB" w:rsidRPr="00584012" w14:paraId="33169EAD" w14:textId="4E0EA703" w:rsidTr="00D11860">
        <w:trPr>
          <w:cnfStyle w:val="000000100000" w:firstRow="0" w:lastRow="0" w:firstColumn="0" w:lastColumn="0" w:oddVBand="0" w:evenVBand="0" w:oddHBand="1" w:evenHBand="0" w:firstRowFirstColumn="0" w:firstRowLastColumn="0" w:lastRowFirstColumn="0" w:lastRowLastColumn="0"/>
          <w:cantSplit/>
        </w:trPr>
        <w:tc>
          <w:tcPr>
            <w:tcW w:w="3458" w:type="dxa"/>
          </w:tcPr>
          <w:p w14:paraId="68EDEA82" w14:textId="073F3211" w:rsidR="000A26CB" w:rsidRPr="00584012" w:rsidRDefault="000A26CB" w:rsidP="009D4BF2">
            <w:pPr>
              <w:pStyle w:val="TableBody0"/>
              <w:spacing w:before="80" w:after="80" w:line="312" w:lineRule="auto"/>
              <w:rPr>
                <w:rFonts w:asciiTheme="minorHAnsi" w:hAnsiTheme="minorHAnsi" w:cstheme="minorHAnsi"/>
                <w:color w:val="000000"/>
                <w:szCs w:val="24"/>
              </w:rPr>
            </w:pPr>
            <w:r w:rsidRPr="00584012">
              <w:rPr>
                <w:rFonts w:asciiTheme="minorHAnsi" w:hAnsiTheme="minorHAnsi" w:cstheme="minorHAnsi"/>
                <w:color w:val="000000"/>
                <w:szCs w:val="24"/>
              </w:rPr>
              <w:t xml:space="preserve">Mr </w:t>
            </w:r>
            <w:r w:rsidR="006D02AB">
              <w:rPr>
                <w:rFonts w:asciiTheme="minorHAnsi" w:hAnsiTheme="minorHAnsi" w:cstheme="minorHAnsi"/>
                <w:color w:val="000000"/>
                <w:szCs w:val="24"/>
              </w:rPr>
              <w:t>Asimakis (</w:t>
            </w:r>
            <w:r w:rsidR="00247090">
              <w:rPr>
                <w:rFonts w:asciiTheme="minorHAnsi" w:hAnsiTheme="minorHAnsi" w:cstheme="minorHAnsi"/>
                <w:color w:val="000000"/>
                <w:szCs w:val="24"/>
              </w:rPr>
              <w:t>Mark</w:t>
            </w:r>
            <w:r w:rsidR="006D02AB">
              <w:rPr>
                <w:rFonts w:asciiTheme="minorHAnsi" w:hAnsiTheme="minorHAnsi" w:cstheme="minorHAnsi"/>
                <w:color w:val="000000"/>
                <w:szCs w:val="24"/>
              </w:rPr>
              <w:t>)</w:t>
            </w:r>
            <w:r w:rsidRPr="00584012">
              <w:rPr>
                <w:rFonts w:asciiTheme="minorHAnsi" w:hAnsiTheme="minorHAnsi" w:cstheme="minorHAnsi"/>
                <w:color w:val="000000"/>
                <w:szCs w:val="24"/>
              </w:rPr>
              <w:t xml:space="preserve"> Darras</w:t>
            </w:r>
          </w:p>
        </w:tc>
        <w:tc>
          <w:tcPr>
            <w:tcW w:w="1928" w:type="dxa"/>
          </w:tcPr>
          <w:p w14:paraId="395D8ADF" w14:textId="57217B3C" w:rsidR="000A26CB" w:rsidRPr="00584012" w:rsidRDefault="000A26CB" w:rsidP="009D4BF2">
            <w:pPr>
              <w:pStyle w:val="TableBody0"/>
              <w:spacing w:before="80" w:after="80" w:line="312" w:lineRule="auto"/>
              <w:jc w:val="right"/>
            </w:pPr>
            <w:r w:rsidRPr="00584012">
              <w:t>5</w:t>
            </w:r>
          </w:p>
        </w:tc>
        <w:tc>
          <w:tcPr>
            <w:tcW w:w="1928" w:type="dxa"/>
          </w:tcPr>
          <w:p w14:paraId="632E5F7F" w14:textId="4E41476A" w:rsidR="000A26CB" w:rsidRPr="00584012" w:rsidRDefault="000A26CB" w:rsidP="009D4BF2">
            <w:pPr>
              <w:pStyle w:val="TableBody0"/>
              <w:spacing w:before="80" w:after="80" w:line="312" w:lineRule="auto"/>
              <w:jc w:val="right"/>
            </w:pPr>
            <w:r w:rsidRPr="00584012">
              <w:t>1</w:t>
            </w:r>
          </w:p>
        </w:tc>
        <w:tc>
          <w:tcPr>
            <w:tcW w:w="1928" w:type="dxa"/>
          </w:tcPr>
          <w:p w14:paraId="2329F35C" w14:textId="0EDE88E6" w:rsidR="000A26CB" w:rsidRPr="00584012" w:rsidRDefault="000A26CB" w:rsidP="009D4BF2">
            <w:pPr>
              <w:pStyle w:val="TableBody0"/>
              <w:spacing w:before="80" w:after="80" w:line="312" w:lineRule="auto"/>
              <w:jc w:val="right"/>
            </w:pPr>
            <w:r w:rsidRPr="00584012">
              <w:t>1</w:t>
            </w:r>
          </w:p>
        </w:tc>
      </w:tr>
      <w:tr w:rsidR="000A26CB" w:rsidRPr="00584012" w14:paraId="1B4ACE7E" w14:textId="07ABE6E2" w:rsidTr="00D11860">
        <w:trPr>
          <w:cnfStyle w:val="000000010000" w:firstRow="0" w:lastRow="0" w:firstColumn="0" w:lastColumn="0" w:oddVBand="0" w:evenVBand="0" w:oddHBand="0" w:evenHBand="1" w:firstRowFirstColumn="0" w:firstRowLastColumn="0" w:lastRowFirstColumn="0" w:lastRowLastColumn="0"/>
          <w:cantSplit/>
        </w:trPr>
        <w:tc>
          <w:tcPr>
            <w:tcW w:w="3458" w:type="dxa"/>
          </w:tcPr>
          <w:p w14:paraId="05D21EE7" w14:textId="77777777" w:rsidR="000A26CB" w:rsidRPr="00584012" w:rsidRDefault="000A26CB" w:rsidP="009D4BF2">
            <w:pPr>
              <w:pStyle w:val="TableBody0"/>
              <w:spacing w:before="80" w:after="80" w:line="312" w:lineRule="auto"/>
              <w:rPr>
                <w:rFonts w:asciiTheme="minorHAnsi" w:hAnsiTheme="minorHAnsi" w:cstheme="minorHAnsi"/>
                <w:color w:val="000000"/>
                <w:szCs w:val="24"/>
              </w:rPr>
            </w:pPr>
            <w:r w:rsidRPr="00584012">
              <w:rPr>
                <w:rFonts w:asciiTheme="minorHAnsi" w:hAnsiTheme="minorHAnsi" w:cstheme="minorHAnsi"/>
                <w:color w:val="000000"/>
                <w:szCs w:val="24"/>
              </w:rPr>
              <w:t>Dr Ian Watt AC</w:t>
            </w:r>
          </w:p>
        </w:tc>
        <w:tc>
          <w:tcPr>
            <w:tcW w:w="1928" w:type="dxa"/>
          </w:tcPr>
          <w:p w14:paraId="3E4C27B4" w14:textId="3A818F54" w:rsidR="000A26CB" w:rsidRPr="00584012" w:rsidRDefault="000A26CB" w:rsidP="009D4BF2">
            <w:pPr>
              <w:pStyle w:val="TableBody0"/>
              <w:spacing w:before="80" w:after="80" w:line="312" w:lineRule="auto"/>
              <w:jc w:val="right"/>
            </w:pPr>
            <w:r w:rsidRPr="00584012">
              <w:t>4</w:t>
            </w:r>
          </w:p>
        </w:tc>
        <w:tc>
          <w:tcPr>
            <w:tcW w:w="1928" w:type="dxa"/>
          </w:tcPr>
          <w:p w14:paraId="178B772F" w14:textId="5C1C21DE" w:rsidR="000A26CB" w:rsidRPr="00584012" w:rsidRDefault="000A26CB" w:rsidP="009D4BF2">
            <w:pPr>
              <w:pStyle w:val="TableBody0"/>
              <w:spacing w:before="80" w:after="80" w:line="312" w:lineRule="auto"/>
              <w:jc w:val="right"/>
            </w:pPr>
            <w:r w:rsidRPr="00584012">
              <w:t>6</w:t>
            </w:r>
          </w:p>
        </w:tc>
        <w:tc>
          <w:tcPr>
            <w:tcW w:w="1928" w:type="dxa"/>
          </w:tcPr>
          <w:p w14:paraId="68C5287E" w14:textId="0A368C4A" w:rsidR="000A26CB" w:rsidRPr="00584012" w:rsidRDefault="000A26CB" w:rsidP="009D4BF2">
            <w:pPr>
              <w:pStyle w:val="TableBody0"/>
              <w:spacing w:before="80" w:after="80" w:line="312" w:lineRule="auto"/>
              <w:jc w:val="right"/>
            </w:pPr>
            <w:r w:rsidRPr="00584012">
              <w:t>2</w:t>
            </w:r>
          </w:p>
        </w:tc>
      </w:tr>
      <w:tr w:rsidR="000A26CB" w:rsidRPr="00584012" w14:paraId="29DBC624" w14:textId="6227C19E" w:rsidTr="00D11860">
        <w:trPr>
          <w:cnfStyle w:val="000000100000" w:firstRow="0" w:lastRow="0" w:firstColumn="0" w:lastColumn="0" w:oddVBand="0" w:evenVBand="0" w:oddHBand="1" w:evenHBand="0" w:firstRowFirstColumn="0" w:firstRowLastColumn="0" w:lastRowFirstColumn="0" w:lastRowLastColumn="0"/>
          <w:cantSplit/>
        </w:trPr>
        <w:tc>
          <w:tcPr>
            <w:tcW w:w="3458" w:type="dxa"/>
          </w:tcPr>
          <w:p w14:paraId="1FE07D29" w14:textId="77777777" w:rsidR="000A26CB" w:rsidRPr="00584012" w:rsidRDefault="000A26CB" w:rsidP="009D4BF2">
            <w:pPr>
              <w:pStyle w:val="TableBody0"/>
              <w:spacing w:before="80" w:after="80" w:line="312" w:lineRule="auto"/>
              <w:rPr>
                <w:rFonts w:asciiTheme="minorHAnsi" w:hAnsiTheme="minorHAnsi" w:cstheme="minorHAnsi"/>
                <w:color w:val="000000"/>
                <w:szCs w:val="24"/>
              </w:rPr>
            </w:pPr>
            <w:r w:rsidRPr="00584012">
              <w:rPr>
                <w:rFonts w:asciiTheme="minorHAnsi" w:hAnsiTheme="minorHAnsi" w:cstheme="minorHAnsi"/>
                <w:color w:val="000000"/>
                <w:szCs w:val="24"/>
              </w:rPr>
              <w:t>Dr Rhonda Galbally AC</w:t>
            </w:r>
          </w:p>
        </w:tc>
        <w:tc>
          <w:tcPr>
            <w:tcW w:w="1928" w:type="dxa"/>
          </w:tcPr>
          <w:p w14:paraId="3A0F2BE5" w14:textId="17645DE3" w:rsidR="000A26CB" w:rsidRPr="00584012" w:rsidRDefault="000A26CB" w:rsidP="009D4BF2">
            <w:pPr>
              <w:pStyle w:val="TableBody0"/>
              <w:spacing w:before="80" w:after="80" w:line="312" w:lineRule="auto"/>
              <w:jc w:val="right"/>
            </w:pPr>
            <w:r w:rsidRPr="00584012">
              <w:t>2</w:t>
            </w:r>
          </w:p>
        </w:tc>
        <w:tc>
          <w:tcPr>
            <w:tcW w:w="1928" w:type="dxa"/>
          </w:tcPr>
          <w:p w14:paraId="44B3DDFE" w14:textId="20C17E18" w:rsidR="000A26CB" w:rsidRPr="00584012" w:rsidRDefault="000A26CB" w:rsidP="009D4BF2">
            <w:pPr>
              <w:pStyle w:val="TableBody0"/>
              <w:spacing w:before="80" w:after="80" w:line="312" w:lineRule="auto"/>
              <w:jc w:val="right"/>
            </w:pPr>
            <w:r w:rsidRPr="00584012">
              <w:t>1</w:t>
            </w:r>
          </w:p>
        </w:tc>
        <w:tc>
          <w:tcPr>
            <w:tcW w:w="1928" w:type="dxa"/>
          </w:tcPr>
          <w:p w14:paraId="2A3BBF70" w14:textId="69B0B737" w:rsidR="000A26CB" w:rsidRPr="00584012" w:rsidRDefault="000A26CB" w:rsidP="009D4BF2">
            <w:pPr>
              <w:pStyle w:val="TableBody0"/>
              <w:spacing w:before="80" w:after="80" w:line="312" w:lineRule="auto"/>
              <w:jc w:val="right"/>
            </w:pPr>
            <w:r w:rsidRPr="00584012">
              <w:t>5</w:t>
            </w:r>
          </w:p>
        </w:tc>
      </w:tr>
      <w:tr w:rsidR="000A26CB" w:rsidRPr="00584012" w14:paraId="05401E97" w14:textId="2923D266" w:rsidTr="00D11860">
        <w:trPr>
          <w:cnfStyle w:val="000000010000" w:firstRow="0" w:lastRow="0" w:firstColumn="0" w:lastColumn="0" w:oddVBand="0" w:evenVBand="0" w:oddHBand="0" w:evenHBand="1" w:firstRowFirstColumn="0" w:firstRowLastColumn="0" w:lastRowFirstColumn="0" w:lastRowLastColumn="0"/>
          <w:cantSplit/>
        </w:trPr>
        <w:tc>
          <w:tcPr>
            <w:tcW w:w="3458" w:type="dxa"/>
          </w:tcPr>
          <w:p w14:paraId="6F4D2E30" w14:textId="74082461" w:rsidR="000A26CB" w:rsidRPr="00584012" w:rsidRDefault="000A26CB" w:rsidP="009D4BF2">
            <w:pPr>
              <w:pStyle w:val="TableBody0"/>
              <w:spacing w:before="80" w:after="80" w:line="312" w:lineRule="auto"/>
              <w:rPr>
                <w:rFonts w:asciiTheme="minorHAnsi" w:hAnsiTheme="minorHAnsi" w:cstheme="minorHAnsi"/>
                <w:color w:val="000000"/>
                <w:szCs w:val="24"/>
              </w:rPr>
            </w:pPr>
            <w:r w:rsidRPr="00584012">
              <w:rPr>
                <w:rFonts w:asciiTheme="minorHAnsi" w:hAnsiTheme="minorHAnsi" w:cstheme="minorHAnsi"/>
                <w:color w:val="000000"/>
                <w:szCs w:val="24"/>
              </w:rPr>
              <w:t>Ms Lois Boswell</w:t>
            </w:r>
            <w:r w:rsidRPr="00584012">
              <w:rPr>
                <w:rFonts w:asciiTheme="minorHAnsi" w:hAnsiTheme="minorHAnsi" w:cstheme="minorHAnsi"/>
                <w:color w:val="000000"/>
                <w:szCs w:val="24"/>
                <w:vertAlign w:val="superscript"/>
              </w:rPr>
              <w:t>3</w:t>
            </w:r>
          </w:p>
        </w:tc>
        <w:tc>
          <w:tcPr>
            <w:tcW w:w="1928" w:type="dxa"/>
          </w:tcPr>
          <w:p w14:paraId="5E792436" w14:textId="0072952D" w:rsidR="000A26CB" w:rsidRPr="00584012" w:rsidRDefault="000A26CB" w:rsidP="009D4BF2">
            <w:pPr>
              <w:pStyle w:val="TableBody0"/>
              <w:spacing w:before="80" w:after="80" w:line="312" w:lineRule="auto"/>
              <w:jc w:val="right"/>
            </w:pPr>
            <w:r w:rsidRPr="00584012">
              <w:t>0</w:t>
            </w:r>
          </w:p>
        </w:tc>
        <w:tc>
          <w:tcPr>
            <w:tcW w:w="1928" w:type="dxa"/>
          </w:tcPr>
          <w:p w14:paraId="2098589B" w14:textId="668D86CC" w:rsidR="000A26CB" w:rsidRPr="00584012" w:rsidRDefault="000A26CB" w:rsidP="009D4BF2">
            <w:pPr>
              <w:pStyle w:val="TableBody0"/>
              <w:spacing w:before="80" w:after="80" w:line="312" w:lineRule="auto"/>
              <w:jc w:val="right"/>
            </w:pPr>
            <w:r w:rsidRPr="00584012">
              <w:t>0</w:t>
            </w:r>
          </w:p>
        </w:tc>
        <w:tc>
          <w:tcPr>
            <w:tcW w:w="1928" w:type="dxa"/>
          </w:tcPr>
          <w:p w14:paraId="5E4B5271" w14:textId="3B71ABFF" w:rsidR="000A26CB" w:rsidRPr="00584012" w:rsidRDefault="000A26CB" w:rsidP="009D4BF2">
            <w:pPr>
              <w:pStyle w:val="TableBody0"/>
              <w:spacing w:before="80" w:after="80" w:line="312" w:lineRule="auto"/>
              <w:jc w:val="right"/>
            </w:pPr>
            <w:r w:rsidRPr="00584012">
              <w:t>0</w:t>
            </w:r>
          </w:p>
        </w:tc>
      </w:tr>
      <w:tr w:rsidR="000A26CB" w:rsidRPr="00584012" w14:paraId="728ECC94" w14:textId="0B3DAC80" w:rsidTr="00D11860">
        <w:trPr>
          <w:cnfStyle w:val="000000100000" w:firstRow="0" w:lastRow="0" w:firstColumn="0" w:lastColumn="0" w:oddVBand="0" w:evenVBand="0" w:oddHBand="1" w:evenHBand="0" w:firstRowFirstColumn="0" w:firstRowLastColumn="0" w:lastRowFirstColumn="0" w:lastRowLastColumn="0"/>
          <w:cantSplit/>
        </w:trPr>
        <w:tc>
          <w:tcPr>
            <w:tcW w:w="3458" w:type="dxa"/>
          </w:tcPr>
          <w:p w14:paraId="07E24A12" w14:textId="776890A0" w:rsidR="000A26CB" w:rsidRPr="00584012" w:rsidRDefault="000A26CB" w:rsidP="009D4BF2">
            <w:pPr>
              <w:pStyle w:val="TableBody0"/>
              <w:spacing w:before="80" w:after="80" w:line="312" w:lineRule="auto"/>
              <w:rPr>
                <w:rFonts w:asciiTheme="minorHAnsi" w:hAnsiTheme="minorHAnsi" w:cstheme="minorHAnsi"/>
                <w:color w:val="000000"/>
                <w:szCs w:val="24"/>
              </w:rPr>
            </w:pPr>
            <w:r w:rsidRPr="00584012">
              <w:rPr>
                <w:rFonts w:asciiTheme="minorHAnsi" w:hAnsiTheme="minorHAnsi" w:cstheme="minorHAnsi"/>
                <w:color w:val="000000"/>
                <w:szCs w:val="24"/>
              </w:rPr>
              <w:t>Mr Nigel Ray PSM</w:t>
            </w:r>
            <w:r w:rsidRPr="00584012">
              <w:rPr>
                <w:rFonts w:asciiTheme="minorHAnsi" w:hAnsiTheme="minorHAnsi" w:cstheme="minorHAnsi"/>
                <w:color w:val="000000"/>
                <w:szCs w:val="24"/>
                <w:vertAlign w:val="superscript"/>
              </w:rPr>
              <w:t>3</w:t>
            </w:r>
          </w:p>
        </w:tc>
        <w:tc>
          <w:tcPr>
            <w:tcW w:w="1928" w:type="dxa"/>
          </w:tcPr>
          <w:p w14:paraId="069684A4" w14:textId="46D18C4E" w:rsidR="000A26CB" w:rsidRPr="00584012" w:rsidRDefault="000A26CB" w:rsidP="009D4BF2">
            <w:pPr>
              <w:pStyle w:val="TableBody0"/>
              <w:spacing w:before="80" w:after="80" w:line="312" w:lineRule="auto"/>
              <w:jc w:val="right"/>
            </w:pPr>
            <w:r w:rsidRPr="00584012">
              <w:t>0</w:t>
            </w:r>
          </w:p>
        </w:tc>
        <w:tc>
          <w:tcPr>
            <w:tcW w:w="1928" w:type="dxa"/>
          </w:tcPr>
          <w:p w14:paraId="2FB2F7A7" w14:textId="55F08120" w:rsidR="000A26CB" w:rsidRPr="00584012" w:rsidRDefault="000A26CB" w:rsidP="009D4BF2">
            <w:pPr>
              <w:pStyle w:val="TableBody0"/>
              <w:spacing w:before="80" w:after="80" w:line="312" w:lineRule="auto"/>
              <w:jc w:val="right"/>
            </w:pPr>
            <w:r w:rsidRPr="00584012">
              <w:t>0</w:t>
            </w:r>
          </w:p>
        </w:tc>
        <w:tc>
          <w:tcPr>
            <w:tcW w:w="1928" w:type="dxa"/>
          </w:tcPr>
          <w:p w14:paraId="580F5F66" w14:textId="12E02883" w:rsidR="000A26CB" w:rsidRPr="00584012" w:rsidRDefault="000A26CB" w:rsidP="009D4BF2">
            <w:pPr>
              <w:pStyle w:val="TableBody0"/>
              <w:spacing w:before="80" w:after="80" w:line="312" w:lineRule="auto"/>
              <w:jc w:val="right"/>
            </w:pPr>
            <w:r w:rsidRPr="00584012">
              <w:t>0</w:t>
            </w:r>
          </w:p>
        </w:tc>
      </w:tr>
      <w:tr w:rsidR="000A26CB" w:rsidRPr="00584012" w14:paraId="6B1F957A" w14:textId="7B9D5555" w:rsidTr="00D11860">
        <w:trPr>
          <w:cnfStyle w:val="000000010000" w:firstRow="0" w:lastRow="0" w:firstColumn="0" w:lastColumn="0" w:oddVBand="0" w:evenVBand="0" w:oddHBand="0" w:evenHBand="1" w:firstRowFirstColumn="0" w:firstRowLastColumn="0" w:lastRowFirstColumn="0" w:lastRowLastColumn="0"/>
          <w:cantSplit/>
        </w:trPr>
        <w:tc>
          <w:tcPr>
            <w:tcW w:w="3458" w:type="dxa"/>
          </w:tcPr>
          <w:p w14:paraId="6B4B441F" w14:textId="01813FD7" w:rsidR="000A26CB" w:rsidRPr="00584012" w:rsidRDefault="000A26CB" w:rsidP="009D4BF2">
            <w:pPr>
              <w:pStyle w:val="TableBody0"/>
              <w:spacing w:before="80" w:after="80" w:line="312" w:lineRule="auto"/>
              <w:rPr>
                <w:rFonts w:asciiTheme="minorHAnsi" w:hAnsiTheme="minorHAnsi" w:cstheme="minorHAnsi"/>
                <w:color w:val="000000"/>
                <w:szCs w:val="24"/>
              </w:rPr>
            </w:pPr>
            <w:r w:rsidRPr="00584012">
              <w:rPr>
                <w:rFonts w:asciiTheme="minorHAnsi" w:hAnsiTheme="minorHAnsi" w:cstheme="minorHAnsi"/>
                <w:color w:val="000000"/>
                <w:szCs w:val="24"/>
              </w:rPr>
              <w:t>Ms Jane Spring AM</w:t>
            </w:r>
            <w:r w:rsidRPr="00584012">
              <w:rPr>
                <w:rFonts w:asciiTheme="minorHAnsi" w:hAnsiTheme="minorHAnsi" w:cstheme="minorHAnsi"/>
                <w:color w:val="000000"/>
                <w:szCs w:val="24"/>
                <w:vertAlign w:val="superscript"/>
              </w:rPr>
              <w:t>3</w:t>
            </w:r>
          </w:p>
        </w:tc>
        <w:tc>
          <w:tcPr>
            <w:tcW w:w="1928" w:type="dxa"/>
          </w:tcPr>
          <w:p w14:paraId="024B188E" w14:textId="70006593" w:rsidR="000A26CB" w:rsidRPr="00584012" w:rsidRDefault="000A26CB" w:rsidP="009D4BF2">
            <w:pPr>
              <w:pStyle w:val="TableBody0"/>
              <w:spacing w:before="80" w:after="80" w:line="312" w:lineRule="auto"/>
              <w:jc w:val="right"/>
            </w:pPr>
            <w:r w:rsidRPr="00584012">
              <w:t>0</w:t>
            </w:r>
          </w:p>
        </w:tc>
        <w:tc>
          <w:tcPr>
            <w:tcW w:w="1928" w:type="dxa"/>
          </w:tcPr>
          <w:p w14:paraId="18245512" w14:textId="08C4D5CF" w:rsidR="000A26CB" w:rsidRPr="00584012" w:rsidRDefault="000A26CB" w:rsidP="009D4BF2">
            <w:pPr>
              <w:pStyle w:val="TableBody0"/>
              <w:spacing w:before="80" w:after="80" w:line="312" w:lineRule="auto"/>
              <w:jc w:val="right"/>
            </w:pPr>
            <w:r w:rsidRPr="00584012">
              <w:t>0</w:t>
            </w:r>
          </w:p>
        </w:tc>
        <w:tc>
          <w:tcPr>
            <w:tcW w:w="1928" w:type="dxa"/>
          </w:tcPr>
          <w:p w14:paraId="5DDF99CF" w14:textId="3C7ED905" w:rsidR="000A26CB" w:rsidRPr="00584012" w:rsidRDefault="000A26CB" w:rsidP="009D4BF2">
            <w:pPr>
              <w:pStyle w:val="TableBody0"/>
              <w:spacing w:before="80" w:after="80" w:line="312" w:lineRule="auto"/>
              <w:jc w:val="right"/>
            </w:pPr>
            <w:r w:rsidRPr="00584012">
              <w:t>0</w:t>
            </w:r>
          </w:p>
        </w:tc>
      </w:tr>
    </w:tbl>
    <w:p w14:paraId="3AB199F6" w14:textId="117730A9" w:rsidR="00487500" w:rsidRPr="00DE5551" w:rsidRDefault="00487500" w:rsidP="00D11860">
      <w:pPr>
        <w:pStyle w:val="Tablenote"/>
        <w:rPr>
          <w:b/>
        </w:rPr>
      </w:pPr>
      <w:r w:rsidRPr="00DE5551">
        <w:rPr>
          <w:b/>
        </w:rPr>
        <w:t>Notes:</w:t>
      </w:r>
    </w:p>
    <w:p w14:paraId="651FEE54" w14:textId="77777777" w:rsidR="00233BDD" w:rsidRPr="00584012" w:rsidRDefault="00233BDD" w:rsidP="00D11860">
      <w:pPr>
        <w:pStyle w:val="Tablenote"/>
      </w:pPr>
      <w:r w:rsidRPr="00584012">
        <w:t>1 Mr Fearnley was acting Chair on behalf of Ms Pearson for the September 2025 Sustainability Committee meeting.</w:t>
      </w:r>
    </w:p>
    <w:p w14:paraId="07170012" w14:textId="567ADC5E" w:rsidR="00846BDA" w:rsidRPr="00584012" w:rsidRDefault="00233BDD" w:rsidP="00D11860">
      <w:pPr>
        <w:pStyle w:val="Tablenote"/>
      </w:pPr>
      <w:r w:rsidRPr="00584012">
        <w:t>2</w:t>
      </w:r>
      <w:r w:rsidR="00384F61" w:rsidRPr="00584012">
        <w:t xml:space="preserve"> </w:t>
      </w:r>
      <w:r w:rsidR="00846BDA" w:rsidRPr="00584012">
        <w:t>Board membership term expired 16 June 2026.</w:t>
      </w:r>
    </w:p>
    <w:p w14:paraId="186A6FD5" w14:textId="26A7C406" w:rsidR="00846BDA" w:rsidRPr="00584012" w:rsidRDefault="00233BDD" w:rsidP="00D11860">
      <w:pPr>
        <w:pStyle w:val="Tablenote"/>
      </w:pPr>
      <w:r w:rsidRPr="00584012">
        <w:t>3</w:t>
      </w:r>
      <w:r w:rsidR="00384F61" w:rsidRPr="00584012">
        <w:t xml:space="preserve"> </w:t>
      </w:r>
      <w:r w:rsidR="00846BDA" w:rsidRPr="00584012">
        <w:t>Appointed to the Board on 17 June 2026</w:t>
      </w:r>
      <w:r w:rsidR="00384F61" w:rsidRPr="00584012">
        <w:t>,</w:t>
      </w:r>
      <w:r w:rsidR="00846BDA" w:rsidRPr="00584012">
        <w:t xml:space="preserve"> and there were no further committee meetings held before the end of the reporting period.</w:t>
      </w:r>
    </w:p>
    <w:p w14:paraId="393B4D57" w14:textId="77777777" w:rsidR="00FA2A35" w:rsidRPr="00584012" w:rsidRDefault="00FA2A35" w:rsidP="00D11860">
      <w:pPr>
        <w:pStyle w:val="Tablenote"/>
        <w:rPr>
          <w:b/>
        </w:rPr>
        <w:sectPr w:rsidR="00FA2A35" w:rsidRPr="00584012" w:rsidSect="00EB1047">
          <w:type w:val="continuous"/>
          <w:pgSz w:w="11906" w:h="16838" w:code="9"/>
          <w:pgMar w:top="1247" w:right="1361" w:bottom="1247" w:left="1361" w:header="567" w:footer="454" w:gutter="0"/>
          <w:cols w:space="708"/>
          <w:docGrid w:linePitch="360"/>
        </w:sectPr>
      </w:pPr>
    </w:p>
    <w:p w14:paraId="3312C49E" w14:textId="6C02A3B6" w:rsidR="004624AC" w:rsidRPr="00584012" w:rsidRDefault="004624AC" w:rsidP="007945C4">
      <w:pPr>
        <w:pStyle w:val="Heading4"/>
      </w:pPr>
      <w:r w:rsidRPr="00584012">
        <w:t>Audit and Risk Committee</w:t>
      </w:r>
    </w:p>
    <w:p w14:paraId="1B51C559" w14:textId="77777777" w:rsidR="00FD1807" w:rsidRPr="00584012" w:rsidRDefault="00FD1807" w:rsidP="00FD1807">
      <w:pPr>
        <w:pStyle w:val="Heading5"/>
      </w:pPr>
      <w:r w:rsidRPr="00584012">
        <w:t>Board Audit and Risk Committee charter</w:t>
      </w:r>
    </w:p>
    <w:p w14:paraId="6474535E" w14:textId="6E5784AE" w:rsidR="00DD7B55" w:rsidRPr="00584012" w:rsidRDefault="00DD7B55" w:rsidP="00DD7B55">
      <w:r w:rsidRPr="00584012">
        <w:t xml:space="preserve">The charter </w:t>
      </w:r>
      <w:r w:rsidR="002033AC" w:rsidRPr="00584012">
        <w:t xml:space="preserve">that </w:t>
      </w:r>
      <w:r w:rsidRPr="00584012">
        <w:t>determin</w:t>
      </w:r>
      <w:r w:rsidR="002033AC" w:rsidRPr="00584012">
        <w:t>es</w:t>
      </w:r>
      <w:r w:rsidRPr="00584012">
        <w:t xml:space="preserve"> the functions of the audit committee is available </w:t>
      </w:r>
      <w:r w:rsidR="00384F61" w:rsidRPr="00584012">
        <w:t>on the NDIS website</w:t>
      </w:r>
      <w:r w:rsidRPr="00584012">
        <w:t xml:space="preserve">: </w:t>
      </w:r>
      <w:hyperlink r:id="rId56" w:history="1">
        <w:r w:rsidRPr="00584012">
          <w:rPr>
            <w:rStyle w:val="Hyperlink"/>
          </w:rPr>
          <w:t>Board of the National Disability Insurance Agency</w:t>
        </w:r>
      </w:hyperlink>
      <w:r w:rsidRPr="00584012">
        <w:t>.</w:t>
      </w:r>
    </w:p>
    <w:p w14:paraId="720DBC35" w14:textId="5799CCAC" w:rsidR="00D33AED" w:rsidRPr="00584012" w:rsidRDefault="004540CE" w:rsidP="00D33AED">
      <w:pPr>
        <w:pStyle w:val="Caption"/>
      </w:pPr>
      <w:r>
        <w:t>Table</w:t>
      </w:r>
      <w:r w:rsidR="00D02377">
        <w:t xml:space="preserve"> </w:t>
      </w:r>
      <w:r w:rsidR="0007555E">
        <w:rPr>
          <w:noProof/>
        </w:rPr>
        <w:t>2</w:t>
      </w:r>
      <w:r w:rsidR="0068179C">
        <w:rPr>
          <w:noProof/>
        </w:rPr>
        <w:t>0</w:t>
      </w:r>
      <w:r>
        <w:t xml:space="preserve">. </w:t>
      </w:r>
      <w:r w:rsidR="009D3658" w:rsidRPr="00584012">
        <w:t xml:space="preserve">Board </w:t>
      </w:r>
      <w:r w:rsidR="00BD0708" w:rsidRPr="00584012">
        <w:t>Audit and Risk Committee</w:t>
      </w:r>
      <w:r w:rsidR="009D3658" w:rsidRPr="00584012">
        <w:t xml:space="preserve"> remuneration</w:t>
      </w:r>
    </w:p>
    <w:tbl>
      <w:tblPr>
        <w:tblStyle w:val="NDISTable1"/>
        <w:tblW w:w="0" w:type="auto"/>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2689"/>
        <w:gridCol w:w="5103"/>
        <w:gridCol w:w="1275"/>
        <w:gridCol w:w="1560"/>
        <w:gridCol w:w="1657"/>
        <w:gridCol w:w="2050"/>
      </w:tblGrid>
      <w:tr w:rsidR="007D3800" w:rsidRPr="00D02377" w14:paraId="0A8BDFFD" w14:textId="77777777" w:rsidTr="00D11860">
        <w:trPr>
          <w:cnfStyle w:val="100000000000" w:firstRow="1" w:lastRow="0" w:firstColumn="0" w:lastColumn="0" w:oddVBand="0" w:evenVBand="0" w:oddHBand="0" w:evenHBand="0" w:firstRowFirstColumn="0" w:firstRowLastColumn="0" w:lastRowFirstColumn="0" w:lastRowLastColumn="0"/>
        </w:trPr>
        <w:tc>
          <w:tcPr>
            <w:tcW w:w="2689" w:type="dxa"/>
          </w:tcPr>
          <w:p w14:paraId="03C9D70D" w14:textId="77777777" w:rsidR="007D3800" w:rsidRPr="00D02377" w:rsidRDefault="007D3800" w:rsidP="00E0624A">
            <w:pPr>
              <w:pStyle w:val="TableBody0"/>
              <w:spacing w:before="80" w:after="80" w:line="288" w:lineRule="auto"/>
            </w:pPr>
            <w:r w:rsidRPr="00CD348A">
              <w:t>Member name</w:t>
            </w:r>
          </w:p>
        </w:tc>
        <w:tc>
          <w:tcPr>
            <w:tcW w:w="5103" w:type="dxa"/>
          </w:tcPr>
          <w:p w14:paraId="714BAE3D" w14:textId="77777777" w:rsidR="007D3800" w:rsidRPr="00D02377" w:rsidRDefault="007D3800" w:rsidP="00E0624A">
            <w:pPr>
              <w:pStyle w:val="TableBody0"/>
              <w:spacing w:before="80" w:after="80" w:line="288" w:lineRule="auto"/>
            </w:pPr>
            <w:r w:rsidRPr="00CD348A">
              <w:t>Qualifications, knowledge, skills or experience</w:t>
            </w:r>
          </w:p>
        </w:tc>
        <w:tc>
          <w:tcPr>
            <w:tcW w:w="1275" w:type="dxa"/>
          </w:tcPr>
          <w:p w14:paraId="7F6853EA" w14:textId="77777777" w:rsidR="007D3800" w:rsidRPr="00D02377" w:rsidRDefault="007D3800" w:rsidP="00E0624A">
            <w:pPr>
              <w:pStyle w:val="TableBody0"/>
              <w:spacing w:before="80" w:after="80" w:line="288" w:lineRule="auto"/>
              <w:jc w:val="right"/>
            </w:pPr>
            <w:r w:rsidRPr="00CD348A">
              <w:t xml:space="preserve">Number of meetings attended </w:t>
            </w:r>
          </w:p>
        </w:tc>
        <w:tc>
          <w:tcPr>
            <w:tcW w:w="1560" w:type="dxa"/>
          </w:tcPr>
          <w:p w14:paraId="60683EA7" w14:textId="77777777" w:rsidR="007D3800" w:rsidRPr="00D02377" w:rsidRDefault="007D3800" w:rsidP="00E0624A">
            <w:pPr>
              <w:pStyle w:val="TableBody0"/>
              <w:spacing w:before="80" w:after="80" w:line="288" w:lineRule="auto"/>
              <w:jc w:val="right"/>
            </w:pPr>
            <w:r w:rsidRPr="00CD348A">
              <w:t>Total number of meetings held</w:t>
            </w:r>
          </w:p>
        </w:tc>
        <w:tc>
          <w:tcPr>
            <w:tcW w:w="1657" w:type="dxa"/>
          </w:tcPr>
          <w:p w14:paraId="1A38763F" w14:textId="0A3C4517" w:rsidR="007D3800" w:rsidRPr="00D02377" w:rsidRDefault="007D3800" w:rsidP="00E0624A">
            <w:pPr>
              <w:pStyle w:val="TableBody0"/>
              <w:spacing w:before="80" w:after="80" w:line="288" w:lineRule="auto"/>
              <w:jc w:val="right"/>
            </w:pPr>
            <w:r w:rsidRPr="00CD348A">
              <w:t>Total</w:t>
            </w:r>
            <w:r w:rsidRPr="005331A1">
              <w:t xml:space="preserve"> annual remuneration (GST inc</w:t>
            </w:r>
            <w:r w:rsidR="005A2CE0">
              <w:t>.</w:t>
            </w:r>
            <w:r w:rsidRPr="00CD348A">
              <w:t>)</w:t>
            </w:r>
          </w:p>
        </w:tc>
        <w:tc>
          <w:tcPr>
            <w:tcW w:w="2050" w:type="dxa"/>
          </w:tcPr>
          <w:p w14:paraId="031CFFBE" w14:textId="77777777" w:rsidR="007D3800" w:rsidRPr="00D02377" w:rsidRDefault="007D3800" w:rsidP="00E0624A">
            <w:pPr>
              <w:pStyle w:val="TableBody0"/>
              <w:spacing w:before="80" w:after="80" w:line="288" w:lineRule="auto"/>
            </w:pPr>
            <w:r w:rsidRPr="00CD348A">
              <w:t>Additional information (including role on committee)</w:t>
            </w:r>
          </w:p>
        </w:tc>
      </w:tr>
      <w:tr w:rsidR="007D3800" w:rsidRPr="00584012" w14:paraId="310041C2" w14:textId="77777777" w:rsidTr="00D11860">
        <w:trPr>
          <w:cnfStyle w:val="000000100000" w:firstRow="0" w:lastRow="0" w:firstColumn="0" w:lastColumn="0" w:oddVBand="0" w:evenVBand="0" w:oddHBand="1" w:evenHBand="0" w:firstRowFirstColumn="0" w:firstRowLastColumn="0" w:lastRowFirstColumn="0" w:lastRowLastColumn="0"/>
          <w:cantSplit/>
        </w:trPr>
        <w:tc>
          <w:tcPr>
            <w:tcW w:w="2689" w:type="dxa"/>
          </w:tcPr>
          <w:p w14:paraId="331C96B9" w14:textId="77777777" w:rsidR="007D3800" w:rsidRPr="00584012" w:rsidRDefault="007D3800" w:rsidP="00E0624A">
            <w:pPr>
              <w:pStyle w:val="TableBody0"/>
              <w:spacing w:before="80" w:after="80" w:line="288" w:lineRule="auto"/>
            </w:pPr>
            <w:r w:rsidRPr="00584012">
              <w:rPr>
                <w:szCs w:val="24"/>
              </w:rPr>
              <w:t>Dr Graeme Innes AM</w:t>
            </w:r>
          </w:p>
        </w:tc>
        <w:tc>
          <w:tcPr>
            <w:tcW w:w="5103" w:type="dxa"/>
          </w:tcPr>
          <w:p w14:paraId="6ACF0F50" w14:textId="77777777" w:rsidR="007D3800" w:rsidRPr="00584012" w:rsidRDefault="007D3800" w:rsidP="00E0624A">
            <w:pPr>
              <w:pStyle w:val="TableBody0"/>
              <w:spacing w:before="80" w:after="80" w:line="288" w:lineRule="auto"/>
              <w:rPr>
                <w:rFonts w:eastAsia="Calibri"/>
              </w:rPr>
            </w:pPr>
            <w:r w:rsidRPr="00584012">
              <w:rPr>
                <w:rFonts w:eastAsia="Calibri"/>
              </w:rPr>
              <w:t>Bachelor of Laws from Sydney University</w:t>
            </w:r>
          </w:p>
          <w:p w14:paraId="248B5209" w14:textId="05145E8D" w:rsidR="007D3800" w:rsidRPr="00584012" w:rsidRDefault="007D3800" w:rsidP="00E0624A">
            <w:pPr>
              <w:pStyle w:val="TableBody0"/>
              <w:spacing w:before="80" w:after="80" w:line="288" w:lineRule="auto"/>
              <w:rPr>
                <w:rFonts w:eastAsia="Calibri"/>
              </w:rPr>
            </w:pPr>
            <w:r w:rsidRPr="00584012">
              <w:rPr>
                <w:rFonts w:eastAsia="Calibri"/>
              </w:rPr>
              <w:t>Honorary Doctorates from University of Canberra, RMIT University, University of NSW, Edith Cowan University</w:t>
            </w:r>
          </w:p>
          <w:p w14:paraId="0FD6D699" w14:textId="77777777" w:rsidR="007D3800" w:rsidRPr="00584012" w:rsidRDefault="007D3800" w:rsidP="00E0624A">
            <w:pPr>
              <w:pStyle w:val="TableBody0"/>
              <w:spacing w:before="80" w:after="80" w:line="288" w:lineRule="auto"/>
            </w:pPr>
            <w:r w:rsidRPr="00584012">
              <w:rPr>
                <w:rFonts w:eastAsia="Calibri"/>
              </w:rPr>
              <w:t>Fellow of the Australian Institute of Company Directors (AICD)</w:t>
            </w:r>
          </w:p>
        </w:tc>
        <w:tc>
          <w:tcPr>
            <w:tcW w:w="1275" w:type="dxa"/>
          </w:tcPr>
          <w:p w14:paraId="3FF36F51" w14:textId="77777777" w:rsidR="007D3800" w:rsidRPr="00584012" w:rsidRDefault="007D3800" w:rsidP="00E0624A">
            <w:pPr>
              <w:pStyle w:val="TableBody0"/>
              <w:spacing w:before="80" w:after="80" w:line="288" w:lineRule="auto"/>
              <w:jc w:val="right"/>
            </w:pPr>
            <w:r w:rsidRPr="00584012">
              <w:t>5</w:t>
            </w:r>
          </w:p>
        </w:tc>
        <w:tc>
          <w:tcPr>
            <w:tcW w:w="1560" w:type="dxa"/>
          </w:tcPr>
          <w:p w14:paraId="7902580E" w14:textId="77777777" w:rsidR="007D3800" w:rsidRPr="00584012" w:rsidRDefault="007D3800" w:rsidP="00E0624A">
            <w:pPr>
              <w:pStyle w:val="TableBody0"/>
              <w:spacing w:before="80" w:after="80" w:line="288" w:lineRule="auto"/>
              <w:jc w:val="right"/>
            </w:pPr>
            <w:r w:rsidRPr="00584012">
              <w:t>5</w:t>
            </w:r>
          </w:p>
        </w:tc>
        <w:tc>
          <w:tcPr>
            <w:tcW w:w="1657" w:type="dxa"/>
          </w:tcPr>
          <w:p w14:paraId="69F904EC" w14:textId="5D807CB1" w:rsidR="007D3800" w:rsidRPr="00584012" w:rsidRDefault="007D3800" w:rsidP="00E0624A">
            <w:pPr>
              <w:pStyle w:val="TableBody0"/>
              <w:spacing w:before="80" w:after="80" w:line="288" w:lineRule="auto"/>
              <w:jc w:val="right"/>
            </w:pPr>
            <w:r w:rsidRPr="00584012">
              <w:t>$</w:t>
            </w:r>
            <w:r w:rsidR="00476288">
              <w:t>21,363</w:t>
            </w:r>
          </w:p>
        </w:tc>
        <w:tc>
          <w:tcPr>
            <w:tcW w:w="2050" w:type="dxa"/>
          </w:tcPr>
          <w:p w14:paraId="113ECB0C" w14:textId="77777777" w:rsidR="007D3800" w:rsidRPr="00584012" w:rsidRDefault="007D3800" w:rsidP="00E0624A">
            <w:pPr>
              <w:pStyle w:val="TableBody0"/>
              <w:spacing w:before="80" w:after="80" w:line="288" w:lineRule="auto"/>
            </w:pPr>
            <w:r w:rsidRPr="00584012">
              <w:t>Chair</w:t>
            </w:r>
          </w:p>
        </w:tc>
      </w:tr>
      <w:tr w:rsidR="007D3800" w:rsidRPr="00584012" w14:paraId="30BA39B6" w14:textId="77777777" w:rsidTr="00D11860">
        <w:trPr>
          <w:cnfStyle w:val="000000010000" w:firstRow="0" w:lastRow="0" w:firstColumn="0" w:lastColumn="0" w:oddVBand="0" w:evenVBand="0" w:oddHBand="0" w:evenHBand="1" w:firstRowFirstColumn="0" w:firstRowLastColumn="0" w:lastRowFirstColumn="0" w:lastRowLastColumn="0"/>
          <w:cantSplit/>
        </w:trPr>
        <w:tc>
          <w:tcPr>
            <w:tcW w:w="2689" w:type="dxa"/>
          </w:tcPr>
          <w:p w14:paraId="71E7845E" w14:textId="797BF381" w:rsidR="007D3800" w:rsidRPr="00584012" w:rsidRDefault="007D3800" w:rsidP="00E0624A">
            <w:pPr>
              <w:pStyle w:val="TableBody0"/>
              <w:spacing w:before="80" w:after="80" w:line="288" w:lineRule="auto"/>
            </w:pPr>
            <w:r w:rsidRPr="00584012">
              <w:rPr>
                <w:szCs w:val="24"/>
              </w:rPr>
              <w:t>Ms Maryanne Diamond AO</w:t>
            </w:r>
            <w:r w:rsidR="00F30DDC" w:rsidRPr="00584012">
              <w:rPr>
                <w:rFonts w:asciiTheme="minorHAnsi" w:hAnsiTheme="minorHAnsi" w:cstheme="minorHAnsi"/>
                <w:color w:val="000000"/>
                <w:szCs w:val="24"/>
                <w:vertAlign w:val="superscript"/>
              </w:rPr>
              <w:t>1</w:t>
            </w:r>
          </w:p>
        </w:tc>
        <w:tc>
          <w:tcPr>
            <w:tcW w:w="5103" w:type="dxa"/>
          </w:tcPr>
          <w:p w14:paraId="59CE02A2" w14:textId="77777777" w:rsidR="007D3800" w:rsidRPr="00584012" w:rsidRDefault="007D3800" w:rsidP="00E0624A">
            <w:pPr>
              <w:pStyle w:val="TableBody0"/>
              <w:spacing w:before="80" w:after="80" w:line="288" w:lineRule="auto"/>
              <w:rPr>
                <w:rFonts w:eastAsia="Calibri"/>
              </w:rPr>
            </w:pPr>
            <w:r w:rsidRPr="00584012">
              <w:rPr>
                <w:rFonts w:eastAsia="Calibri"/>
              </w:rPr>
              <w:t>Bachelor of Science from Monash University</w:t>
            </w:r>
          </w:p>
          <w:p w14:paraId="4F47DDB0" w14:textId="77777777" w:rsidR="007D3800" w:rsidRPr="00584012" w:rsidRDefault="007D3800" w:rsidP="00E0624A">
            <w:pPr>
              <w:pStyle w:val="TableBody0"/>
              <w:spacing w:before="80" w:after="80" w:line="288" w:lineRule="auto"/>
              <w:rPr>
                <w:rFonts w:eastAsia="Calibri"/>
              </w:rPr>
            </w:pPr>
            <w:r w:rsidRPr="00584012">
              <w:rPr>
                <w:rFonts w:eastAsia="Calibri"/>
              </w:rPr>
              <w:t>Graduate Diploma Information Technology from Caulfield Institute of Technology</w:t>
            </w:r>
          </w:p>
          <w:p w14:paraId="131084CD" w14:textId="7067D50F" w:rsidR="007D3800" w:rsidRPr="00584012" w:rsidRDefault="007D3800" w:rsidP="00E0624A">
            <w:pPr>
              <w:pStyle w:val="TableBody0"/>
              <w:spacing w:before="80" w:after="80" w:line="288" w:lineRule="auto"/>
            </w:pPr>
            <w:r w:rsidRPr="00584012">
              <w:rPr>
                <w:rFonts w:eastAsia="Calibri"/>
              </w:rPr>
              <w:t>Graduate of the AICD</w:t>
            </w:r>
          </w:p>
        </w:tc>
        <w:tc>
          <w:tcPr>
            <w:tcW w:w="1275" w:type="dxa"/>
          </w:tcPr>
          <w:p w14:paraId="7BC37A78" w14:textId="77777777" w:rsidR="007D3800" w:rsidRPr="00584012" w:rsidRDefault="007D3800" w:rsidP="00E0624A">
            <w:pPr>
              <w:pStyle w:val="TableBody0"/>
              <w:spacing w:before="80" w:after="80" w:line="288" w:lineRule="auto"/>
              <w:jc w:val="right"/>
            </w:pPr>
            <w:r w:rsidRPr="00584012">
              <w:t>4</w:t>
            </w:r>
          </w:p>
        </w:tc>
        <w:tc>
          <w:tcPr>
            <w:tcW w:w="1560" w:type="dxa"/>
          </w:tcPr>
          <w:p w14:paraId="153E512C" w14:textId="77777777" w:rsidR="007D3800" w:rsidRPr="00584012" w:rsidRDefault="007D3800" w:rsidP="00E0624A">
            <w:pPr>
              <w:pStyle w:val="TableBody0"/>
              <w:spacing w:before="80" w:after="80" w:line="288" w:lineRule="auto"/>
              <w:jc w:val="right"/>
            </w:pPr>
            <w:r w:rsidRPr="00584012">
              <w:t>5</w:t>
            </w:r>
          </w:p>
        </w:tc>
        <w:tc>
          <w:tcPr>
            <w:tcW w:w="1657" w:type="dxa"/>
          </w:tcPr>
          <w:p w14:paraId="12BCB6F7" w14:textId="3E0A1EA4" w:rsidR="007D3800" w:rsidRPr="00584012" w:rsidRDefault="007D3800" w:rsidP="00E0624A">
            <w:pPr>
              <w:pStyle w:val="TableBody0"/>
              <w:spacing w:before="80" w:after="80" w:line="288" w:lineRule="auto"/>
              <w:jc w:val="right"/>
            </w:pPr>
            <w:r w:rsidRPr="00584012">
              <w:t>$</w:t>
            </w:r>
            <w:r w:rsidR="00476288">
              <w:t>10,282</w:t>
            </w:r>
          </w:p>
        </w:tc>
        <w:tc>
          <w:tcPr>
            <w:tcW w:w="2050" w:type="dxa"/>
          </w:tcPr>
          <w:p w14:paraId="6CC3DB20" w14:textId="77777777" w:rsidR="007D3800" w:rsidRPr="00584012" w:rsidRDefault="007D3800" w:rsidP="00E0624A">
            <w:pPr>
              <w:pStyle w:val="TableBody0"/>
              <w:spacing w:before="80" w:after="80" w:line="288" w:lineRule="auto"/>
            </w:pPr>
            <w:r w:rsidRPr="00584012">
              <w:t>Deputy Chair</w:t>
            </w:r>
          </w:p>
        </w:tc>
      </w:tr>
      <w:tr w:rsidR="007D3800" w:rsidRPr="00584012" w14:paraId="080469DD" w14:textId="77777777" w:rsidTr="00D11860">
        <w:trPr>
          <w:cnfStyle w:val="000000100000" w:firstRow="0" w:lastRow="0" w:firstColumn="0" w:lastColumn="0" w:oddVBand="0" w:evenVBand="0" w:oddHBand="1" w:evenHBand="0" w:firstRowFirstColumn="0" w:firstRowLastColumn="0" w:lastRowFirstColumn="0" w:lastRowLastColumn="0"/>
          <w:cantSplit/>
        </w:trPr>
        <w:tc>
          <w:tcPr>
            <w:tcW w:w="2689" w:type="dxa"/>
          </w:tcPr>
          <w:p w14:paraId="7344C1EC" w14:textId="5A65A55F" w:rsidR="007D3800" w:rsidRPr="00584012" w:rsidRDefault="007D3800" w:rsidP="00E0624A">
            <w:pPr>
              <w:pStyle w:val="TableBody0"/>
              <w:spacing w:before="80" w:after="80" w:line="288" w:lineRule="auto"/>
            </w:pPr>
            <w:r w:rsidRPr="00584012">
              <w:rPr>
                <w:szCs w:val="24"/>
              </w:rPr>
              <w:t>Dr Denis Napthine AO</w:t>
            </w:r>
            <w:r w:rsidR="00F30DDC" w:rsidRPr="00584012">
              <w:rPr>
                <w:rFonts w:asciiTheme="minorHAnsi" w:hAnsiTheme="minorHAnsi" w:cstheme="minorHAnsi"/>
                <w:color w:val="000000"/>
                <w:szCs w:val="24"/>
                <w:vertAlign w:val="superscript"/>
              </w:rPr>
              <w:t>1</w:t>
            </w:r>
          </w:p>
        </w:tc>
        <w:tc>
          <w:tcPr>
            <w:tcW w:w="5103" w:type="dxa"/>
          </w:tcPr>
          <w:p w14:paraId="6A069202" w14:textId="7550ED65" w:rsidR="007D3800" w:rsidRPr="00584012" w:rsidRDefault="007D3800" w:rsidP="00E0624A">
            <w:pPr>
              <w:pStyle w:val="TableBody0"/>
              <w:spacing w:before="80" w:after="80" w:line="288" w:lineRule="auto"/>
            </w:pPr>
            <w:r w:rsidRPr="00584012">
              <w:t>Bachelor of Veterinar</w:t>
            </w:r>
            <w:r w:rsidR="00B72ADB">
              <w:t>y</w:t>
            </w:r>
            <w:r w:rsidRPr="00584012">
              <w:t xml:space="preserve"> Science and Master of Veterinar</w:t>
            </w:r>
            <w:r w:rsidR="00B72ADB">
              <w:t>y</w:t>
            </w:r>
            <w:r w:rsidRPr="00584012">
              <w:t xml:space="preserve"> Science from</w:t>
            </w:r>
            <w:r w:rsidR="00384F61" w:rsidRPr="00584012">
              <w:t xml:space="preserve"> </w:t>
            </w:r>
            <w:r w:rsidRPr="00584012">
              <w:t>University of Melbourne</w:t>
            </w:r>
          </w:p>
          <w:p w14:paraId="191C38E3" w14:textId="77777777" w:rsidR="007D3800" w:rsidRPr="00584012" w:rsidRDefault="007D3800" w:rsidP="00E0624A">
            <w:pPr>
              <w:pStyle w:val="TableBody0"/>
              <w:spacing w:before="80" w:after="80" w:line="288" w:lineRule="auto"/>
            </w:pPr>
            <w:r w:rsidRPr="00584012">
              <w:t>Master of Business Administration from Deakin University</w:t>
            </w:r>
          </w:p>
        </w:tc>
        <w:tc>
          <w:tcPr>
            <w:tcW w:w="1275" w:type="dxa"/>
          </w:tcPr>
          <w:p w14:paraId="6ABF0DFD" w14:textId="77777777" w:rsidR="007D3800" w:rsidRPr="00584012" w:rsidRDefault="007D3800" w:rsidP="00E0624A">
            <w:pPr>
              <w:pStyle w:val="TableBody0"/>
              <w:spacing w:before="80" w:after="80" w:line="288" w:lineRule="auto"/>
              <w:jc w:val="right"/>
            </w:pPr>
            <w:r w:rsidRPr="00584012">
              <w:t>5</w:t>
            </w:r>
          </w:p>
        </w:tc>
        <w:tc>
          <w:tcPr>
            <w:tcW w:w="1560" w:type="dxa"/>
          </w:tcPr>
          <w:p w14:paraId="3E88A596" w14:textId="77777777" w:rsidR="007D3800" w:rsidRPr="00584012" w:rsidRDefault="007D3800" w:rsidP="00E0624A">
            <w:pPr>
              <w:pStyle w:val="TableBody0"/>
              <w:spacing w:before="80" w:after="80" w:line="288" w:lineRule="auto"/>
              <w:jc w:val="right"/>
            </w:pPr>
            <w:r w:rsidRPr="00584012">
              <w:t>5</w:t>
            </w:r>
          </w:p>
        </w:tc>
        <w:tc>
          <w:tcPr>
            <w:tcW w:w="1657" w:type="dxa"/>
          </w:tcPr>
          <w:p w14:paraId="1B453CF1" w14:textId="338C24F9" w:rsidR="007D3800" w:rsidRPr="00584012" w:rsidRDefault="007D3800" w:rsidP="00E0624A">
            <w:pPr>
              <w:pStyle w:val="TableBody0"/>
              <w:spacing w:before="80" w:after="80" w:line="288" w:lineRule="auto"/>
              <w:jc w:val="right"/>
            </w:pPr>
            <w:r w:rsidRPr="00584012">
              <w:t>$</w:t>
            </w:r>
            <w:r w:rsidR="00155C0A">
              <w:t>5,141</w:t>
            </w:r>
          </w:p>
        </w:tc>
        <w:tc>
          <w:tcPr>
            <w:tcW w:w="2050" w:type="dxa"/>
          </w:tcPr>
          <w:p w14:paraId="4A3FAE09" w14:textId="77777777" w:rsidR="007D3800" w:rsidRPr="00584012" w:rsidRDefault="007D3800" w:rsidP="00E0624A">
            <w:pPr>
              <w:pStyle w:val="TableBody0"/>
              <w:spacing w:before="80" w:after="80" w:line="288" w:lineRule="auto"/>
            </w:pPr>
            <w:r w:rsidRPr="00584012">
              <w:t>Member</w:t>
            </w:r>
          </w:p>
        </w:tc>
      </w:tr>
      <w:tr w:rsidR="007D3800" w:rsidRPr="00584012" w14:paraId="3278441A" w14:textId="77777777" w:rsidTr="00D11860">
        <w:trPr>
          <w:cnfStyle w:val="000000010000" w:firstRow="0" w:lastRow="0" w:firstColumn="0" w:lastColumn="0" w:oddVBand="0" w:evenVBand="0" w:oddHBand="0" w:evenHBand="1" w:firstRowFirstColumn="0" w:firstRowLastColumn="0" w:lastRowFirstColumn="0" w:lastRowLastColumn="0"/>
          <w:cantSplit/>
        </w:trPr>
        <w:tc>
          <w:tcPr>
            <w:tcW w:w="2689" w:type="dxa"/>
          </w:tcPr>
          <w:p w14:paraId="2C5DE78D" w14:textId="21F8D4FF" w:rsidR="007D3800" w:rsidRPr="00584012" w:rsidRDefault="007D3800" w:rsidP="00E0624A">
            <w:pPr>
              <w:pStyle w:val="TableBody0"/>
              <w:spacing w:before="80" w:after="80" w:line="288" w:lineRule="auto"/>
            </w:pPr>
            <w:r w:rsidRPr="00584012">
              <w:rPr>
                <w:szCs w:val="24"/>
              </w:rPr>
              <w:t xml:space="preserve">Mr </w:t>
            </w:r>
            <w:r w:rsidR="00247090">
              <w:rPr>
                <w:szCs w:val="24"/>
              </w:rPr>
              <w:t>Asimakis</w:t>
            </w:r>
            <w:r w:rsidR="005D7923">
              <w:rPr>
                <w:szCs w:val="24"/>
              </w:rPr>
              <w:t xml:space="preserve"> (Mark</w:t>
            </w:r>
            <w:r w:rsidR="00074118">
              <w:rPr>
                <w:szCs w:val="24"/>
              </w:rPr>
              <w:t>)</w:t>
            </w:r>
            <w:r w:rsidRPr="00584012">
              <w:rPr>
                <w:szCs w:val="24"/>
              </w:rPr>
              <w:t xml:space="preserve"> Darras</w:t>
            </w:r>
          </w:p>
        </w:tc>
        <w:tc>
          <w:tcPr>
            <w:tcW w:w="5103" w:type="dxa"/>
          </w:tcPr>
          <w:p w14:paraId="2988E2C4" w14:textId="77777777" w:rsidR="007D3800" w:rsidRPr="00584012" w:rsidRDefault="007D3800" w:rsidP="00E0624A">
            <w:pPr>
              <w:pStyle w:val="TableBody0"/>
              <w:spacing w:before="80" w:after="80" w:line="288" w:lineRule="auto"/>
              <w:rPr>
                <w:rFonts w:eastAsia="Calibri"/>
              </w:rPr>
            </w:pPr>
            <w:r w:rsidRPr="00584012">
              <w:rPr>
                <w:rFonts w:eastAsia="Calibri"/>
              </w:rPr>
              <w:t>Bachelor of Arts and Bachelor of Laws from University of Tasmania</w:t>
            </w:r>
          </w:p>
          <w:p w14:paraId="03704B2E" w14:textId="77777777" w:rsidR="007D3800" w:rsidRPr="00584012" w:rsidRDefault="007D3800" w:rsidP="00E0624A">
            <w:pPr>
              <w:pStyle w:val="TableBody0"/>
              <w:spacing w:before="80" w:after="80" w:line="288" w:lineRule="auto"/>
              <w:rPr>
                <w:rFonts w:eastAsia="Calibri"/>
              </w:rPr>
            </w:pPr>
            <w:r w:rsidRPr="00584012">
              <w:rPr>
                <w:rFonts w:eastAsia="Calibri"/>
              </w:rPr>
              <w:t>Master of Laws from Australian National University</w:t>
            </w:r>
          </w:p>
          <w:p w14:paraId="0600CC40" w14:textId="097D48B2" w:rsidR="007D3800" w:rsidRPr="00584012" w:rsidRDefault="007D3800" w:rsidP="00E0624A">
            <w:pPr>
              <w:pStyle w:val="TableBody0"/>
              <w:spacing w:before="80" w:after="80" w:line="288" w:lineRule="auto"/>
            </w:pPr>
            <w:r w:rsidRPr="00584012">
              <w:rPr>
                <w:rFonts w:eastAsia="Calibri"/>
              </w:rPr>
              <w:t xml:space="preserve">Bachelor of </w:t>
            </w:r>
            <w:r w:rsidR="00384F61" w:rsidRPr="00584012">
              <w:rPr>
                <w:rFonts w:eastAsia="Calibri"/>
              </w:rPr>
              <w:t>E</w:t>
            </w:r>
            <w:r w:rsidRPr="00584012">
              <w:rPr>
                <w:rFonts w:eastAsia="Calibri"/>
              </w:rPr>
              <w:t>ducation from University of South Australia</w:t>
            </w:r>
          </w:p>
        </w:tc>
        <w:tc>
          <w:tcPr>
            <w:tcW w:w="1275" w:type="dxa"/>
          </w:tcPr>
          <w:p w14:paraId="67A870FD" w14:textId="77777777" w:rsidR="007D3800" w:rsidRPr="00584012" w:rsidRDefault="007D3800" w:rsidP="00E0624A">
            <w:pPr>
              <w:pStyle w:val="TableBody0"/>
              <w:spacing w:before="80" w:after="80" w:line="288" w:lineRule="auto"/>
              <w:jc w:val="right"/>
            </w:pPr>
            <w:r w:rsidRPr="00584012">
              <w:t>5</w:t>
            </w:r>
          </w:p>
        </w:tc>
        <w:tc>
          <w:tcPr>
            <w:tcW w:w="1560" w:type="dxa"/>
          </w:tcPr>
          <w:p w14:paraId="44038D86" w14:textId="77777777" w:rsidR="007D3800" w:rsidRPr="00584012" w:rsidRDefault="007D3800" w:rsidP="00E0624A">
            <w:pPr>
              <w:pStyle w:val="TableBody0"/>
              <w:spacing w:before="80" w:after="80" w:line="288" w:lineRule="auto"/>
              <w:jc w:val="right"/>
            </w:pPr>
            <w:r w:rsidRPr="00584012">
              <w:t>5</w:t>
            </w:r>
          </w:p>
        </w:tc>
        <w:tc>
          <w:tcPr>
            <w:tcW w:w="1657" w:type="dxa"/>
          </w:tcPr>
          <w:p w14:paraId="575931EF" w14:textId="32762295" w:rsidR="007D3800" w:rsidRPr="00584012" w:rsidRDefault="007D3800" w:rsidP="00E0624A">
            <w:pPr>
              <w:pStyle w:val="TableBody0"/>
              <w:spacing w:before="80" w:after="80" w:line="288" w:lineRule="auto"/>
              <w:jc w:val="right"/>
            </w:pPr>
            <w:r w:rsidRPr="00584012">
              <w:t>$</w:t>
            </w:r>
            <w:r w:rsidR="00CB6257">
              <w:t>10,691</w:t>
            </w:r>
          </w:p>
        </w:tc>
        <w:tc>
          <w:tcPr>
            <w:tcW w:w="2050" w:type="dxa"/>
          </w:tcPr>
          <w:p w14:paraId="13DD7904" w14:textId="77777777" w:rsidR="007D3800" w:rsidRPr="00584012" w:rsidRDefault="007D3800" w:rsidP="00E0624A">
            <w:pPr>
              <w:pStyle w:val="TableBody0"/>
              <w:spacing w:before="80" w:after="80" w:line="288" w:lineRule="auto"/>
            </w:pPr>
            <w:r w:rsidRPr="00584012">
              <w:t>Member</w:t>
            </w:r>
          </w:p>
        </w:tc>
      </w:tr>
      <w:tr w:rsidR="007D3800" w:rsidRPr="00584012" w14:paraId="754D2BFF" w14:textId="77777777" w:rsidTr="00D11860">
        <w:trPr>
          <w:cnfStyle w:val="000000100000" w:firstRow="0" w:lastRow="0" w:firstColumn="0" w:lastColumn="0" w:oddVBand="0" w:evenVBand="0" w:oddHBand="1" w:evenHBand="0" w:firstRowFirstColumn="0" w:firstRowLastColumn="0" w:lastRowFirstColumn="0" w:lastRowLastColumn="0"/>
          <w:cantSplit/>
        </w:trPr>
        <w:tc>
          <w:tcPr>
            <w:tcW w:w="2689" w:type="dxa"/>
          </w:tcPr>
          <w:p w14:paraId="4AD97562" w14:textId="77777777" w:rsidR="007D3800" w:rsidRPr="00584012" w:rsidRDefault="007D3800" w:rsidP="00E0624A">
            <w:pPr>
              <w:pStyle w:val="TableBody0"/>
              <w:spacing w:before="80" w:after="80" w:line="288" w:lineRule="auto"/>
            </w:pPr>
            <w:r w:rsidRPr="00584012">
              <w:rPr>
                <w:szCs w:val="24"/>
              </w:rPr>
              <w:t>Dr Ian Watt AC</w:t>
            </w:r>
          </w:p>
        </w:tc>
        <w:tc>
          <w:tcPr>
            <w:tcW w:w="5103" w:type="dxa"/>
          </w:tcPr>
          <w:p w14:paraId="15057450" w14:textId="77777777" w:rsidR="006469B0" w:rsidRDefault="006469B0" w:rsidP="00E0624A">
            <w:pPr>
              <w:pStyle w:val="TableBody0"/>
              <w:spacing w:before="80" w:after="80" w:line="288" w:lineRule="auto"/>
              <w:rPr>
                <w:rFonts w:eastAsia="Calibri"/>
                <w:szCs w:val="24"/>
              </w:rPr>
            </w:pPr>
            <w:r w:rsidRPr="006469B0">
              <w:rPr>
                <w:rFonts w:eastAsia="Calibri"/>
                <w:szCs w:val="24"/>
              </w:rPr>
              <w:t>Bachelor of Commerce (Honours) (University of Melbourne)</w:t>
            </w:r>
          </w:p>
          <w:p w14:paraId="310BFCE1" w14:textId="77777777" w:rsidR="006469B0" w:rsidRDefault="006469B0" w:rsidP="00E0624A">
            <w:pPr>
              <w:pStyle w:val="TableBody0"/>
              <w:spacing w:before="80" w:after="80" w:line="288" w:lineRule="auto"/>
              <w:rPr>
                <w:rFonts w:eastAsia="Calibri"/>
                <w:szCs w:val="24"/>
              </w:rPr>
            </w:pPr>
            <w:r w:rsidRPr="006469B0">
              <w:rPr>
                <w:rFonts w:eastAsia="Calibri"/>
                <w:szCs w:val="24"/>
              </w:rPr>
              <w:t>Master of Economics and Doctor of Philosophy (La Trobe University)</w:t>
            </w:r>
          </w:p>
          <w:p w14:paraId="58755AA0" w14:textId="7D012C43" w:rsidR="007D3800" w:rsidRPr="00584012" w:rsidRDefault="006469B0" w:rsidP="00E0624A">
            <w:pPr>
              <w:pStyle w:val="TableBody0"/>
              <w:spacing w:before="80" w:after="80" w:line="288" w:lineRule="auto"/>
            </w:pPr>
            <w:r w:rsidRPr="006469B0">
              <w:rPr>
                <w:rFonts w:eastAsia="Calibri"/>
                <w:szCs w:val="24"/>
              </w:rPr>
              <w:t>Advanced Management Program (Harvard Business School)</w:t>
            </w:r>
          </w:p>
        </w:tc>
        <w:tc>
          <w:tcPr>
            <w:tcW w:w="1275" w:type="dxa"/>
          </w:tcPr>
          <w:p w14:paraId="29229D0B" w14:textId="77777777" w:rsidR="007D3800" w:rsidRPr="00584012" w:rsidRDefault="007D3800" w:rsidP="00E0624A">
            <w:pPr>
              <w:pStyle w:val="TableBody0"/>
              <w:spacing w:before="80" w:after="80" w:line="288" w:lineRule="auto"/>
              <w:jc w:val="right"/>
            </w:pPr>
            <w:r w:rsidRPr="00584012">
              <w:t>4</w:t>
            </w:r>
          </w:p>
        </w:tc>
        <w:tc>
          <w:tcPr>
            <w:tcW w:w="1560" w:type="dxa"/>
          </w:tcPr>
          <w:p w14:paraId="2FEF7E92" w14:textId="77777777" w:rsidR="007D3800" w:rsidRPr="00584012" w:rsidRDefault="007D3800" w:rsidP="00E0624A">
            <w:pPr>
              <w:pStyle w:val="TableBody0"/>
              <w:spacing w:before="80" w:after="80" w:line="288" w:lineRule="auto"/>
              <w:jc w:val="right"/>
            </w:pPr>
            <w:r w:rsidRPr="00584012">
              <w:t>5</w:t>
            </w:r>
          </w:p>
        </w:tc>
        <w:tc>
          <w:tcPr>
            <w:tcW w:w="1657" w:type="dxa"/>
          </w:tcPr>
          <w:p w14:paraId="11D77D23" w14:textId="4A9A2381" w:rsidR="007D3800" w:rsidRPr="00584012" w:rsidRDefault="007D3800" w:rsidP="00E0624A">
            <w:pPr>
              <w:pStyle w:val="TableBody0"/>
              <w:spacing w:before="80" w:after="80" w:line="288" w:lineRule="auto"/>
              <w:jc w:val="right"/>
            </w:pPr>
            <w:r w:rsidRPr="00584012">
              <w:t>$</w:t>
            </w:r>
            <w:r w:rsidR="004024C2">
              <w:t>10,691</w:t>
            </w:r>
          </w:p>
        </w:tc>
        <w:tc>
          <w:tcPr>
            <w:tcW w:w="2050" w:type="dxa"/>
          </w:tcPr>
          <w:p w14:paraId="12E84FE1" w14:textId="77777777" w:rsidR="007D3800" w:rsidRPr="00584012" w:rsidRDefault="007D3800" w:rsidP="00E0624A">
            <w:pPr>
              <w:pStyle w:val="TableBody0"/>
              <w:spacing w:before="80" w:after="80" w:line="288" w:lineRule="auto"/>
            </w:pPr>
            <w:r w:rsidRPr="00584012">
              <w:t>Member</w:t>
            </w:r>
          </w:p>
        </w:tc>
      </w:tr>
    </w:tbl>
    <w:p w14:paraId="3E58738F" w14:textId="1A98A4BF" w:rsidR="00510AE2" w:rsidRPr="00DE5551" w:rsidRDefault="00510AE2" w:rsidP="00D11860">
      <w:pPr>
        <w:pStyle w:val="Tablenote"/>
        <w:rPr>
          <w:b/>
        </w:rPr>
      </w:pPr>
      <w:r w:rsidRPr="00DE5551">
        <w:rPr>
          <w:b/>
        </w:rPr>
        <w:t>Note:</w:t>
      </w:r>
    </w:p>
    <w:p w14:paraId="6079889F" w14:textId="1B89CD3C" w:rsidR="002E2FEA" w:rsidRDefault="00F30DDC" w:rsidP="00E0624A">
      <w:pPr>
        <w:pStyle w:val="Tablenote"/>
        <w:sectPr w:rsidR="002E2FEA" w:rsidSect="00EB1047">
          <w:headerReference w:type="default" r:id="rId57"/>
          <w:footerReference w:type="default" r:id="rId58"/>
          <w:pgSz w:w="16838" w:h="11906" w:orient="landscape" w:code="9"/>
          <w:pgMar w:top="1247" w:right="1247" w:bottom="1247" w:left="1247" w:header="567" w:footer="454" w:gutter="0"/>
          <w:cols w:space="708"/>
          <w:docGrid w:linePitch="360"/>
        </w:sectPr>
      </w:pPr>
      <w:r w:rsidRPr="00E91373">
        <w:t>1</w:t>
      </w:r>
      <w:r w:rsidR="00384F61" w:rsidRPr="00E91373">
        <w:t xml:space="preserve"> </w:t>
      </w:r>
      <w:r w:rsidR="00401A4B" w:rsidRPr="00E91373">
        <w:t>Board membership term expired 16 June 2026</w:t>
      </w:r>
      <w:r w:rsidR="009C4978" w:rsidRPr="00E91373">
        <w:t>.</w:t>
      </w:r>
    </w:p>
    <w:p w14:paraId="317B3273" w14:textId="77777777" w:rsidR="004624AC" w:rsidRDefault="004624AC" w:rsidP="00A4275A">
      <w:pPr>
        <w:pStyle w:val="Heading4"/>
      </w:pPr>
      <w:r>
        <w:t>Independent Advisory Council</w:t>
      </w:r>
    </w:p>
    <w:p w14:paraId="1A044DC9" w14:textId="225EF292" w:rsidR="0072132B" w:rsidRDefault="0072132B" w:rsidP="0072132B">
      <w:r>
        <w:t xml:space="preserve">The IAC has a </w:t>
      </w:r>
      <w:r w:rsidRPr="0078509A">
        <w:t>legislated role to provide</w:t>
      </w:r>
      <w:r w:rsidR="006B28B3">
        <w:t xml:space="preserve"> </w:t>
      </w:r>
      <w:r w:rsidRPr="0078509A">
        <w:t>independent</w:t>
      </w:r>
      <w:r>
        <w:t xml:space="preserve"> advice to the </w:t>
      </w:r>
      <w:r w:rsidR="00FE2B41" w:rsidRPr="0078509A">
        <w:t xml:space="preserve">NDIA </w:t>
      </w:r>
      <w:r w:rsidR="00EB47FD" w:rsidRPr="00640760">
        <w:t>B</w:t>
      </w:r>
      <w:r w:rsidRPr="00640760">
        <w:t>oard</w:t>
      </w:r>
      <w:r>
        <w:t xml:space="preserve"> on the performance of the NDIS and impacts on participants. </w:t>
      </w:r>
      <w:r w:rsidR="006B28B3">
        <w:t xml:space="preserve">The advice it provides is either </w:t>
      </w:r>
      <w:r w:rsidR="006B28B3" w:rsidRPr="0078509A">
        <w:t>on its own initiative or at the request of the Board</w:t>
      </w:r>
      <w:r w:rsidR="006B28B3">
        <w:t>.</w:t>
      </w:r>
      <w:r w:rsidR="006B28B3" w:rsidRPr="0078509A">
        <w:t xml:space="preserve"> </w:t>
      </w:r>
      <w:r>
        <w:t>In providing the advice the IAC brings the perspectives of NDIS participants, carers, disability experts and the community. The Board must consider this advice when performing its duties under section 144 of the NDIS Act.</w:t>
      </w:r>
    </w:p>
    <w:p w14:paraId="3228DE9A" w14:textId="77777777" w:rsidR="0072132B" w:rsidRDefault="0072132B" w:rsidP="0072132B">
      <w:r>
        <w:t>The IAC is led by a Principal Member and up to 12 members from across Australia.</w:t>
      </w:r>
    </w:p>
    <w:p w14:paraId="25992E05" w14:textId="2F8C9CA3" w:rsidR="0072132B" w:rsidRPr="0072132B" w:rsidRDefault="0072132B" w:rsidP="0072132B">
      <w:r>
        <w:t xml:space="preserve">Members are people with disability or experts in disability issues or both, appointed by the Minister for the </w:t>
      </w:r>
      <w:r w:rsidR="00F6025A">
        <w:t>NDIS</w:t>
      </w:r>
      <w:r>
        <w:t>.</w:t>
      </w:r>
    </w:p>
    <w:p w14:paraId="5E4B34D3" w14:textId="77777777" w:rsidR="004624AC" w:rsidRDefault="004624AC" w:rsidP="002A54C0">
      <w:pPr>
        <w:pStyle w:val="Heading5"/>
      </w:pPr>
      <w:r>
        <w:t>Independent Advisory Council advice</w:t>
      </w:r>
    </w:p>
    <w:p w14:paraId="3AB69202" w14:textId="67FFAC64" w:rsidR="0072132B" w:rsidRDefault="0072132B" w:rsidP="0072132B">
      <w:r>
        <w:t>In 2025–26 the IAC developed formal advice to the Board on:</w:t>
      </w:r>
    </w:p>
    <w:p w14:paraId="090C33CB" w14:textId="43586EAC" w:rsidR="0072132B" w:rsidRDefault="0072132B" w:rsidP="0072132B">
      <w:pPr>
        <w:pStyle w:val="Bullet1"/>
      </w:pPr>
      <w:r>
        <w:t>End of life care, not the end of care: Palliative support and the NDIS</w:t>
      </w:r>
    </w:p>
    <w:p w14:paraId="342BA240" w14:textId="1084AAA1" w:rsidR="0072132B" w:rsidRDefault="0072132B" w:rsidP="0072132B">
      <w:pPr>
        <w:pStyle w:val="Bullet1"/>
      </w:pPr>
      <w:r>
        <w:t xml:space="preserve">Home and </w:t>
      </w:r>
      <w:r w:rsidR="00EB47FD">
        <w:t>l</w:t>
      </w:r>
      <w:r>
        <w:t>iving – specialist disability accommodation</w:t>
      </w:r>
      <w:r w:rsidR="00EB47FD">
        <w:t>.</w:t>
      </w:r>
    </w:p>
    <w:p w14:paraId="08FC513D" w14:textId="0CE57893" w:rsidR="0072132B" w:rsidRDefault="0072132B" w:rsidP="0072132B">
      <w:r>
        <w:t>The IAC shared information and insights with the NDIA on:</w:t>
      </w:r>
    </w:p>
    <w:p w14:paraId="52C5386C" w14:textId="7C295349" w:rsidR="0072132B" w:rsidRDefault="0072132B" w:rsidP="0072132B">
      <w:pPr>
        <w:pStyle w:val="Bullet1"/>
      </w:pPr>
      <w:r>
        <w:t>Jobs and Skills Review</w:t>
      </w:r>
    </w:p>
    <w:p w14:paraId="731267F7" w14:textId="285E7E7D" w:rsidR="0072132B" w:rsidRDefault="0072132B" w:rsidP="0072132B">
      <w:pPr>
        <w:pStyle w:val="Bullet1"/>
      </w:pPr>
      <w:r>
        <w:t>Self-management and integrity improvements</w:t>
      </w:r>
      <w:r w:rsidR="00EB47FD">
        <w:t>.</w:t>
      </w:r>
    </w:p>
    <w:p w14:paraId="242B5BAE" w14:textId="7EE19721" w:rsidR="0072132B" w:rsidRDefault="00EB47FD" w:rsidP="0072132B">
      <w:r>
        <w:t>In 2025–26 t</w:t>
      </w:r>
      <w:r w:rsidR="0072132B">
        <w:t>he IAC also provided a range of submissions to public consultation processes</w:t>
      </w:r>
      <w:r>
        <w:t>,</w:t>
      </w:r>
      <w:r w:rsidR="0072132B">
        <w:t xml:space="preserve"> including </w:t>
      </w:r>
      <w:r w:rsidR="0072132B" w:rsidRPr="006B28B3">
        <w:t>on Thriving Kids, Specialist Disability Accommodation Design, NDIS Supports Rule and New Framework Planning.</w:t>
      </w:r>
    </w:p>
    <w:p w14:paraId="2E68D9E2" w14:textId="631D484D" w:rsidR="0072132B" w:rsidRDefault="0072132B" w:rsidP="0072132B">
      <w:r>
        <w:t>To expand its diversity and support development of advice, the IAC operated with 4</w:t>
      </w:r>
      <w:r w:rsidR="00182058">
        <w:t> </w:t>
      </w:r>
      <w:r>
        <w:t xml:space="preserve">reference groups </w:t>
      </w:r>
      <w:r w:rsidR="0078509A">
        <w:t xml:space="preserve">in </w:t>
      </w:r>
      <w:r>
        <w:t>2025–26:</w:t>
      </w:r>
    </w:p>
    <w:p w14:paraId="077B8B5F" w14:textId="7F15F31A" w:rsidR="0072132B" w:rsidRDefault="0072132B" w:rsidP="0072132B">
      <w:pPr>
        <w:pStyle w:val="Bullet1"/>
      </w:pPr>
      <w:r w:rsidRPr="0078509A">
        <w:t>Children</w:t>
      </w:r>
      <w:r w:rsidR="00EB47FD" w:rsidRPr="0078509A">
        <w:t>,</w:t>
      </w:r>
      <w:r w:rsidRPr="0078509A">
        <w:t xml:space="preserve"> Young</w:t>
      </w:r>
      <w:r>
        <w:t xml:space="preserve"> People and Families</w:t>
      </w:r>
    </w:p>
    <w:p w14:paraId="299E6DF1" w14:textId="2B4D3310" w:rsidR="0072132B" w:rsidRDefault="0072132B" w:rsidP="0072132B">
      <w:pPr>
        <w:pStyle w:val="Bullet1"/>
      </w:pPr>
      <w:r>
        <w:t>Equity and Inclusion</w:t>
      </w:r>
    </w:p>
    <w:p w14:paraId="3DEC7365" w14:textId="27F87CD0" w:rsidR="0072132B" w:rsidRDefault="0072132B" w:rsidP="0072132B">
      <w:pPr>
        <w:pStyle w:val="Bullet1"/>
      </w:pPr>
      <w:r>
        <w:t>First Nations</w:t>
      </w:r>
    </w:p>
    <w:p w14:paraId="3313B00D" w14:textId="521F5D31" w:rsidR="0072132B" w:rsidRDefault="0072132B" w:rsidP="0072132B">
      <w:pPr>
        <w:pStyle w:val="Bullet1"/>
      </w:pPr>
      <w:r>
        <w:t>Intellectual Disability.</w:t>
      </w:r>
    </w:p>
    <w:p w14:paraId="063674B2" w14:textId="12A8EF16" w:rsidR="002A54C0" w:rsidRPr="002A54C0" w:rsidRDefault="0072132B" w:rsidP="0072132B">
      <w:r>
        <w:t>IAC members take part in several NDIA-run reference and advisory groups.</w:t>
      </w:r>
    </w:p>
    <w:p w14:paraId="722795AC" w14:textId="77777777" w:rsidR="004624AC" w:rsidRDefault="004624AC" w:rsidP="002A54C0">
      <w:pPr>
        <w:pStyle w:val="Heading5"/>
      </w:pPr>
      <w:r>
        <w:t>Independent Advisory Council members</w:t>
      </w:r>
    </w:p>
    <w:p w14:paraId="4D43A9B2" w14:textId="27F70ACB" w:rsidR="0072132B" w:rsidRDefault="0072132B" w:rsidP="0072132B">
      <w:r>
        <w:t>IAC members at 30 June 2026 were:</w:t>
      </w:r>
    </w:p>
    <w:p w14:paraId="37D1FB64" w14:textId="2958FFA0" w:rsidR="0072132B" w:rsidRDefault="0072132B" w:rsidP="0072132B">
      <w:pPr>
        <w:pStyle w:val="Bullet1"/>
      </w:pPr>
      <w:r>
        <w:t>Ms Leah van Poppel, Principal Member</w:t>
      </w:r>
    </w:p>
    <w:p w14:paraId="0DA5EA1F" w14:textId="079F6817" w:rsidR="0072132B" w:rsidRDefault="0072132B" w:rsidP="0072132B">
      <w:pPr>
        <w:pStyle w:val="Bullet1"/>
      </w:pPr>
      <w:r>
        <w:t>Mr Vaughn Bennison</w:t>
      </w:r>
    </w:p>
    <w:p w14:paraId="311362FB" w14:textId="33279A84" w:rsidR="0072132B" w:rsidRDefault="0072132B" w:rsidP="0072132B">
      <w:pPr>
        <w:pStyle w:val="Bullet1"/>
      </w:pPr>
      <w:r>
        <w:t>Dr Sharon Boyce</w:t>
      </w:r>
    </w:p>
    <w:p w14:paraId="4FC9081B" w14:textId="725ED345" w:rsidR="0072132B" w:rsidRDefault="0072132B" w:rsidP="0072132B">
      <w:pPr>
        <w:pStyle w:val="Bullet1"/>
      </w:pPr>
      <w:r>
        <w:t>Associate Professor Lorna Hallahan</w:t>
      </w:r>
    </w:p>
    <w:p w14:paraId="6E48D43D" w14:textId="5A053D20" w:rsidR="0072132B" w:rsidRDefault="0072132B" w:rsidP="0072132B">
      <w:pPr>
        <w:pStyle w:val="Bullet1"/>
      </w:pPr>
      <w:r>
        <w:t>Dr Gill Hicks MBE</w:t>
      </w:r>
    </w:p>
    <w:p w14:paraId="7B031F98" w14:textId="6DDBEAF2" w:rsidR="0072132B" w:rsidRDefault="0072132B" w:rsidP="0072132B">
      <w:pPr>
        <w:pStyle w:val="Bullet1"/>
      </w:pPr>
      <w:r>
        <w:t>Dr Leighton Jay</w:t>
      </w:r>
    </w:p>
    <w:p w14:paraId="41DFF8BD" w14:textId="2118D673" w:rsidR="0072132B" w:rsidRDefault="0072132B" w:rsidP="0072132B">
      <w:pPr>
        <w:pStyle w:val="Bullet1"/>
      </w:pPr>
      <w:r>
        <w:t>Ms Tricia Malowney OAM</w:t>
      </w:r>
    </w:p>
    <w:p w14:paraId="48564180" w14:textId="09E099B2" w:rsidR="0072132B" w:rsidRDefault="0072132B" w:rsidP="0072132B">
      <w:pPr>
        <w:pStyle w:val="Bullet1"/>
      </w:pPr>
      <w:r>
        <w:t>Ms Sam Paior</w:t>
      </w:r>
    </w:p>
    <w:p w14:paraId="301BB959" w14:textId="2C0B2656" w:rsidR="0072132B" w:rsidRDefault="0072132B" w:rsidP="0072132B">
      <w:pPr>
        <w:pStyle w:val="Bullet1"/>
      </w:pPr>
      <w:r>
        <w:t>Mr Mark Tonga</w:t>
      </w:r>
    </w:p>
    <w:p w14:paraId="32A249C0" w14:textId="65EA72D6" w:rsidR="0072132B" w:rsidRDefault="0072132B" w:rsidP="0072132B">
      <w:pPr>
        <w:pStyle w:val="Bullet1"/>
      </w:pPr>
      <w:r>
        <w:t>Mr Andrew Vodic</w:t>
      </w:r>
    </w:p>
    <w:p w14:paraId="16F409FE" w14:textId="0FFA85B9" w:rsidR="0072132B" w:rsidRDefault="0072132B" w:rsidP="0072132B">
      <w:pPr>
        <w:pStyle w:val="Bullet1"/>
      </w:pPr>
      <w:r>
        <w:t>Ms Jane Wardlaw.</w:t>
      </w:r>
    </w:p>
    <w:p w14:paraId="2B301471" w14:textId="71FA0C2C" w:rsidR="0072132B" w:rsidRDefault="0072132B" w:rsidP="0072132B">
      <w:r>
        <w:t xml:space="preserve">In July 2025 the IAC acknowledged the passing of Mr Gavin Burner, a valued member of the </w:t>
      </w:r>
      <w:r w:rsidR="00EB47FD">
        <w:t>IAC</w:t>
      </w:r>
      <w:r>
        <w:t>. He was also the Co-Chair of the Intellectual Disability Reference Group.</w:t>
      </w:r>
    </w:p>
    <w:p w14:paraId="6E8CEB3F" w14:textId="37AA8114" w:rsidR="0072132B" w:rsidRDefault="0072132B" w:rsidP="0072132B">
      <w:r>
        <w:t>Mr Burner was a strong advocate for people with disability, with a focus on rural and remote areas. He will have a long-lasting impact on the NDIS, and the members of the IAC will miss his valuable contributions.</w:t>
      </w:r>
    </w:p>
    <w:p w14:paraId="73A5CC7C" w14:textId="2E140F8B" w:rsidR="002A54C0" w:rsidRPr="002A54C0" w:rsidRDefault="0072132B" w:rsidP="0072132B">
      <w:r>
        <w:t xml:space="preserve">As a tribute, the </w:t>
      </w:r>
      <w:r w:rsidR="00EB47FD">
        <w:t xml:space="preserve">NDIA </w:t>
      </w:r>
      <w:r>
        <w:t xml:space="preserve">announced the creation of the Gavin Burner Excellence in Diversity and Inclusion staff award. The award will go to an </w:t>
      </w:r>
      <w:r w:rsidR="00EB47FD">
        <w:t xml:space="preserve">NDIA </w:t>
      </w:r>
      <w:r>
        <w:t xml:space="preserve">staff member, group or team committed to improving accessibility and inclusion for everyone within the </w:t>
      </w:r>
      <w:r w:rsidR="00EB47FD">
        <w:t xml:space="preserve">NDIA </w:t>
      </w:r>
      <w:r>
        <w:t>and/or for participants.</w:t>
      </w:r>
    </w:p>
    <w:p w14:paraId="3AA2AB8E" w14:textId="77777777" w:rsidR="002A54C0" w:rsidRPr="00A4275A" w:rsidRDefault="004624AC" w:rsidP="002A54C0">
      <w:pPr>
        <w:pStyle w:val="Heading4"/>
      </w:pPr>
      <w:r w:rsidRPr="00A4275A">
        <w:t>Indemnities and insurance premiums</w:t>
      </w:r>
    </w:p>
    <w:p w14:paraId="0D9C3FD4" w14:textId="0BCAD246" w:rsidR="002A54C0" w:rsidRPr="00A4275A" w:rsidRDefault="00AF2AB3" w:rsidP="002A54C0">
      <w:r w:rsidRPr="00A4275A">
        <w:t>The NDIA purchased directors’ and officers’ liability cover from Comcover (the Commonwealth’s self-insurance fund). The premium paid in 2025</w:t>
      </w:r>
      <w:r w:rsidR="003D2B7B">
        <w:t>–</w:t>
      </w:r>
      <w:r w:rsidRPr="00A4275A">
        <w:t>26 for this cover was $338,379.50 (GST inclusive).</w:t>
      </w:r>
    </w:p>
    <w:p w14:paraId="3E49684E" w14:textId="77777777" w:rsidR="007A5F28" w:rsidRDefault="004624AC" w:rsidP="002A54C0">
      <w:pPr>
        <w:pStyle w:val="Heading4"/>
      </w:pPr>
      <w:r w:rsidRPr="00A4275A">
        <w:t xml:space="preserve">Significant non-compliance with </w:t>
      </w:r>
      <w:r w:rsidR="00FF278D" w:rsidRPr="00A4275A">
        <w:t xml:space="preserve">the </w:t>
      </w:r>
      <w:r w:rsidRPr="00A4275A">
        <w:t>finance law</w:t>
      </w:r>
    </w:p>
    <w:p w14:paraId="21334C55" w14:textId="1C0492E1" w:rsidR="00E3570D" w:rsidRPr="00E3570D" w:rsidRDefault="006C6022" w:rsidP="00E3570D">
      <w:r>
        <w:t>Not applicable</w:t>
      </w:r>
      <w:r w:rsidR="004720BD">
        <w:t>.</w:t>
      </w:r>
    </w:p>
    <w:p w14:paraId="4804241B" w14:textId="77777777" w:rsidR="0018236F" w:rsidRDefault="0018236F" w:rsidP="00A4275A">
      <w:pPr>
        <w:pStyle w:val="Heading3"/>
      </w:pPr>
      <w:bookmarkStart w:id="55" w:name="_Toc226723916"/>
      <w:bookmarkStart w:id="56" w:name="_Toc241826728"/>
      <w:r>
        <w:t>4.2 Internal governance</w:t>
      </w:r>
      <w:bookmarkEnd w:id="55"/>
      <w:bookmarkEnd w:id="56"/>
    </w:p>
    <w:p w14:paraId="61EA07BB" w14:textId="77777777" w:rsidR="0018236F" w:rsidRDefault="0018236F" w:rsidP="000655A0">
      <w:pPr>
        <w:pStyle w:val="Heading4"/>
      </w:pPr>
      <w:r>
        <w:t>Chief Executive Office</w:t>
      </w:r>
      <w:r w:rsidR="00FF278D">
        <w:t>r</w:t>
      </w:r>
    </w:p>
    <w:p w14:paraId="5DDDF965" w14:textId="07999E91" w:rsidR="00102847" w:rsidRDefault="00102847" w:rsidP="00102847">
      <w:r>
        <w:t>On 24 November 2025 Graeme Head was appointed CEO of the NDIA.</w:t>
      </w:r>
    </w:p>
    <w:p w14:paraId="6A378EA9" w14:textId="4FAC075A" w:rsidR="000655A0" w:rsidRPr="000655A0" w:rsidRDefault="00102847" w:rsidP="00102847">
      <w:r>
        <w:t xml:space="preserve">The CEO is responsible for the day-to-day administration of the NDIA under the NDIS Act and is supported by the </w:t>
      </w:r>
      <w:r w:rsidRPr="00C92815">
        <w:t>Executive Leadership Team</w:t>
      </w:r>
      <w:r>
        <w:t>.</w:t>
      </w:r>
    </w:p>
    <w:p w14:paraId="7068E1A7" w14:textId="77777777" w:rsidR="002A54C0" w:rsidRPr="00C92815" w:rsidRDefault="0018236F" w:rsidP="000655A0">
      <w:pPr>
        <w:pStyle w:val="Heading4"/>
      </w:pPr>
      <w:r w:rsidRPr="00C92815">
        <w:t>Organisational structure</w:t>
      </w:r>
    </w:p>
    <w:p w14:paraId="0CEF37D6" w14:textId="77777777" w:rsidR="00E2383F" w:rsidRDefault="00E2383F" w:rsidP="00E2383F">
      <w:pPr>
        <w:spacing w:before="120" w:line="288" w:lineRule="auto"/>
      </w:pPr>
      <w:r w:rsidRPr="00C92815">
        <w:t>The Executive</w:t>
      </w:r>
      <w:r>
        <w:t xml:space="preserve"> Leadership Team members at 30 June 2026 were:</w:t>
      </w:r>
    </w:p>
    <w:p w14:paraId="503DC46A" w14:textId="2B64C5B1" w:rsidR="00E2383F" w:rsidRDefault="00384F61" w:rsidP="00E2383F">
      <w:pPr>
        <w:pStyle w:val="Bullet1"/>
      </w:pPr>
      <w:r>
        <w:t xml:space="preserve">CEO </w:t>
      </w:r>
      <w:r w:rsidR="00E2383F">
        <w:t>– Graeme Head</w:t>
      </w:r>
    </w:p>
    <w:p w14:paraId="6CA4EEC5" w14:textId="31F98C69" w:rsidR="00E2383F" w:rsidRDefault="00E2383F" w:rsidP="00E2383F">
      <w:pPr>
        <w:pStyle w:val="Bullet1"/>
      </w:pPr>
      <w:r>
        <w:t>Deputy CEO Integrity Transformation and Technology Services – John Dardo</w:t>
      </w:r>
    </w:p>
    <w:p w14:paraId="0E68FAB9" w14:textId="49710F02" w:rsidR="00E2383F" w:rsidRDefault="00E2383F" w:rsidP="00E2383F">
      <w:pPr>
        <w:pStyle w:val="Bullet1"/>
      </w:pPr>
      <w:r>
        <w:t>Deputy CEO Partners and Providers – Penelope McKay</w:t>
      </w:r>
    </w:p>
    <w:p w14:paraId="6C67481F" w14:textId="37BB0673" w:rsidR="00E2383F" w:rsidRDefault="00E2383F" w:rsidP="00E2383F">
      <w:pPr>
        <w:pStyle w:val="Bullet1"/>
      </w:pPr>
      <w:r>
        <w:t>Deputy CEO First Nations – Janine Mohamed</w:t>
      </w:r>
    </w:p>
    <w:p w14:paraId="5146C0F3" w14:textId="13056A65" w:rsidR="00E2383F" w:rsidRDefault="00E2383F" w:rsidP="00E2383F">
      <w:pPr>
        <w:pStyle w:val="Bullet1"/>
      </w:pPr>
      <w:r>
        <w:t>Deputy CEO Enabling Service/Chief Operating Officer – Matthew Swainson</w:t>
      </w:r>
    </w:p>
    <w:p w14:paraId="22651580" w14:textId="3EB9F8C8" w:rsidR="00E2383F" w:rsidRDefault="00E2383F" w:rsidP="00E2383F">
      <w:pPr>
        <w:pStyle w:val="Bullet1"/>
      </w:pPr>
      <w:r>
        <w:t>Deputy CEO Legal, Actuarial, Governance and Reviews – Tom McGregor (Acting)</w:t>
      </w:r>
    </w:p>
    <w:p w14:paraId="1AF6A692" w14:textId="6AEA054E" w:rsidR="00E2383F" w:rsidRDefault="00E2383F" w:rsidP="00E2383F">
      <w:pPr>
        <w:pStyle w:val="Bullet1"/>
      </w:pPr>
      <w:r>
        <w:t xml:space="preserve">Deputy CEO Participant Experience and Service Design – Amity Durham </w:t>
      </w:r>
    </w:p>
    <w:p w14:paraId="0360E511" w14:textId="0B9D8B71" w:rsidR="00E2383F" w:rsidRDefault="00E2383F" w:rsidP="00E2383F">
      <w:pPr>
        <w:pStyle w:val="Bullet1"/>
      </w:pPr>
      <w:r>
        <w:t xml:space="preserve">Deputy CEO Service Delivery – Scott McNaughton </w:t>
      </w:r>
    </w:p>
    <w:p w14:paraId="02A5B1F7" w14:textId="30892AF8" w:rsidR="000655A0" w:rsidRDefault="00E2383F" w:rsidP="00E2383F">
      <w:pPr>
        <w:pStyle w:val="Bullet1"/>
      </w:pPr>
      <w:r>
        <w:t>Scheme Actuary – David Gifford</w:t>
      </w:r>
      <w:r w:rsidR="0078509A">
        <w:t>.</w:t>
      </w:r>
    </w:p>
    <w:p w14:paraId="29A91298" w14:textId="77777777" w:rsidR="00A32D9B" w:rsidRDefault="00A32D9B" w:rsidP="00A4275A">
      <w:pPr>
        <w:pStyle w:val="Heading3"/>
      </w:pPr>
      <w:bookmarkStart w:id="57" w:name="_Toc226723917"/>
      <w:bookmarkStart w:id="58" w:name="_Toc241826729"/>
      <w:r>
        <w:t>4.3 Risk</w:t>
      </w:r>
      <w:bookmarkEnd w:id="57"/>
      <w:bookmarkEnd w:id="58"/>
    </w:p>
    <w:p w14:paraId="563B1E19" w14:textId="77777777" w:rsidR="00A32D9B" w:rsidRPr="00A4275A" w:rsidRDefault="00A32D9B" w:rsidP="00A32D9B">
      <w:pPr>
        <w:pStyle w:val="Heading4"/>
      </w:pPr>
      <w:r w:rsidRPr="00A4275A">
        <w:t>Risk management</w:t>
      </w:r>
    </w:p>
    <w:p w14:paraId="3EB31B7C" w14:textId="7EF18671" w:rsidR="001B2148" w:rsidRPr="00A4275A" w:rsidRDefault="000A0E6A" w:rsidP="001B2148">
      <w:r w:rsidRPr="00A4275A">
        <w:t>In 2025</w:t>
      </w:r>
      <w:r w:rsidR="005E797F">
        <w:t>–</w:t>
      </w:r>
      <w:r w:rsidRPr="00A4275A">
        <w:t>26 t</w:t>
      </w:r>
      <w:r w:rsidR="001B2148" w:rsidRPr="00A4275A">
        <w:t xml:space="preserve">he NDIA continued to strengthen its approach to identifying, managing and overseeing risks affecting the </w:t>
      </w:r>
      <w:r w:rsidR="00050A8D" w:rsidRPr="00A4275A">
        <w:t>NDIA</w:t>
      </w:r>
      <w:r w:rsidR="001B2148" w:rsidRPr="00A4275A">
        <w:t xml:space="preserve"> and the </w:t>
      </w:r>
      <w:r w:rsidR="00050A8D" w:rsidRPr="00A4275A">
        <w:t>NDIS</w:t>
      </w:r>
      <w:r w:rsidR="001B2148" w:rsidRPr="00A4275A">
        <w:t>.</w:t>
      </w:r>
    </w:p>
    <w:p w14:paraId="583BDA56" w14:textId="601ED552" w:rsidR="006866C3" w:rsidRPr="00A4275A" w:rsidRDefault="00E650AB" w:rsidP="006C01D8">
      <w:r w:rsidRPr="00A4275A">
        <w:t xml:space="preserve">The NDIA </w:t>
      </w:r>
      <w:r w:rsidR="001B2148" w:rsidRPr="00A4275A">
        <w:t xml:space="preserve">Risk Management Strategy and Risk Management Framework </w:t>
      </w:r>
      <w:r w:rsidR="00C21576" w:rsidRPr="00A4275A">
        <w:t xml:space="preserve">help </w:t>
      </w:r>
      <w:r w:rsidR="000A0E6A" w:rsidRPr="00A4275A">
        <w:t>us</w:t>
      </w:r>
      <w:r w:rsidR="001B2148" w:rsidRPr="00A4275A">
        <w:t xml:space="preserve"> meet our obligations under</w:t>
      </w:r>
      <w:r w:rsidR="001C0F47" w:rsidRPr="00A4275A">
        <w:t xml:space="preserve"> the</w:t>
      </w:r>
      <w:r w:rsidR="006866C3" w:rsidRPr="00A4275A">
        <w:t>:</w:t>
      </w:r>
    </w:p>
    <w:p w14:paraId="5B2A62D4" w14:textId="56A9923E" w:rsidR="006866C3" w:rsidRPr="00A4275A" w:rsidRDefault="001B2148" w:rsidP="006866C3">
      <w:pPr>
        <w:pStyle w:val="Bullet1"/>
      </w:pPr>
      <w:r w:rsidRPr="00A4275A">
        <w:t xml:space="preserve"> NDIS Act</w:t>
      </w:r>
    </w:p>
    <w:p w14:paraId="4B9B650D" w14:textId="425C3F72" w:rsidR="006866C3" w:rsidRPr="00A4275A" w:rsidRDefault="001B2148" w:rsidP="006866C3">
      <w:pPr>
        <w:pStyle w:val="Bullet1"/>
      </w:pPr>
      <w:r w:rsidRPr="00A4275A">
        <w:t>N</w:t>
      </w:r>
      <w:r w:rsidR="00E3015C" w:rsidRPr="00A4275A">
        <w:t xml:space="preserve">ational </w:t>
      </w:r>
      <w:r w:rsidRPr="00A4275A">
        <w:t>D</w:t>
      </w:r>
      <w:r w:rsidR="00E3015C" w:rsidRPr="00A4275A">
        <w:t xml:space="preserve">isability </w:t>
      </w:r>
      <w:r w:rsidRPr="00A4275A">
        <w:t>I</w:t>
      </w:r>
      <w:r w:rsidR="00E3015C" w:rsidRPr="00A4275A">
        <w:t xml:space="preserve">nsurance </w:t>
      </w:r>
      <w:r w:rsidRPr="00A4275A">
        <w:t>S</w:t>
      </w:r>
      <w:r w:rsidR="00E3015C" w:rsidRPr="00A4275A">
        <w:t>cheme</w:t>
      </w:r>
      <w:r w:rsidRPr="00A4275A">
        <w:t xml:space="preserve"> Risk Management Rules 2013 </w:t>
      </w:r>
    </w:p>
    <w:p w14:paraId="35053B15" w14:textId="67FAD9F8" w:rsidR="004375EE" w:rsidRPr="00A4275A" w:rsidRDefault="001B2148" w:rsidP="006866C3">
      <w:pPr>
        <w:pStyle w:val="Bullet1"/>
      </w:pPr>
      <w:r w:rsidRPr="00A4275A">
        <w:t xml:space="preserve">PGPA Act. </w:t>
      </w:r>
    </w:p>
    <w:p w14:paraId="01C6E407" w14:textId="11CAC3AB" w:rsidR="004375EE" w:rsidRPr="00A4275A" w:rsidRDefault="000A0E6A" w:rsidP="004375EE">
      <w:r w:rsidRPr="00A4275A">
        <w:t>We conduct our</w:t>
      </w:r>
      <w:r w:rsidR="006C01D8" w:rsidRPr="00A4275A">
        <w:t xml:space="preserve"> risk management activities </w:t>
      </w:r>
      <w:r w:rsidRPr="00A4275A">
        <w:t xml:space="preserve">in line </w:t>
      </w:r>
      <w:r w:rsidR="006C01D8" w:rsidRPr="00A4275A">
        <w:t>with</w:t>
      </w:r>
      <w:r w:rsidR="001C0F47" w:rsidRPr="00A4275A">
        <w:t xml:space="preserve"> the</w:t>
      </w:r>
      <w:r w:rsidR="004375EE" w:rsidRPr="00A4275A">
        <w:t>:</w:t>
      </w:r>
    </w:p>
    <w:p w14:paraId="7317AD76" w14:textId="28D139A6" w:rsidR="004375EE" w:rsidRPr="00A4275A" w:rsidRDefault="006C01D8" w:rsidP="004375EE">
      <w:pPr>
        <w:pStyle w:val="Bullet1"/>
      </w:pPr>
      <w:r w:rsidRPr="00A4275A">
        <w:t>National Disability Insurance Scheme Risk Management Rules 2013</w:t>
      </w:r>
    </w:p>
    <w:p w14:paraId="04EB7B8D" w14:textId="7D9D63C0" w:rsidR="00A04112" w:rsidRPr="00A4275A" w:rsidRDefault="006C01D8" w:rsidP="004375EE">
      <w:pPr>
        <w:pStyle w:val="Bullet1"/>
      </w:pPr>
      <w:r w:rsidRPr="00A4275A">
        <w:t xml:space="preserve">NDIA Risk Management Strategy </w:t>
      </w:r>
    </w:p>
    <w:p w14:paraId="465AD77E" w14:textId="2CC7B806" w:rsidR="006C01D8" w:rsidRPr="00A4275A" w:rsidRDefault="006C01D8" w:rsidP="002D3A0D">
      <w:pPr>
        <w:pStyle w:val="Bullet1"/>
      </w:pPr>
      <w:r w:rsidRPr="00A4275A">
        <w:t>Risk Appetite Statement.</w:t>
      </w:r>
    </w:p>
    <w:p w14:paraId="5ED246EF" w14:textId="41C2C409" w:rsidR="001B2148" w:rsidRDefault="00E650AB" w:rsidP="001B2148">
      <w:r w:rsidRPr="00A4275A">
        <w:t xml:space="preserve">During the year we reviewed and updated our </w:t>
      </w:r>
      <w:r w:rsidR="001B2148" w:rsidRPr="00A4275A">
        <w:t>Risk Management</w:t>
      </w:r>
      <w:r w:rsidR="001B2148">
        <w:t xml:space="preserve"> Strategy, Risk Appetite Statement and strategic risks</w:t>
      </w:r>
      <w:r w:rsidR="006C01D8">
        <w:t xml:space="preserve">, and these </w:t>
      </w:r>
      <w:r w:rsidR="000A0E6A">
        <w:t xml:space="preserve">changes </w:t>
      </w:r>
      <w:r w:rsidR="006C01D8">
        <w:t xml:space="preserve">were </w:t>
      </w:r>
      <w:r w:rsidR="001B2148">
        <w:t>approved by the Board.</w:t>
      </w:r>
      <w:r w:rsidR="000A0E6A">
        <w:t xml:space="preserve"> Our </w:t>
      </w:r>
      <w:r w:rsidR="001B2148">
        <w:t xml:space="preserve">8 strategic risks remained broadly consistent with previous years, covering participant experience and outcomes, providers and </w:t>
      </w:r>
      <w:r w:rsidR="001B2148" w:rsidRPr="00C92815">
        <w:t>markets, Scheme</w:t>
      </w:r>
      <w:r w:rsidR="001B2148">
        <w:t xml:space="preserve"> sustainability, workforce and culture, integrity, safeguarding NDIA and NDIS information, NDIA and NDIS transformation, and empowering First Nations peoples.</w:t>
      </w:r>
    </w:p>
    <w:p w14:paraId="43F82447" w14:textId="3F508787" w:rsidR="001B2148" w:rsidRDefault="001B2148" w:rsidP="001B2148">
      <w:r>
        <w:t xml:space="preserve">The NDIA monitors risks </w:t>
      </w:r>
      <w:r w:rsidR="006C01D8">
        <w:t xml:space="preserve">using </w:t>
      </w:r>
      <w:r>
        <w:t>aligned mitigation strategies and key risk indicators</w:t>
      </w:r>
      <w:r w:rsidR="00EB47FD">
        <w:t xml:space="preserve">. </w:t>
      </w:r>
      <w:r w:rsidR="006C01D8">
        <w:t xml:space="preserve">We </w:t>
      </w:r>
      <w:r w:rsidR="00EB47FD">
        <w:t xml:space="preserve">report on performance </w:t>
      </w:r>
      <w:r>
        <w:t xml:space="preserve">quarterly to the </w:t>
      </w:r>
      <w:r w:rsidRPr="00C92815">
        <w:t>Executive Leadership Team, the</w:t>
      </w:r>
      <w:r>
        <w:t xml:space="preserve"> Board Audit and Risk Committee</w:t>
      </w:r>
      <w:r w:rsidR="00026210">
        <w:t>,</w:t>
      </w:r>
      <w:r>
        <w:t xml:space="preserve"> and the Board.</w:t>
      </w:r>
    </w:p>
    <w:p w14:paraId="21948F63" w14:textId="12BF940A" w:rsidR="001B2148" w:rsidRDefault="00E650AB" w:rsidP="001B2148">
      <w:r>
        <w:t>In 2025</w:t>
      </w:r>
      <w:r w:rsidR="00E10808">
        <w:t>–</w:t>
      </w:r>
      <w:r>
        <w:t>26 t</w:t>
      </w:r>
      <w:r w:rsidR="001B2148">
        <w:t xml:space="preserve">he NDIA </w:t>
      </w:r>
      <w:r>
        <w:t xml:space="preserve">continued to improve its </w:t>
      </w:r>
      <w:r w:rsidR="001B2148">
        <w:t xml:space="preserve">business continuity management framework </w:t>
      </w:r>
      <w:r>
        <w:t xml:space="preserve">so that </w:t>
      </w:r>
      <w:r w:rsidR="001B2148">
        <w:t xml:space="preserve">critical business functions </w:t>
      </w:r>
      <w:r w:rsidR="00FA0B93">
        <w:t>are</w:t>
      </w:r>
      <w:r>
        <w:t xml:space="preserve"> resilient</w:t>
      </w:r>
      <w:r w:rsidR="00384F61">
        <w:t>;</w:t>
      </w:r>
      <w:r>
        <w:t xml:space="preserve"> </w:t>
      </w:r>
      <w:r w:rsidR="001B2148">
        <w:t xml:space="preserve">and participant and provider services </w:t>
      </w:r>
      <w:r>
        <w:t xml:space="preserve">can continue despite </w:t>
      </w:r>
      <w:r w:rsidR="001B2148">
        <w:t>emergencies and other significant disruptions, including extreme weather events.</w:t>
      </w:r>
    </w:p>
    <w:p w14:paraId="4C499FB1" w14:textId="0DA98A1F" w:rsidR="0078509A" w:rsidRDefault="001B2148" w:rsidP="001B2148">
      <w:r>
        <w:t>The NDIA</w:t>
      </w:r>
      <w:r w:rsidR="00E650AB">
        <w:t xml:space="preserve"> uses an</w:t>
      </w:r>
      <w:r>
        <w:t xml:space="preserve"> integrated risk management system </w:t>
      </w:r>
      <w:r w:rsidR="00E650AB">
        <w:t xml:space="preserve">to capture and manage </w:t>
      </w:r>
      <w:r>
        <w:t>strategic, operational and regulatory risks</w:t>
      </w:r>
      <w:r w:rsidR="00384F61">
        <w:t>;</w:t>
      </w:r>
      <w:r>
        <w:t xml:space="preserve"> audit recommendations</w:t>
      </w:r>
      <w:r w:rsidR="00384F61">
        <w:t>;</w:t>
      </w:r>
      <w:r>
        <w:t xml:space="preserve"> incidents</w:t>
      </w:r>
      <w:r w:rsidR="00384F61">
        <w:t>;</w:t>
      </w:r>
      <w:r>
        <w:t xml:space="preserve"> and business continuity plans. </w:t>
      </w:r>
      <w:r w:rsidR="00E650AB">
        <w:t xml:space="preserve">The system gives </w:t>
      </w:r>
      <w:r>
        <w:t xml:space="preserve">a consolidated view of risks and controls across the NDIA and </w:t>
      </w:r>
      <w:r w:rsidR="00A84295">
        <w:t xml:space="preserve">helps </w:t>
      </w:r>
      <w:r w:rsidR="00E650AB">
        <w:t xml:space="preserve">with </w:t>
      </w:r>
      <w:r>
        <w:t xml:space="preserve">regular reporting to governance forums. </w:t>
      </w:r>
      <w:r w:rsidR="0078509A">
        <w:t xml:space="preserve">In </w:t>
      </w:r>
      <w:r>
        <w:t xml:space="preserve">2025–26 enhancements to the system and associated reporting processes </w:t>
      </w:r>
      <w:r w:rsidR="0078509A">
        <w:t>meant that risk information provided to management and the Board was timely and relevant</w:t>
      </w:r>
      <w:r>
        <w:t>.</w:t>
      </w:r>
    </w:p>
    <w:p w14:paraId="34FE7D80" w14:textId="0FD610CE" w:rsidR="00A32D9B" w:rsidRPr="00A32D9B" w:rsidRDefault="0078509A" w:rsidP="001B2148">
      <w:r>
        <w:t xml:space="preserve">Our risk management </w:t>
      </w:r>
      <w:r w:rsidR="001B2148">
        <w:t xml:space="preserve">arrangements </w:t>
      </w:r>
      <w:r w:rsidR="00E650AB">
        <w:t xml:space="preserve">operate together to </w:t>
      </w:r>
      <w:r w:rsidR="006C01D8" w:rsidRPr="002222FD">
        <w:t xml:space="preserve">inform our </w:t>
      </w:r>
      <w:r w:rsidR="001B2148" w:rsidRPr="002222FD">
        <w:t>decision-making</w:t>
      </w:r>
      <w:r w:rsidR="001B2148">
        <w:t xml:space="preserve"> and </w:t>
      </w:r>
      <w:r w:rsidR="00EB47FD" w:rsidRPr="006C01D8">
        <w:t>ensure</w:t>
      </w:r>
      <w:r w:rsidR="00EB47FD">
        <w:t xml:space="preserve"> </w:t>
      </w:r>
      <w:r w:rsidR="001B2148">
        <w:t xml:space="preserve">that </w:t>
      </w:r>
      <w:r w:rsidR="00E650AB">
        <w:t xml:space="preserve">the NDIA is effectively monitoring and managing </w:t>
      </w:r>
      <w:r w:rsidR="001B2148">
        <w:t>key risks.</w:t>
      </w:r>
    </w:p>
    <w:p w14:paraId="222157DE" w14:textId="77777777" w:rsidR="00A32D9B" w:rsidRDefault="00A32D9B" w:rsidP="00A32D9B">
      <w:pPr>
        <w:pStyle w:val="Heading4"/>
      </w:pPr>
      <w:r>
        <w:t>Audit</w:t>
      </w:r>
    </w:p>
    <w:p w14:paraId="58DFFF32" w14:textId="304DB3F6" w:rsidR="00C11A0F" w:rsidRDefault="00C11A0F" w:rsidP="00C11A0F">
      <w:r>
        <w:t>The Audit Branch supports effective risk management and forms part of the NDIA’s broader system of internal controls. It provides independent assurance to management and the Board through the Board Audit and Risk Committee.</w:t>
      </w:r>
    </w:p>
    <w:p w14:paraId="244E0725" w14:textId="09CF1315" w:rsidR="00C11A0F" w:rsidRDefault="00C11A0F" w:rsidP="00C11A0F">
      <w:r>
        <w:t xml:space="preserve">In 2025–26 the Audit Branch delivered against an internal audit plan approved by the </w:t>
      </w:r>
      <w:r w:rsidR="00E630F2">
        <w:t>Board Audit and Risk Committee</w:t>
      </w:r>
      <w:r>
        <w:t xml:space="preserve">. Ongoing updates to the plan ensure it remains relevant and aligned to key risks. The outcomes of audit activity, as well as progress on action plans, are reported to the </w:t>
      </w:r>
      <w:r w:rsidR="00E630F2">
        <w:t>committee</w:t>
      </w:r>
      <w:r>
        <w:t>.</w:t>
      </w:r>
    </w:p>
    <w:p w14:paraId="6074E916" w14:textId="00D65C99" w:rsidR="00C11A0F" w:rsidRDefault="00C11A0F" w:rsidP="00C11A0F">
      <w:r>
        <w:t xml:space="preserve">The </w:t>
      </w:r>
      <w:r w:rsidRPr="00C92815">
        <w:t>Australian National Audit Office audits</w:t>
      </w:r>
      <w:r>
        <w:t xml:space="preserve"> the NDIA’s annual financial statements and annual performance statements, as well as conducting other performance audits.</w:t>
      </w:r>
    </w:p>
    <w:p w14:paraId="7434943F" w14:textId="35EF351A" w:rsidR="00A32D9B" w:rsidRDefault="00C11A0F" w:rsidP="00C11A0F">
      <w:r>
        <w:t xml:space="preserve">Details of performance audits undertaken in 2025–26 </w:t>
      </w:r>
      <w:r w:rsidR="00346F71">
        <w:t xml:space="preserve">are </w:t>
      </w:r>
      <w:r>
        <w:t>provided in section 7.3</w:t>
      </w:r>
      <w:r w:rsidR="00EB47FD">
        <w:t>,</w:t>
      </w:r>
      <w:r>
        <w:t xml:space="preserve"> </w:t>
      </w:r>
      <w:r w:rsidR="006C01D8">
        <w:t>‘</w:t>
      </w:r>
      <w:r>
        <w:t>Australian National Audit Office reports</w:t>
      </w:r>
      <w:r w:rsidR="006C01D8">
        <w:t>’</w:t>
      </w:r>
      <w:r>
        <w:t>.</w:t>
      </w:r>
    </w:p>
    <w:p w14:paraId="2028225C" w14:textId="77777777" w:rsidR="002E7C85" w:rsidRPr="00A4275A" w:rsidRDefault="002E7C85" w:rsidP="002E7C85">
      <w:pPr>
        <w:pStyle w:val="Heading3"/>
      </w:pPr>
      <w:bookmarkStart w:id="59" w:name="_Toc226723918"/>
      <w:bookmarkStart w:id="60" w:name="_Toc241826730"/>
      <w:r w:rsidRPr="00A4275A">
        <w:t>4.4 Ensuring the integrity of the NDIS</w:t>
      </w:r>
      <w:bookmarkEnd w:id="59"/>
      <w:bookmarkEnd w:id="60"/>
    </w:p>
    <w:p w14:paraId="771B7975" w14:textId="0EE494FE" w:rsidR="00C8165A" w:rsidRPr="00A4275A" w:rsidRDefault="00C8165A" w:rsidP="00C8165A">
      <w:r w:rsidRPr="00A4275A">
        <w:t>The NDIA is committed to protecting the safety and wellbeing of participants and ensuring they have a positive experience with the NDIS.</w:t>
      </w:r>
    </w:p>
    <w:p w14:paraId="740F6E1E" w14:textId="28F08354" w:rsidR="00C8165A" w:rsidRPr="00A4275A" w:rsidRDefault="00C8165A" w:rsidP="00C8165A">
      <w:r w:rsidRPr="00A4275A">
        <w:t xml:space="preserve">Through its </w:t>
      </w:r>
      <w:r w:rsidR="005F436B" w:rsidRPr="00A4275A">
        <w:t>i</w:t>
      </w:r>
      <w:r w:rsidRPr="00A4275A">
        <w:t xml:space="preserve">ntegrity </w:t>
      </w:r>
      <w:r w:rsidR="005F436B" w:rsidRPr="00A4275A">
        <w:t>t</w:t>
      </w:r>
      <w:r w:rsidRPr="00A4275A">
        <w:t>ransformation programs, the NDIA is strengthening processes, policies and systems</w:t>
      </w:r>
      <w:r w:rsidR="00295F50" w:rsidRPr="00A4275A">
        <w:t>,</w:t>
      </w:r>
      <w:r w:rsidRPr="00A4275A">
        <w:t xml:space="preserve"> making it easier to get it right and harder to get it wrong.</w:t>
      </w:r>
    </w:p>
    <w:p w14:paraId="4E18BB8E" w14:textId="77777777" w:rsidR="00BC6708" w:rsidRPr="00A4275A" w:rsidRDefault="00C8165A" w:rsidP="002D3A0D">
      <w:r w:rsidRPr="00A4275A">
        <w:t>This helps ensure every NDIS dollar goes towards providing safe and high-quality supports that participants need.</w:t>
      </w:r>
    </w:p>
    <w:p w14:paraId="7E5F9EC7" w14:textId="16A04242" w:rsidR="004C06A9" w:rsidRPr="00A4275A" w:rsidRDefault="004C06A9" w:rsidP="004C06A9">
      <w:pPr>
        <w:pStyle w:val="Heading4"/>
      </w:pPr>
      <w:r w:rsidRPr="00A4275A">
        <w:t xml:space="preserve">Key </w:t>
      </w:r>
      <w:r w:rsidR="002B1EDC" w:rsidRPr="00A4275A">
        <w:t>investments</w:t>
      </w:r>
    </w:p>
    <w:p w14:paraId="0170D47D" w14:textId="78C9B545" w:rsidR="00085CE8" w:rsidRPr="00A4275A" w:rsidRDefault="00085CE8" w:rsidP="00797726">
      <w:pPr>
        <w:rPr>
          <w:rFonts w:eastAsia="Arial" w:cs="Arial"/>
          <w:color w:val="000000"/>
          <w:lang w:eastAsia="en-AU"/>
        </w:rPr>
      </w:pPr>
      <w:r w:rsidRPr="00A4275A">
        <w:rPr>
          <w:rFonts w:eastAsia="Arial" w:cs="Arial"/>
          <w:color w:val="000000"/>
          <w:lang w:eastAsia="en-AU"/>
        </w:rPr>
        <w:t xml:space="preserve">Since 2022 the Government has </w:t>
      </w:r>
      <w:r w:rsidR="00295F50" w:rsidRPr="00A4275A">
        <w:rPr>
          <w:rFonts w:eastAsia="Arial" w:cs="Arial"/>
          <w:color w:val="000000"/>
          <w:lang w:eastAsia="en-AU"/>
        </w:rPr>
        <w:t xml:space="preserve">announced and </w:t>
      </w:r>
      <w:r w:rsidRPr="00A4275A">
        <w:rPr>
          <w:rFonts w:eastAsia="Arial" w:cs="Arial"/>
          <w:color w:val="000000"/>
          <w:lang w:eastAsia="en-AU"/>
        </w:rPr>
        <w:t>implemented investments totalling over $1.1 billion in the Fraud Fusion Taskforce (FFT), Crack Down on Fraud (CDoF) and Payment Integrity programs</w:t>
      </w:r>
      <w:r w:rsidR="00295F50" w:rsidRPr="00A4275A">
        <w:rPr>
          <w:rFonts w:eastAsia="Arial" w:cs="Arial"/>
          <w:color w:val="000000"/>
          <w:lang w:eastAsia="en-AU"/>
        </w:rPr>
        <w:t>.</w:t>
      </w:r>
      <w:r w:rsidRPr="00A4275A">
        <w:rPr>
          <w:rFonts w:eastAsia="Arial" w:cs="Arial"/>
          <w:color w:val="000000"/>
          <w:lang w:eastAsia="en-AU"/>
        </w:rPr>
        <w:t xml:space="preserve"> </w:t>
      </w:r>
      <w:r w:rsidR="00295F50" w:rsidRPr="00A4275A">
        <w:rPr>
          <w:rFonts w:eastAsia="Arial" w:cs="Arial"/>
          <w:color w:val="000000"/>
          <w:lang w:eastAsia="en-AU"/>
        </w:rPr>
        <w:t xml:space="preserve">This investment has </w:t>
      </w:r>
      <w:r w:rsidRPr="00A4275A">
        <w:rPr>
          <w:rFonts w:eastAsia="Arial" w:cs="Arial"/>
          <w:color w:val="000000"/>
          <w:lang w:eastAsia="en-AU"/>
        </w:rPr>
        <w:t>dramatically improved the NDIA’s ability</w:t>
      </w:r>
      <w:r w:rsidR="00463231">
        <w:rPr>
          <w:rFonts w:eastAsia="Arial" w:cs="Arial"/>
          <w:color w:val="000000"/>
          <w:lang w:eastAsia="en-AU"/>
        </w:rPr>
        <w:t xml:space="preserve"> </w:t>
      </w:r>
      <w:r w:rsidRPr="00A4275A">
        <w:rPr>
          <w:rFonts w:eastAsia="Arial" w:cs="Arial"/>
          <w:color w:val="000000"/>
          <w:lang w:eastAsia="en-AU"/>
        </w:rPr>
        <w:t>to detect high-risk provider behaviour.</w:t>
      </w:r>
    </w:p>
    <w:p w14:paraId="609465B2" w14:textId="5C7B530D" w:rsidR="00085CE8" w:rsidRPr="00A4275A" w:rsidRDefault="0078418D" w:rsidP="00797726">
      <w:pPr>
        <w:rPr>
          <w:rFonts w:eastAsia="Arial" w:cs="Arial"/>
          <w:color w:val="000000"/>
          <w:lang w:eastAsia="en-AU"/>
        </w:rPr>
      </w:pPr>
      <w:r w:rsidRPr="00A4275A">
        <w:rPr>
          <w:rFonts w:eastAsia="Arial" w:cs="Arial"/>
          <w:color w:val="000000"/>
          <w:lang w:eastAsia="en-AU"/>
        </w:rPr>
        <w:t xml:space="preserve">In </w:t>
      </w:r>
      <w:r w:rsidR="00085CE8" w:rsidRPr="00A4275A">
        <w:rPr>
          <w:rFonts w:eastAsia="Arial" w:cs="Arial"/>
          <w:color w:val="000000"/>
          <w:lang w:eastAsia="en-AU"/>
        </w:rPr>
        <w:t>the 2026–27 Budget</w:t>
      </w:r>
      <w:r w:rsidRPr="00A4275A">
        <w:rPr>
          <w:rFonts w:eastAsia="Arial" w:cs="Arial"/>
          <w:color w:val="000000"/>
          <w:lang w:eastAsia="en-AU"/>
        </w:rPr>
        <w:t>,</w:t>
      </w:r>
      <w:r w:rsidR="00463231">
        <w:rPr>
          <w:rFonts w:eastAsia="Arial" w:cs="Arial"/>
          <w:color w:val="000000"/>
          <w:lang w:eastAsia="en-AU"/>
        </w:rPr>
        <w:t xml:space="preserve"> </w:t>
      </w:r>
      <w:r w:rsidRPr="00A4275A">
        <w:rPr>
          <w:rFonts w:eastAsia="Arial" w:cs="Arial"/>
          <w:color w:val="000000"/>
          <w:lang w:eastAsia="en-AU"/>
        </w:rPr>
        <w:t xml:space="preserve">new investments </w:t>
      </w:r>
      <w:r w:rsidR="00085CE8" w:rsidRPr="00A4275A">
        <w:rPr>
          <w:rFonts w:eastAsia="Arial" w:cs="Arial"/>
          <w:color w:val="000000"/>
          <w:lang w:eastAsia="en-AU"/>
        </w:rPr>
        <w:t>includ</w:t>
      </w:r>
      <w:r w:rsidRPr="00A4275A">
        <w:rPr>
          <w:rFonts w:eastAsia="Arial" w:cs="Arial"/>
          <w:color w:val="000000"/>
          <w:lang w:eastAsia="en-AU"/>
        </w:rPr>
        <w:t>ed</w:t>
      </w:r>
      <w:r w:rsidR="00085CE8" w:rsidRPr="00A4275A">
        <w:rPr>
          <w:rFonts w:eastAsia="Arial" w:cs="Arial"/>
          <w:color w:val="000000"/>
          <w:lang w:eastAsia="en-AU"/>
        </w:rPr>
        <w:t>:</w:t>
      </w:r>
    </w:p>
    <w:p w14:paraId="380E56E6" w14:textId="156F80F9" w:rsidR="00085CE8" w:rsidRPr="00A4275A" w:rsidRDefault="00085CE8" w:rsidP="00E76D07">
      <w:pPr>
        <w:pStyle w:val="Bullet1"/>
      </w:pPr>
      <w:r w:rsidRPr="00A4275A">
        <w:t>$280.1 million over 5 years from 2025–26 (and $53.0 million per year ongoing) to continue the FFT and invest in the NDIA to continue to detect and respond to fraud and noncompliant payments</w:t>
      </w:r>
    </w:p>
    <w:p w14:paraId="192896D0" w14:textId="5A9F0831" w:rsidR="00085CE8" w:rsidRPr="00A4275A" w:rsidRDefault="00085CE8" w:rsidP="00E76D07">
      <w:pPr>
        <w:pStyle w:val="Bullet1"/>
      </w:pPr>
      <w:r w:rsidRPr="00A4275A">
        <w:t>$358.5 million over 5 years from 2025–26 to develop and implement a new digital enrolment, access and payment system to improve payment integrity and reduce fraud and noncompliant payments</w:t>
      </w:r>
      <w:r w:rsidR="00295F50" w:rsidRPr="00A4275A">
        <w:t xml:space="preserve"> </w:t>
      </w:r>
      <w:r w:rsidR="00295F50" w:rsidRPr="00A4275A">
        <w:rPr>
          <w:rFonts w:ascii="Symbol" w:eastAsia="Symbol" w:hAnsi="Symbol" w:cs="Symbol"/>
        </w:rPr>
        <w:t>-</w:t>
      </w:r>
      <w:r w:rsidR="00295F50" w:rsidRPr="00A4275A">
        <w:t xml:space="preserve"> </w:t>
      </w:r>
      <w:r w:rsidRPr="00A4275A">
        <w:t>$351.1</w:t>
      </w:r>
      <w:r w:rsidR="00463231">
        <w:t xml:space="preserve"> </w:t>
      </w:r>
      <w:r w:rsidRPr="00A4275A">
        <w:t>million</w:t>
      </w:r>
      <w:r w:rsidR="00463231">
        <w:t xml:space="preserve"> </w:t>
      </w:r>
      <w:r w:rsidRPr="00A4275A">
        <w:t>of this funding has been</w:t>
      </w:r>
      <w:r w:rsidR="00463231">
        <w:t xml:space="preserve"> </w:t>
      </w:r>
      <w:r w:rsidRPr="00A4275A">
        <w:t>allocated</w:t>
      </w:r>
      <w:r w:rsidR="00463231">
        <w:t xml:space="preserve"> </w:t>
      </w:r>
      <w:r w:rsidRPr="00A4275A">
        <w:t>to the NDIA from 2026</w:t>
      </w:r>
      <w:r w:rsidR="00810917">
        <w:t>–</w:t>
      </w:r>
      <w:r w:rsidRPr="00A4275A">
        <w:t>27 over 4 years</w:t>
      </w:r>
    </w:p>
    <w:p w14:paraId="795EDEFC" w14:textId="0E57A536" w:rsidR="004C06A9" w:rsidRPr="00A4275A" w:rsidRDefault="00085CE8" w:rsidP="00E76D07">
      <w:pPr>
        <w:pStyle w:val="Bullet1"/>
      </w:pPr>
      <w:r w:rsidRPr="00A4275A">
        <w:rPr>
          <w:rFonts w:eastAsia="Arial" w:cs="Arial"/>
          <w:color w:val="000000"/>
        </w:rPr>
        <w:t>$49.4 million to commission plan management and support coordination services for NDIS participants to reduce fraud and improve service quality for participants.</w:t>
      </w:r>
    </w:p>
    <w:p w14:paraId="2300AE24" w14:textId="78AADE22" w:rsidR="002E7C85" w:rsidRPr="00A4275A" w:rsidRDefault="002E7C85" w:rsidP="002E7C85">
      <w:pPr>
        <w:pStyle w:val="Heading4"/>
      </w:pPr>
      <w:r w:rsidRPr="00A4275A">
        <w:t>Preventing fraud</w:t>
      </w:r>
    </w:p>
    <w:p w14:paraId="7DEA7FD5" w14:textId="315B8FAD" w:rsidR="002F3CE6" w:rsidRPr="00A4275A" w:rsidRDefault="002F3CE6" w:rsidP="00797726">
      <w:pPr>
        <w:rPr>
          <w:rFonts w:eastAsia="Arial" w:cs="Arial"/>
          <w:color w:val="000000"/>
          <w:lang w:eastAsia="en-AU"/>
        </w:rPr>
      </w:pPr>
      <w:r w:rsidRPr="00A4275A">
        <w:rPr>
          <w:rFonts w:eastAsia="Arial" w:cs="Arial"/>
          <w:color w:val="000000"/>
          <w:lang w:eastAsia="en-AU"/>
        </w:rPr>
        <w:t xml:space="preserve">The FFT, established in November 2022, is </w:t>
      </w:r>
      <w:r w:rsidRPr="002222FD">
        <w:rPr>
          <w:rFonts w:eastAsia="Arial" w:cs="Arial"/>
          <w:color w:val="000000"/>
          <w:lang w:eastAsia="en-AU"/>
        </w:rPr>
        <w:t xml:space="preserve">strengthening the </w:t>
      </w:r>
      <w:r w:rsidR="002222FD">
        <w:rPr>
          <w:rFonts w:eastAsia="Arial" w:cs="Arial"/>
          <w:color w:val="000000"/>
          <w:lang w:eastAsia="en-AU"/>
        </w:rPr>
        <w:t>g</w:t>
      </w:r>
      <w:r w:rsidRPr="002222FD">
        <w:rPr>
          <w:rFonts w:eastAsia="Arial" w:cs="Arial"/>
          <w:color w:val="000000"/>
          <w:lang w:eastAsia="en-AU"/>
        </w:rPr>
        <w:t>overnment</w:t>
      </w:r>
      <w:r w:rsidR="0078418D" w:rsidRPr="002222FD">
        <w:rPr>
          <w:rFonts w:eastAsia="Arial" w:cs="Arial"/>
          <w:color w:val="000000"/>
          <w:lang w:eastAsia="en-AU"/>
        </w:rPr>
        <w:t>’</w:t>
      </w:r>
      <w:r w:rsidRPr="002222FD">
        <w:rPr>
          <w:rFonts w:eastAsia="Arial" w:cs="Arial"/>
          <w:color w:val="000000"/>
          <w:lang w:eastAsia="en-AU"/>
        </w:rPr>
        <w:t>s ability</w:t>
      </w:r>
      <w:r w:rsidRPr="00A4275A">
        <w:rPr>
          <w:rFonts w:eastAsia="Arial" w:cs="Arial"/>
          <w:color w:val="000000"/>
          <w:lang w:eastAsia="en-AU"/>
        </w:rPr>
        <w:t xml:space="preserve"> to identify, prevent and respond to fraud against the NDIS through coordinated action across 25 partner agencies. This collaboration has significantly increased the disruption of organised crime groups targeting the NDIS and other government payment programs.</w:t>
      </w:r>
    </w:p>
    <w:p w14:paraId="283710D5" w14:textId="46A1E021" w:rsidR="002F3CE6" w:rsidRPr="00A4275A" w:rsidRDefault="002F3CE6" w:rsidP="00797726">
      <w:pPr>
        <w:rPr>
          <w:rFonts w:eastAsia="Arial" w:cs="Arial"/>
          <w:color w:val="000000"/>
          <w:lang w:eastAsia="en-AU"/>
        </w:rPr>
      </w:pPr>
      <w:r w:rsidRPr="00A4275A">
        <w:rPr>
          <w:rFonts w:eastAsia="Arial" w:cs="Arial"/>
          <w:color w:val="000000"/>
          <w:lang w:eastAsia="en-AU"/>
        </w:rPr>
        <w:t>The CDoF program, announced in February 2024, has strengthened the NDIA</w:t>
      </w:r>
      <w:r w:rsidR="00295F50" w:rsidRPr="00A4275A">
        <w:rPr>
          <w:rFonts w:eastAsia="Arial" w:cs="Arial"/>
          <w:color w:val="000000"/>
          <w:lang w:eastAsia="en-AU"/>
        </w:rPr>
        <w:t>’</w:t>
      </w:r>
      <w:r w:rsidRPr="00A4275A">
        <w:rPr>
          <w:rFonts w:eastAsia="Arial" w:cs="Arial"/>
          <w:color w:val="000000"/>
          <w:lang w:eastAsia="en-AU"/>
        </w:rPr>
        <w:t xml:space="preserve">s systems and capabilities to better detect, prevent and respond to noncompliance and fraud. These improvements support correct participation in the </w:t>
      </w:r>
      <w:r w:rsidR="00295F50" w:rsidRPr="00A4275A">
        <w:rPr>
          <w:rFonts w:eastAsia="Arial" w:cs="Arial"/>
          <w:color w:val="000000"/>
          <w:lang w:eastAsia="en-AU"/>
        </w:rPr>
        <w:t>NDIS</w:t>
      </w:r>
      <w:r w:rsidRPr="00A4275A">
        <w:rPr>
          <w:rFonts w:eastAsia="Arial" w:cs="Arial"/>
          <w:color w:val="000000"/>
          <w:lang w:eastAsia="en-AU"/>
        </w:rPr>
        <w:t>, improve outcomes for participants</w:t>
      </w:r>
      <w:r w:rsidR="007108BD" w:rsidRPr="00A4275A">
        <w:rPr>
          <w:rFonts w:eastAsia="Arial" w:cs="Arial"/>
          <w:color w:val="000000"/>
          <w:lang w:eastAsia="en-AU"/>
        </w:rPr>
        <w:t>,</w:t>
      </w:r>
      <w:r w:rsidRPr="00A4275A">
        <w:rPr>
          <w:rFonts w:eastAsia="Arial" w:cs="Arial"/>
          <w:color w:val="000000"/>
          <w:lang w:eastAsia="en-AU"/>
        </w:rPr>
        <w:t xml:space="preserve"> and act as a deterrent to fraudulent and noncompliant behaviour.</w:t>
      </w:r>
    </w:p>
    <w:p w14:paraId="638D77FE" w14:textId="2B77DE9D" w:rsidR="002F3CE6" w:rsidRPr="00A4275A" w:rsidRDefault="002F3CE6" w:rsidP="00797726">
      <w:pPr>
        <w:rPr>
          <w:rFonts w:eastAsia="Arial" w:cs="Arial"/>
          <w:color w:val="000000"/>
          <w:lang w:eastAsia="en-AU"/>
        </w:rPr>
      </w:pPr>
      <w:r w:rsidRPr="00A4275A">
        <w:rPr>
          <w:rFonts w:eastAsia="Arial" w:cs="Arial"/>
          <w:color w:val="000000"/>
          <w:lang w:eastAsia="en-AU"/>
        </w:rPr>
        <w:t>In March 2026 an independent End Stage Gateway Review conducted under the Department of Finance</w:t>
      </w:r>
      <w:r w:rsidR="00295F50" w:rsidRPr="00A4275A">
        <w:rPr>
          <w:rFonts w:eastAsia="Arial" w:cs="Arial"/>
          <w:color w:val="000000"/>
          <w:lang w:eastAsia="en-AU"/>
        </w:rPr>
        <w:t>’</w:t>
      </w:r>
      <w:r w:rsidRPr="00A4275A">
        <w:rPr>
          <w:rFonts w:eastAsia="Arial" w:cs="Arial"/>
          <w:color w:val="000000"/>
          <w:lang w:eastAsia="en-AU"/>
        </w:rPr>
        <w:t>s Assurance Review Framework found the CDoF program had successfully delivered all milestones on time and within budget</w:t>
      </w:r>
      <w:r w:rsidR="00295F50" w:rsidRPr="00A4275A">
        <w:rPr>
          <w:rFonts w:eastAsia="Arial" w:cs="Arial"/>
          <w:color w:val="000000"/>
          <w:lang w:eastAsia="en-AU"/>
        </w:rPr>
        <w:t>,</w:t>
      </w:r>
      <w:r w:rsidRPr="00A4275A">
        <w:rPr>
          <w:rFonts w:eastAsia="Arial" w:cs="Arial"/>
          <w:color w:val="000000"/>
          <w:lang w:eastAsia="en-AU"/>
        </w:rPr>
        <w:t xml:space="preserve"> providing enhanced integrity capabilities that support efficient operation of the NDIS.</w:t>
      </w:r>
    </w:p>
    <w:p w14:paraId="6C25543F" w14:textId="220A215C" w:rsidR="002E7C85" w:rsidRPr="00A4275A" w:rsidRDefault="002F3CE6" w:rsidP="00797726">
      <w:r w:rsidRPr="00A4275A">
        <w:rPr>
          <w:rFonts w:eastAsia="Arial" w:cs="Arial"/>
          <w:color w:val="000000"/>
          <w:lang w:eastAsia="en-AU"/>
        </w:rPr>
        <w:t>Continued investment in the NDIA</w:t>
      </w:r>
      <w:r w:rsidR="00295F50" w:rsidRPr="00A4275A">
        <w:rPr>
          <w:rFonts w:eastAsia="Arial" w:cs="Arial"/>
          <w:color w:val="000000"/>
          <w:lang w:eastAsia="en-AU"/>
        </w:rPr>
        <w:t>’</w:t>
      </w:r>
      <w:r w:rsidRPr="00A4275A">
        <w:rPr>
          <w:rFonts w:eastAsia="Arial" w:cs="Arial"/>
          <w:color w:val="000000"/>
          <w:lang w:eastAsia="en-AU"/>
        </w:rPr>
        <w:t xml:space="preserve">s </w:t>
      </w:r>
      <w:r w:rsidR="00AC21DD" w:rsidRPr="00A4275A">
        <w:rPr>
          <w:rFonts w:eastAsia="Arial" w:cs="Arial"/>
          <w:color w:val="000000"/>
          <w:lang w:eastAsia="en-AU"/>
        </w:rPr>
        <w:t>p</w:t>
      </w:r>
      <w:r w:rsidRPr="00A4275A">
        <w:rPr>
          <w:rFonts w:eastAsia="Arial" w:cs="Arial"/>
          <w:color w:val="000000"/>
          <w:lang w:eastAsia="en-AU"/>
        </w:rPr>
        <w:t xml:space="preserve">ayment </w:t>
      </w:r>
      <w:r w:rsidR="00AC21DD" w:rsidRPr="00A4275A">
        <w:rPr>
          <w:rFonts w:eastAsia="Arial" w:cs="Arial"/>
          <w:color w:val="000000"/>
          <w:lang w:eastAsia="en-AU"/>
        </w:rPr>
        <w:t>i</w:t>
      </w:r>
      <w:r w:rsidRPr="00A4275A">
        <w:rPr>
          <w:rFonts w:eastAsia="Arial" w:cs="Arial"/>
          <w:color w:val="000000"/>
          <w:lang w:eastAsia="en-AU"/>
        </w:rPr>
        <w:t>ntegrity workforce ha</w:t>
      </w:r>
      <w:r w:rsidR="00157F2E" w:rsidRPr="00A4275A">
        <w:rPr>
          <w:rFonts w:eastAsia="Arial" w:cs="Arial"/>
          <w:color w:val="000000"/>
          <w:lang w:eastAsia="en-AU"/>
        </w:rPr>
        <w:t>s</w:t>
      </w:r>
      <w:r w:rsidRPr="00A4275A">
        <w:rPr>
          <w:rFonts w:eastAsia="Arial" w:cs="Arial"/>
          <w:color w:val="000000"/>
          <w:lang w:eastAsia="en-AU"/>
        </w:rPr>
        <w:t xml:space="preserve"> </w:t>
      </w:r>
      <w:r w:rsidR="00157F2E" w:rsidRPr="00A4275A">
        <w:rPr>
          <w:rFonts w:eastAsia="Arial" w:cs="Arial"/>
          <w:color w:val="000000"/>
          <w:lang w:eastAsia="en-AU"/>
        </w:rPr>
        <w:t xml:space="preserve">meant that </w:t>
      </w:r>
      <w:r w:rsidRPr="00A4275A">
        <w:rPr>
          <w:rFonts w:eastAsia="Arial" w:cs="Arial"/>
          <w:color w:val="000000"/>
          <w:lang w:eastAsia="en-AU"/>
        </w:rPr>
        <w:t xml:space="preserve">every claim </w:t>
      </w:r>
      <w:r w:rsidR="00157F2E" w:rsidRPr="00A4275A">
        <w:rPr>
          <w:rFonts w:eastAsia="Arial" w:cs="Arial"/>
          <w:color w:val="000000"/>
          <w:lang w:eastAsia="en-AU"/>
        </w:rPr>
        <w:t xml:space="preserve">has been </w:t>
      </w:r>
      <w:r w:rsidRPr="00A4275A">
        <w:rPr>
          <w:rFonts w:eastAsia="Arial" w:cs="Arial"/>
          <w:color w:val="000000"/>
          <w:lang w:eastAsia="en-AU"/>
        </w:rPr>
        <w:t xml:space="preserve">assessed </w:t>
      </w:r>
      <w:r w:rsidR="00157F2E" w:rsidRPr="00A4275A">
        <w:rPr>
          <w:rFonts w:eastAsia="Arial" w:cs="Arial"/>
          <w:color w:val="000000"/>
          <w:lang w:eastAsia="en-AU"/>
        </w:rPr>
        <w:t xml:space="preserve">for risk </w:t>
      </w:r>
      <w:r w:rsidRPr="00A4275A">
        <w:rPr>
          <w:rFonts w:eastAsia="Arial" w:cs="Arial"/>
          <w:color w:val="000000"/>
          <w:lang w:eastAsia="en-AU"/>
        </w:rPr>
        <w:t xml:space="preserve">before </w:t>
      </w:r>
      <w:r w:rsidR="00B215BC" w:rsidRPr="00A4275A">
        <w:rPr>
          <w:rFonts w:eastAsia="Arial" w:cs="Arial"/>
          <w:color w:val="000000"/>
          <w:lang w:eastAsia="en-AU"/>
        </w:rPr>
        <w:t>being paid</w:t>
      </w:r>
      <w:r w:rsidRPr="00A4275A">
        <w:rPr>
          <w:rFonts w:eastAsia="Arial" w:cs="Arial"/>
          <w:color w:val="000000"/>
          <w:lang w:eastAsia="en-AU"/>
        </w:rPr>
        <w:t>.</w:t>
      </w:r>
      <w:r w:rsidRPr="00A4275A">
        <w:rPr>
          <w:rFonts w:eastAsia="Arial" w:cs="Arial"/>
          <w:i/>
          <w:iCs/>
          <w:color w:val="000000"/>
          <w:lang w:eastAsia="en-AU"/>
        </w:rPr>
        <w:t xml:space="preserve"> </w:t>
      </w:r>
      <w:r w:rsidRPr="00A4275A">
        <w:rPr>
          <w:rFonts w:eastAsia="Arial" w:cs="Arial"/>
          <w:color w:val="000000"/>
          <w:lang w:eastAsia="en-AU"/>
        </w:rPr>
        <w:t>In 2025</w:t>
      </w:r>
      <w:r w:rsidR="00810917">
        <w:rPr>
          <w:rFonts w:eastAsia="Arial" w:cs="Arial"/>
          <w:color w:val="000000"/>
          <w:lang w:eastAsia="en-AU"/>
        </w:rPr>
        <w:t>–</w:t>
      </w:r>
      <w:r w:rsidRPr="00A4275A">
        <w:rPr>
          <w:rFonts w:eastAsia="Arial" w:cs="Arial"/>
          <w:color w:val="000000"/>
          <w:lang w:eastAsia="en-AU"/>
        </w:rPr>
        <w:t xml:space="preserve">26 the NDIA Pre-Payment </w:t>
      </w:r>
      <w:r w:rsidR="0078418D" w:rsidRPr="00A4275A">
        <w:rPr>
          <w:rFonts w:eastAsia="Arial" w:cs="Arial"/>
          <w:color w:val="000000"/>
          <w:lang w:eastAsia="en-AU"/>
        </w:rPr>
        <w:t>t</w:t>
      </w:r>
      <w:r w:rsidRPr="00A4275A">
        <w:rPr>
          <w:rFonts w:eastAsia="Arial" w:cs="Arial"/>
          <w:color w:val="000000"/>
          <w:lang w:eastAsia="en-AU"/>
        </w:rPr>
        <w:t>eam reviewed over 72,000 claims from providers, plan managers and participants, valued at over $212 million. Over 50,000 claims, worth over $141</w:t>
      </w:r>
      <w:r w:rsidR="009C4978">
        <w:rPr>
          <w:rFonts w:eastAsia="Arial" w:cs="Arial"/>
          <w:color w:val="000000"/>
          <w:lang w:eastAsia="en-AU"/>
        </w:rPr>
        <w:t> </w:t>
      </w:r>
      <w:r w:rsidRPr="00A4275A">
        <w:rPr>
          <w:rFonts w:eastAsia="Arial" w:cs="Arial"/>
          <w:color w:val="000000"/>
          <w:lang w:eastAsia="en-AU"/>
        </w:rPr>
        <w:t>million, were rejected, ensuring only legitimate claims were paid.</w:t>
      </w:r>
    </w:p>
    <w:p w14:paraId="6F1DE56D" w14:textId="77777777" w:rsidR="00A32D9B" w:rsidRPr="00A4275A" w:rsidRDefault="002E7C85" w:rsidP="002E7C85">
      <w:pPr>
        <w:pStyle w:val="Heading4"/>
      </w:pPr>
      <w:r w:rsidRPr="00A4275A">
        <w:t>Integrity outcomes</w:t>
      </w:r>
    </w:p>
    <w:p w14:paraId="0DE363E2" w14:textId="035BF968" w:rsidR="002118DB" w:rsidRPr="00A4275A" w:rsidRDefault="002118DB" w:rsidP="00797726">
      <w:pPr>
        <w:rPr>
          <w:rFonts w:eastAsia="Arial" w:cs="Arial"/>
          <w:color w:val="000000"/>
          <w:lang w:eastAsia="en-AU"/>
        </w:rPr>
      </w:pPr>
      <w:r w:rsidRPr="00A4275A">
        <w:rPr>
          <w:rFonts w:eastAsia="Arial" w:cs="Arial"/>
          <w:color w:val="000000"/>
          <w:lang w:eastAsia="en-AU"/>
        </w:rPr>
        <w:t>NDIS transformation programs</w:t>
      </w:r>
      <w:r w:rsidR="00295F50" w:rsidRPr="00A4275A">
        <w:rPr>
          <w:rFonts w:eastAsia="Arial" w:cs="Arial"/>
          <w:color w:val="000000"/>
          <w:lang w:eastAsia="en-AU"/>
        </w:rPr>
        <w:t>,</w:t>
      </w:r>
      <w:r w:rsidRPr="00A4275A">
        <w:rPr>
          <w:rFonts w:eastAsia="Arial" w:cs="Arial"/>
          <w:color w:val="000000"/>
          <w:lang w:eastAsia="en-AU"/>
        </w:rPr>
        <w:t xml:space="preserve"> including the FFT</w:t>
      </w:r>
      <w:r w:rsidR="00295F50" w:rsidRPr="00A4275A">
        <w:rPr>
          <w:rFonts w:eastAsia="Arial" w:cs="Arial"/>
          <w:color w:val="000000"/>
          <w:lang w:eastAsia="en-AU"/>
        </w:rPr>
        <w:t>,</w:t>
      </w:r>
      <w:r w:rsidRPr="00A4275A">
        <w:rPr>
          <w:rFonts w:eastAsia="Arial" w:cs="Arial"/>
          <w:color w:val="000000"/>
          <w:lang w:eastAsia="en-AU"/>
        </w:rPr>
        <w:t xml:space="preserve"> are delivering strong results:</w:t>
      </w:r>
    </w:p>
    <w:p w14:paraId="677B9EC1" w14:textId="5D692FA7" w:rsidR="002118DB" w:rsidRPr="00A4275A" w:rsidRDefault="002118DB" w:rsidP="00797726">
      <w:pPr>
        <w:numPr>
          <w:ilvl w:val="0"/>
          <w:numId w:val="38"/>
        </w:numPr>
        <w:ind w:left="714" w:hanging="357"/>
        <w:rPr>
          <w:rFonts w:cs="Arial"/>
          <w:color w:val="000000"/>
          <w:lang w:eastAsia="en-AU"/>
        </w:rPr>
      </w:pPr>
      <w:r w:rsidRPr="00A4275A">
        <w:rPr>
          <w:rFonts w:cs="Arial"/>
          <w:b/>
          <w:bCs/>
          <w:color w:val="000000"/>
          <w:lang w:eastAsia="en-AU"/>
        </w:rPr>
        <w:t xml:space="preserve">Over </w:t>
      </w:r>
      <w:r w:rsidR="00C42D5D" w:rsidRPr="00A4275A">
        <w:rPr>
          <w:rFonts w:eastAsia="Arial" w:cs="Arial"/>
          <w:b/>
          <w:bCs/>
          <w:color w:val="000000"/>
          <w:lang w:eastAsia="en-AU"/>
        </w:rPr>
        <w:t xml:space="preserve">$4.1 billion in </w:t>
      </w:r>
      <w:r w:rsidR="00C42D5D" w:rsidRPr="002222FD">
        <w:rPr>
          <w:rFonts w:eastAsia="Arial" w:cs="Arial"/>
          <w:b/>
          <w:bCs/>
          <w:color w:val="000000"/>
          <w:lang w:eastAsia="en-AU"/>
        </w:rPr>
        <w:t>benefits:</w:t>
      </w:r>
      <w:r w:rsidR="00C42D5D" w:rsidRPr="002222FD">
        <w:rPr>
          <w:rFonts w:eastAsia="Arial" w:cs="Arial"/>
          <w:color w:val="000000"/>
          <w:lang w:eastAsia="en-AU"/>
        </w:rPr>
        <w:t xml:space="preserve"> Collectively</w:t>
      </w:r>
      <w:r w:rsidR="00C42D5D" w:rsidRPr="00A4275A">
        <w:rPr>
          <w:rFonts w:eastAsia="Arial" w:cs="Arial"/>
          <w:color w:val="000000"/>
          <w:lang w:eastAsia="en-AU"/>
        </w:rPr>
        <w:t>, integrity initiatives are estimated to deliver more than $4.1 billion in benefits between 1 November 2022 and 30</w:t>
      </w:r>
      <w:r w:rsidR="009C4978">
        <w:rPr>
          <w:rFonts w:eastAsia="Arial" w:cs="Arial"/>
          <w:color w:val="000000"/>
          <w:lang w:eastAsia="en-AU"/>
        </w:rPr>
        <w:t> </w:t>
      </w:r>
      <w:r w:rsidR="00C42D5D" w:rsidRPr="00A4275A">
        <w:rPr>
          <w:rFonts w:eastAsia="Arial" w:cs="Arial"/>
          <w:color w:val="000000"/>
          <w:lang w:eastAsia="en-AU"/>
        </w:rPr>
        <w:t>June 2029, including over $1.7 billion in prevented noncompliant payments and a further $2.4 billion redirected from problematic providers to genuine disability supports and services. These estimates are based on interventions implemented up to March and June 2026 and do not include the impact of future interventions.</w:t>
      </w:r>
    </w:p>
    <w:p w14:paraId="0C864129" w14:textId="04F3D790" w:rsidR="002118DB" w:rsidRPr="00A4275A" w:rsidRDefault="002118DB" w:rsidP="00797726">
      <w:pPr>
        <w:numPr>
          <w:ilvl w:val="0"/>
          <w:numId w:val="38"/>
        </w:numPr>
        <w:ind w:left="714" w:hanging="357"/>
        <w:rPr>
          <w:rFonts w:cs="Arial"/>
          <w:color w:val="000000"/>
          <w:lang w:eastAsia="en-AU"/>
        </w:rPr>
      </w:pPr>
      <w:r w:rsidRPr="00A4275A">
        <w:rPr>
          <w:rFonts w:cs="Arial"/>
          <w:b/>
          <w:bCs/>
          <w:color w:val="000000"/>
          <w:lang w:eastAsia="en-AU"/>
        </w:rPr>
        <w:t>Increased prosecutions:</w:t>
      </w:r>
      <w:r w:rsidRPr="00A4275A">
        <w:rPr>
          <w:rFonts w:cs="Arial"/>
          <w:color w:val="000000"/>
          <w:lang w:eastAsia="en-AU"/>
        </w:rPr>
        <w:t xml:space="preserve"> FFT actions have contributed to jail sentences in 17</w:t>
      </w:r>
      <w:r w:rsidR="00B347A4">
        <w:rPr>
          <w:rFonts w:cs="Arial"/>
          <w:color w:val="000000"/>
          <w:lang w:eastAsia="en-AU"/>
        </w:rPr>
        <w:t> </w:t>
      </w:r>
      <w:r w:rsidRPr="00A4275A">
        <w:rPr>
          <w:rFonts w:cs="Arial"/>
          <w:color w:val="000000"/>
          <w:lang w:eastAsia="en-AU"/>
        </w:rPr>
        <w:t xml:space="preserve">of the 26 NDIS-related criminal convictions secured since December 2022. The longest sentence imposed was </w:t>
      </w:r>
      <w:r w:rsidR="00295F50" w:rsidRPr="00A4275A">
        <w:rPr>
          <w:rFonts w:cs="Arial"/>
          <w:color w:val="000000"/>
          <w:lang w:eastAsia="en-AU"/>
        </w:rPr>
        <w:t xml:space="preserve">6 </w:t>
      </w:r>
      <w:r w:rsidRPr="00A4275A">
        <w:rPr>
          <w:rFonts w:cs="Arial"/>
          <w:color w:val="000000"/>
          <w:lang w:eastAsia="en-AU"/>
        </w:rPr>
        <w:t xml:space="preserve">years, received by </w:t>
      </w:r>
      <w:r w:rsidR="00295F50" w:rsidRPr="00A4275A">
        <w:rPr>
          <w:rFonts w:cs="Arial"/>
          <w:color w:val="000000"/>
          <w:lang w:eastAsia="en-AU"/>
        </w:rPr>
        <w:t xml:space="preserve">2 </w:t>
      </w:r>
      <w:r w:rsidRPr="00A4275A">
        <w:rPr>
          <w:rFonts w:cs="Arial"/>
          <w:color w:val="000000"/>
          <w:lang w:eastAsia="en-AU"/>
        </w:rPr>
        <w:t>offenders. Other offenders have received intensive correction orders, fines or orders to repay stolen funds.</w:t>
      </w:r>
    </w:p>
    <w:p w14:paraId="68F78034" w14:textId="39BD35C9" w:rsidR="002E7C85" w:rsidRPr="00A4275A" w:rsidRDefault="002118DB" w:rsidP="00797726">
      <w:pPr>
        <w:numPr>
          <w:ilvl w:val="0"/>
          <w:numId w:val="38"/>
        </w:numPr>
        <w:ind w:left="714" w:hanging="357"/>
        <w:rPr>
          <w:rFonts w:cs="Arial"/>
          <w:b/>
          <w:bCs/>
          <w:color w:val="000000"/>
          <w:lang w:eastAsia="en-AU"/>
        </w:rPr>
      </w:pPr>
      <w:r w:rsidRPr="00A4275A">
        <w:rPr>
          <w:rFonts w:cs="Arial"/>
          <w:b/>
          <w:bCs/>
          <w:color w:val="000000"/>
          <w:lang w:eastAsia="en-AU"/>
        </w:rPr>
        <w:t xml:space="preserve">Fraudulent providers disrupted: </w:t>
      </w:r>
      <w:r w:rsidRPr="00A4275A">
        <w:rPr>
          <w:rFonts w:cs="Arial"/>
          <w:color w:val="000000"/>
          <w:lang w:eastAsia="en-AU"/>
        </w:rPr>
        <w:t>The FFT has also disrupted over 5,900</w:t>
      </w:r>
      <w:r w:rsidR="00BC4256">
        <w:rPr>
          <w:rFonts w:cs="Arial"/>
          <w:color w:val="000000"/>
          <w:lang w:eastAsia="en-AU"/>
        </w:rPr>
        <w:t> </w:t>
      </w:r>
      <w:r w:rsidRPr="00A4275A">
        <w:rPr>
          <w:rFonts w:cs="Arial"/>
          <w:color w:val="000000"/>
          <w:lang w:eastAsia="en-AU"/>
        </w:rPr>
        <w:t>providers identified as high</w:t>
      </w:r>
      <w:r w:rsidR="00C06CFC" w:rsidRPr="00A4275A">
        <w:rPr>
          <w:rFonts w:cs="Arial"/>
          <w:color w:val="000000"/>
          <w:lang w:eastAsia="en-AU"/>
        </w:rPr>
        <w:t>-</w:t>
      </w:r>
      <w:r w:rsidRPr="00A4275A">
        <w:rPr>
          <w:rFonts w:cs="Arial"/>
          <w:color w:val="000000"/>
          <w:lang w:eastAsia="en-AU"/>
        </w:rPr>
        <w:t xml:space="preserve">risk or responsible for incorrect or noncompliant claims. In the 12 months </w:t>
      </w:r>
      <w:r w:rsidR="00C33F80" w:rsidRPr="00A4275A">
        <w:rPr>
          <w:rFonts w:cs="Arial"/>
          <w:color w:val="000000"/>
          <w:lang w:eastAsia="en-AU"/>
        </w:rPr>
        <w:t>before being disrupted</w:t>
      </w:r>
      <w:r w:rsidRPr="00A4275A">
        <w:rPr>
          <w:rFonts w:cs="Arial"/>
          <w:color w:val="000000"/>
          <w:lang w:eastAsia="en-AU"/>
        </w:rPr>
        <w:t>, these providers collectively claimed around $1.1 billion</w:t>
      </w:r>
      <w:r w:rsidR="00295F50" w:rsidRPr="00A4275A">
        <w:rPr>
          <w:rFonts w:cs="Arial"/>
          <w:color w:val="000000"/>
          <w:lang w:eastAsia="en-AU"/>
        </w:rPr>
        <w:t>.</w:t>
      </w:r>
      <w:r w:rsidRPr="00A4275A">
        <w:rPr>
          <w:rFonts w:cs="Arial"/>
          <w:color w:val="000000"/>
          <w:lang w:eastAsia="en-AU"/>
        </w:rPr>
        <w:t xml:space="preserve"> </w:t>
      </w:r>
      <w:r w:rsidR="00295F50" w:rsidRPr="00A4275A">
        <w:rPr>
          <w:rFonts w:cs="Arial"/>
          <w:color w:val="000000"/>
          <w:lang w:eastAsia="en-AU"/>
        </w:rPr>
        <w:t>S</w:t>
      </w:r>
      <w:r w:rsidRPr="00A4275A">
        <w:rPr>
          <w:rFonts w:cs="Arial"/>
          <w:color w:val="000000"/>
          <w:lang w:eastAsia="en-AU"/>
        </w:rPr>
        <w:t xml:space="preserve">ince the start of the NDIS </w:t>
      </w:r>
      <w:r w:rsidR="00295F50" w:rsidRPr="00A4275A">
        <w:rPr>
          <w:rFonts w:cs="Arial"/>
          <w:color w:val="000000"/>
          <w:lang w:eastAsia="en-AU"/>
        </w:rPr>
        <w:t xml:space="preserve">they </w:t>
      </w:r>
      <w:r w:rsidRPr="00A4275A">
        <w:rPr>
          <w:rFonts w:cs="Arial"/>
          <w:color w:val="000000"/>
          <w:lang w:eastAsia="en-AU"/>
        </w:rPr>
        <w:t xml:space="preserve">had submitted claims </w:t>
      </w:r>
      <w:r w:rsidR="00C33F80" w:rsidRPr="00A4275A">
        <w:rPr>
          <w:rFonts w:cs="Arial"/>
          <w:color w:val="000000"/>
          <w:lang w:eastAsia="en-AU"/>
        </w:rPr>
        <w:t xml:space="preserve">of more than </w:t>
      </w:r>
      <w:r w:rsidRPr="00A4275A">
        <w:rPr>
          <w:rFonts w:cs="Arial"/>
          <w:color w:val="000000"/>
          <w:lang w:eastAsia="en-AU"/>
        </w:rPr>
        <w:t>$6.5 billion. While the exact proportion of problematic claims cannot be determined, these funds should have been directed to genuine supports or higher</w:t>
      </w:r>
      <w:r w:rsidR="0078418D" w:rsidRPr="00A4275A">
        <w:rPr>
          <w:rFonts w:cs="Arial"/>
          <w:color w:val="000000"/>
          <w:lang w:eastAsia="en-AU"/>
        </w:rPr>
        <w:t xml:space="preserve"> </w:t>
      </w:r>
      <w:r w:rsidRPr="00A4275A">
        <w:rPr>
          <w:rFonts w:cs="Arial"/>
          <w:color w:val="000000"/>
          <w:lang w:eastAsia="en-AU"/>
        </w:rPr>
        <w:t>quality providers.</w:t>
      </w:r>
    </w:p>
    <w:p w14:paraId="78200A6F" w14:textId="12C9B60D" w:rsidR="0007451E" w:rsidRPr="00A4275A" w:rsidRDefault="0007451E" w:rsidP="0007451E">
      <w:pPr>
        <w:pStyle w:val="Heading4"/>
      </w:pPr>
      <w:r w:rsidRPr="00A4275A">
        <w:t xml:space="preserve">Integrity </w:t>
      </w:r>
      <w:r w:rsidR="00AE286F" w:rsidRPr="00A4275A">
        <w:t>initiatives</w:t>
      </w:r>
    </w:p>
    <w:p w14:paraId="2F459D6C" w14:textId="79AE8CED" w:rsidR="00671653" w:rsidRPr="00A4275A" w:rsidRDefault="00671653" w:rsidP="00797726">
      <w:pPr>
        <w:rPr>
          <w:rFonts w:eastAsia="Arial" w:cs="Arial"/>
          <w:color w:val="000000"/>
          <w:lang w:eastAsia="en-AU"/>
        </w:rPr>
      </w:pPr>
      <w:r w:rsidRPr="00A4275A">
        <w:rPr>
          <w:rFonts w:eastAsia="Arial" w:cs="Arial"/>
          <w:color w:val="000000"/>
          <w:lang w:eastAsia="en-AU"/>
        </w:rPr>
        <w:t>In 2025</w:t>
      </w:r>
      <w:r w:rsidR="00810917">
        <w:rPr>
          <w:rFonts w:eastAsia="Arial" w:cs="Arial"/>
          <w:color w:val="000000"/>
          <w:lang w:eastAsia="en-AU"/>
        </w:rPr>
        <w:t>–</w:t>
      </w:r>
      <w:r w:rsidRPr="00A4275A">
        <w:rPr>
          <w:rFonts w:eastAsia="Arial" w:cs="Arial"/>
          <w:color w:val="000000"/>
          <w:lang w:eastAsia="en-AU"/>
        </w:rPr>
        <w:t>26 the NDIA delivered several integrity initiatives, including:</w:t>
      </w:r>
    </w:p>
    <w:p w14:paraId="1CB4F800" w14:textId="6381D004" w:rsidR="00671653" w:rsidRPr="00A4275A" w:rsidRDefault="00295F50" w:rsidP="00395AEF">
      <w:pPr>
        <w:pStyle w:val="Bullet1"/>
      </w:pPr>
      <w:r w:rsidRPr="00A4275A">
        <w:t>a</w:t>
      </w:r>
      <w:r w:rsidR="00671653" w:rsidRPr="00A4275A">
        <w:t xml:space="preserve"> new Integrity Management System </w:t>
      </w:r>
      <w:r w:rsidR="00034192" w:rsidRPr="00A4275A">
        <w:t xml:space="preserve">that </w:t>
      </w:r>
      <w:r w:rsidR="00671653" w:rsidRPr="00A4275A">
        <w:t>transform</w:t>
      </w:r>
      <w:r w:rsidR="00034192" w:rsidRPr="00A4275A">
        <w:t>s</w:t>
      </w:r>
      <w:r w:rsidR="00671653" w:rsidRPr="00A4275A">
        <w:t xml:space="preserve"> </w:t>
      </w:r>
      <w:r w:rsidR="0078418D" w:rsidRPr="00A4275A">
        <w:t xml:space="preserve">the way </w:t>
      </w:r>
      <w:r w:rsidR="00671653" w:rsidRPr="00A4275A">
        <w:t>integrity matters are managed and improv</w:t>
      </w:r>
      <w:r w:rsidR="00034192" w:rsidRPr="00A4275A">
        <w:t>es</w:t>
      </w:r>
      <w:r w:rsidR="00671653" w:rsidRPr="00A4275A">
        <w:t xml:space="preserve"> the NDIA</w:t>
      </w:r>
      <w:r w:rsidR="0078418D" w:rsidRPr="00A4275A">
        <w:t>’</w:t>
      </w:r>
      <w:r w:rsidR="00671653" w:rsidRPr="00A4275A">
        <w:t xml:space="preserve">s ability to work collaboratively across government to identify and address noncompliance and fraud. The system has </w:t>
      </w:r>
      <w:r w:rsidR="008A1175" w:rsidRPr="00A4275A">
        <w:t>more than</w:t>
      </w:r>
      <w:r w:rsidR="00671653" w:rsidRPr="00A4275A">
        <w:t xml:space="preserve"> 500 users and over 14 million records</w:t>
      </w:r>
      <w:r w:rsidR="008A1175" w:rsidRPr="00A4275A">
        <w:t xml:space="preserve"> have been migrated</w:t>
      </w:r>
    </w:p>
    <w:p w14:paraId="659AE194" w14:textId="16833AAB" w:rsidR="00671653" w:rsidRPr="00A4275A" w:rsidRDefault="00295F50" w:rsidP="00395AEF">
      <w:pPr>
        <w:pStyle w:val="Bullet1"/>
      </w:pPr>
      <w:r w:rsidRPr="00A4275A">
        <w:t>s</w:t>
      </w:r>
      <w:r w:rsidR="00671653" w:rsidRPr="00A4275A">
        <w:t xml:space="preserve">trengthened identity </w:t>
      </w:r>
      <w:r w:rsidR="000C4C76" w:rsidRPr="00A4275A">
        <w:t xml:space="preserve">authentication </w:t>
      </w:r>
      <w:r w:rsidR="00671653" w:rsidRPr="00A4275A">
        <w:t>for participants and providers:</w:t>
      </w:r>
    </w:p>
    <w:p w14:paraId="01CCD2D8" w14:textId="1AE6CC97" w:rsidR="00671653" w:rsidRPr="00A4275A" w:rsidRDefault="00671653" w:rsidP="00395AEF">
      <w:pPr>
        <w:pStyle w:val="Bullet2"/>
        <w:rPr>
          <w:lang w:eastAsia="en-AU"/>
        </w:rPr>
      </w:pPr>
      <w:r w:rsidRPr="00A4275A">
        <w:rPr>
          <w:lang w:eastAsia="en-AU"/>
        </w:rPr>
        <w:t xml:space="preserve">NDIS participants and nominees are now required to access NDIA online services through myGov </w:t>
      </w:r>
      <w:r w:rsidR="00EB3601" w:rsidRPr="00A4275A">
        <w:rPr>
          <w:lang w:eastAsia="en-AU"/>
        </w:rPr>
        <w:t xml:space="preserve">using </w:t>
      </w:r>
      <w:r w:rsidR="00295F50" w:rsidRPr="00A4275A">
        <w:rPr>
          <w:lang w:eastAsia="en-AU"/>
        </w:rPr>
        <w:t>m</w:t>
      </w:r>
      <w:r w:rsidRPr="00A4275A">
        <w:rPr>
          <w:lang w:eastAsia="en-AU"/>
        </w:rPr>
        <w:t>ulti-</w:t>
      </w:r>
      <w:r w:rsidR="00295F50" w:rsidRPr="00A4275A">
        <w:rPr>
          <w:lang w:eastAsia="en-AU"/>
        </w:rPr>
        <w:t>f</w:t>
      </w:r>
      <w:r w:rsidRPr="00A4275A">
        <w:rPr>
          <w:lang w:eastAsia="en-AU"/>
        </w:rPr>
        <w:t xml:space="preserve">actor </w:t>
      </w:r>
      <w:r w:rsidR="00295F50" w:rsidRPr="00A4275A">
        <w:rPr>
          <w:lang w:eastAsia="en-AU"/>
        </w:rPr>
        <w:t>a</w:t>
      </w:r>
      <w:r w:rsidRPr="00A4275A">
        <w:rPr>
          <w:lang w:eastAsia="en-AU"/>
        </w:rPr>
        <w:t xml:space="preserve">uthentication. </w:t>
      </w:r>
      <w:r w:rsidR="00F6492E" w:rsidRPr="00A4275A">
        <w:rPr>
          <w:lang w:eastAsia="en-AU"/>
        </w:rPr>
        <w:t>More than</w:t>
      </w:r>
      <w:r w:rsidRPr="00A4275A">
        <w:rPr>
          <w:lang w:eastAsia="en-AU"/>
        </w:rPr>
        <w:t xml:space="preserve"> 667,000 participants and nominees</w:t>
      </w:r>
      <w:r w:rsidR="0078418D" w:rsidRPr="00A4275A">
        <w:rPr>
          <w:lang w:eastAsia="en-AU"/>
        </w:rPr>
        <w:t>, including over 160,000 that have adopted Digital ID,</w:t>
      </w:r>
      <w:r w:rsidRPr="00A4275A">
        <w:rPr>
          <w:lang w:eastAsia="en-AU"/>
        </w:rPr>
        <w:t xml:space="preserve"> are using myGov with </w:t>
      </w:r>
      <w:r w:rsidR="00295F50" w:rsidRPr="00A4275A">
        <w:rPr>
          <w:lang w:eastAsia="en-AU"/>
        </w:rPr>
        <w:t>m</w:t>
      </w:r>
      <w:r w:rsidRPr="00A4275A">
        <w:rPr>
          <w:lang w:eastAsia="en-AU"/>
        </w:rPr>
        <w:t>ulti</w:t>
      </w:r>
      <w:r w:rsidR="00F6492E" w:rsidRPr="00A4275A">
        <w:rPr>
          <w:lang w:eastAsia="en-AU"/>
        </w:rPr>
        <w:noBreakHyphen/>
      </w:r>
      <w:r w:rsidR="00295F50" w:rsidRPr="00A4275A">
        <w:rPr>
          <w:lang w:eastAsia="en-AU"/>
        </w:rPr>
        <w:t>f</w:t>
      </w:r>
      <w:r w:rsidRPr="00A4275A">
        <w:rPr>
          <w:lang w:eastAsia="en-AU"/>
        </w:rPr>
        <w:t xml:space="preserve">actor </w:t>
      </w:r>
      <w:r w:rsidR="00295F50" w:rsidRPr="00A4275A">
        <w:rPr>
          <w:lang w:eastAsia="en-AU"/>
        </w:rPr>
        <w:t>a</w:t>
      </w:r>
      <w:r w:rsidRPr="00A4275A">
        <w:rPr>
          <w:lang w:eastAsia="en-AU"/>
        </w:rPr>
        <w:t>uthentication</w:t>
      </w:r>
    </w:p>
    <w:p w14:paraId="29C16769" w14:textId="4C22395F" w:rsidR="00671653" w:rsidRPr="00A4275A" w:rsidRDefault="00295F50" w:rsidP="00395AEF">
      <w:pPr>
        <w:pStyle w:val="Bullet2"/>
        <w:rPr>
          <w:lang w:eastAsia="en-AU"/>
        </w:rPr>
      </w:pPr>
      <w:r w:rsidRPr="00A4275A">
        <w:rPr>
          <w:lang w:eastAsia="en-AU"/>
        </w:rPr>
        <w:t>o</w:t>
      </w:r>
      <w:r w:rsidR="00671653" w:rsidRPr="00A4275A">
        <w:rPr>
          <w:lang w:eastAsia="en-AU"/>
        </w:rPr>
        <w:t>ver 40,000 providers and provider staff were migrated to myID and Relationship Authorisation Manager to access NDIA online channels</w:t>
      </w:r>
    </w:p>
    <w:p w14:paraId="7BA8F0CC" w14:textId="71B61133" w:rsidR="00671653" w:rsidRPr="00A4275A" w:rsidRDefault="000D6FF5" w:rsidP="00395AEF">
      <w:pPr>
        <w:pStyle w:val="Bullet1"/>
      </w:pPr>
      <w:r w:rsidRPr="00A4275A">
        <w:t>improved</w:t>
      </w:r>
      <w:r w:rsidR="00671653" w:rsidRPr="00A4275A">
        <w:t xml:space="preserve"> digital services, including a new NDIS mobile app and online interfaces that improve the user experience</w:t>
      </w:r>
      <w:r w:rsidR="008C56DC" w:rsidRPr="00A4275A">
        <w:t>,</w:t>
      </w:r>
      <w:r w:rsidR="00671653" w:rsidRPr="00A4275A">
        <w:t xml:space="preserve"> while strengthening security protections</w:t>
      </w:r>
    </w:p>
    <w:p w14:paraId="1B2AC829" w14:textId="739065C0" w:rsidR="00671653" w:rsidRPr="00A4275A" w:rsidRDefault="00295F50" w:rsidP="00395AEF">
      <w:pPr>
        <w:pStyle w:val="Bullet1"/>
      </w:pPr>
      <w:r w:rsidRPr="00A4275A">
        <w:t>i</w:t>
      </w:r>
      <w:r w:rsidR="00671653" w:rsidRPr="00A4275A">
        <w:t xml:space="preserve">mproved evidence requirements </w:t>
      </w:r>
      <w:r w:rsidR="006D12AF" w:rsidRPr="00A4275A">
        <w:t xml:space="preserve">for </w:t>
      </w:r>
      <w:r w:rsidR="00671653" w:rsidRPr="00A4275A">
        <w:t>NDIA digital channels to strengthen claims assurance for self-managed participants</w:t>
      </w:r>
    </w:p>
    <w:p w14:paraId="534D7EB9" w14:textId="059C5E4E" w:rsidR="00671653" w:rsidRPr="00A4275A" w:rsidRDefault="00295F50" w:rsidP="00395AEF">
      <w:pPr>
        <w:pStyle w:val="Bullet1"/>
      </w:pPr>
      <w:r w:rsidRPr="00A4275A">
        <w:t>u</w:t>
      </w:r>
      <w:r w:rsidR="00671653" w:rsidRPr="00A4275A">
        <w:t>pgraded fraud reporting and assessment capabilities, enabling the NDIA to more effectively manage and respond to fraud tip-offs. Over 30,000 fraud tip</w:t>
      </w:r>
      <w:r w:rsidR="00F6492E" w:rsidRPr="00A4275A">
        <w:noBreakHyphen/>
      </w:r>
      <w:r w:rsidR="00671653" w:rsidRPr="00A4275A">
        <w:t>offs were assessed and actioned during the last financial year.</w:t>
      </w:r>
    </w:p>
    <w:p w14:paraId="29A6839A" w14:textId="693F51C2" w:rsidR="0007451E" w:rsidRPr="00A4275A" w:rsidRDefault="0007451E" w:rsidP="0007451E">
      <w:pPr>
        <w:pStyle w:val="Heading4"/>
      </w:pPr>
      <w:r w:rsidRPr="00A4275A">
        <w:t xml:space="preserve">Integrity </w:t>
      </w:r>
      <w:r w:rsidR="00AE286F" w:rsidRPr="00A4275A">
        <w:t>reforms</w:t>
      </w:r>
    </w:p>
    <w:p w14:paraId="45F9EBA4" w14:textId="75E22B8A" w:rsidR="00AB7BB8" w:rsidRPr="00A4275A" w:rsidRDefault="00AB7BB8" w:rsidP="00797726">
      <w:pPr>
        <w:rPr>
          <w:rFonts w:eastAsia="Arial" w:cs="Arial"/>
          <w:bCs/>
          <w:color w:val="000000"/>
          <w:lang w:eastAsia="en-AU"/>
        </w:rPr>
      </w:pPr>
      <w:r w:rsidRPr="00A4275A">
        <w:rPr>
          <w:rFonts w:eastAsia="Arial" w:cs="Arial"/>
          <w:bCs/>
          <w:color w:val="000000"/>
          <w:lang w:eastAsia="en-AU"/>
        </w:rPr>
        <w:t>The NDIS is undergoing significant reform and change.</w:t>
      </w:r>
    </w:p>
    <w:p w14:paraId="7426C6C0" w14:textId="12A068A4" w:rsidR="008E148A" w:rsidRPr="00A4275A" w:rsidRDefault="00AB7BB8" w:rsidP="00797726">
      <w:pPr>
        <w:rPr>
          <w:rFonts w:eastAsia="Arial" w:cs="Arial"/>
          <w:bCs/>
          <w:color w:val="000000"/>
          <w:lang w:val="en-US" w:eastAsia="en-AU"/>
        </w:rPr>
      </w:pPr>
      <w:r w:rsidRPr="00A4275A">
        <w:rPr>
          <w:rFonts w:eastAsia="Arial" w:cs="Arial"/>
          <w:bCs/>
          <w:color w:val="000000"/>
          <w:lang w:val="en-US" w:eastAsia="en-AU"/>
        </w:rPr>
        <w:t>On 8 April 2026 the</w:t>
      </w:r>
      <w:r w:rsidR="00463231">
        <w:rPr>
          <w:rFonts w:eastAsia="Arial" w:cs="Arial"/>
          <w:bCs/>
          <w:color w:val="000000"/>
          <w:lang w:val="en-US" w:eastAsia="en-AU"/>
        </w:rPr>
        <w:t xml:space="preserve"> </w:t>
      </w:r>
      <w:r w:rsidRPr="00A4275A">
        <w:rPr>
          <w:rFonts w:eastAsia="Arial" w:cs="Arial"/>
          <w:bCs/>
          <w:i/>
          <w:iCs/>
          <w:color w:val="000000"/>
          <w:lang w:val="en-US" w:eastAsia="en-AU"/>
        </w:rPr>
        <w:t>National Disability Insurance Scheme Amendment (Integrity and Safeguarding) Act 2026</w:t>
      </w:r>
      <w:r w:rsidR="00463231">
        <w:rPr>
          <w:rFonts w:eastAsia="Arial" w:cs="Arial"/>
          <w:bCs/>
          <w:color w:val="000000"/>
          <w:lang w:val="en-US" w:eastAsia="en-AU"/>
        </w:rPr>
        <w:t xml:space="preserve"> </w:t>
      </w:r>
      <w:r w:rsidR="0078418D" w:rsidRPr="00A4275A">
        <w:rPr>
          <w:rFonts w:eastAsia="Arial" w:cs="Arial"/>
          <w:bCs/>
          <w:color w:val="000000"/>
          <w:lang w:val="en-US" w:eastAsia="en-AU"/>
        </w:rPr>
        <w:t xml:space="preserve">(Cth) </w:t>
      </w:r>
      <w:r w:rsidRPr="00A4275A">
        <w:rPr>
          <w:rFonts w:eastAsia="Arial" w:cs="Arial"/>
          <w:bCs/>
          <w:color w:val="000000"/>
          <w:lang w:val="en-US" w:eastAsia="en-AU"/>
        </w:rPr>
        <w:t xml:space="preserve">achieved </w:t>
      </w:r>
      <w:r w:rsidR="00580D14" w:rsidRPr="00A4275A">
        <w:rPr>
          <w:rFonts w:eastAsia="Arial" w:cs="Arial"/>
          <w:bCs/>
          <w:color w:val="000000"/>
          <w:lang w:val="en-US" w:eastAsia="en-AU"/>
        </w:rPr>
        <w:t>r</w:t>
      </w:r>
      <w:r w:rsidRPr="00A4275A">
        <w:rPr>
          <w:rFonts w:eastAsia="Arial" w:cs="Arial"/>
          <w:bCs/>
          <w:color w:val="000000"/>
          <w:lang w:val="en-US" w:eastAsia="en-AU"/>
        </w:rPr>
        <w:t xml:space="preserve">oyal </w:t>
      </w:r>
      <w:r w:rsidR="00580D14" w:rsidRPr="00A4275A">
        <w:rPr>
          <w:rFonts w:eastAsia="Arial" w:cs="Arial"/>
          <w:bCs/>
          <w:color w:val="000000"/>
          <w:lang w:val="en-US" w:eastAsia="en-AU"/>
        </w:rPr>
        <w:t>a</w:t>
      </w:r>
      <w:r w:rsidRPr="00A4275A">
        <w:rPr>
          <w:rFonts w:eastAsia="Arial" w:cs="Arial"/>
          <w:bCs/>
          <w:color w:val="000000"/>
          <w:lang w:val="en-US" w:eastAsia="en-AU"/>
        </w:rPr>
        <w:t>ssent. Th</w:t>
      </w:r>
      <w:r w:rsidR="004C4076">
        <w:rPr>
          <w:rFonts w:eastAsia="Arial" w:cs="Arial"/>
          <w:bCs/>
          <w:color w:val="000000"/>
          <w:lang w:val="en-US" w:eastAsia="en-AU"/>
        </w:rPr>
        <w:t>e Act</w:t>
      </w:r>
      <w:r w:rsidRPr="00A4275A">
        <w:rPr>
          <w:rFonts w:eastAsia="Arial" w:cs="Arial"/>
          <w:bCs/>
          <w:color w:val="000000"/>
          <w:lang w:val="en-US" w:eastAsia="en-AU"/>
        </w:rPr>
        <w:t xml:space="preserve"> strengthens fraud detection and oversight by</w:t>
      </w:r>
      <w:r w:rsidR="008E148A" w:rsidRPr="00A4275A">
        <w:rPr>
          <w:rFonts w:eastAsia="Arial" w:cs="Arial"/>
          <w:bCs/>
          <w:color w:val="000000"/>
          <w:lang w:val="en-US" w:eastAsia="en-AU"/>
        </w:rPr>
        <w:t>:</w:t>
      </w:r>
    </w:p>
    <w:p w14:paraId="7DBC56D4" w14:textId="4B43A8F0" w:rsidR="008E148A" w:rsidRPr="00A4275A" w:rsidRDefault="00AB7BB8" w:rsidP="002D3A0D">
      <w:pPr>
        <w:pStyle w:val="Bullet1"/>
        <w:rPr>
          <w:lang w:val="en-US"/>
        </w:rPr>
      </w:pPr>
      <w:r w:rsidRPr="00A4275A">
        <w:rPr>
          <w:lang w:val="en-US"/>
        </w:rPr>
        <w:t>enabling the transition</w:t>
      </w:r>
      <w:r w:rsidR="001F6B15" w:rsidRPr="00A4275A">
        <w:rPr>
          <w:lang w:val="en-US"/>
        </w:rPr>
        <w:t xml:space="preserve"> </w:t>
      </w:r>
      <w:r w:rsidRPr="00A4275A">
        <w:rPr>
          <w:lang w:val="en-US"/>
        </w:rPr>
        <w:t>to electronic claiming systems</w:t>
      </w:r>
    </w:p>
    <w:p w14:paraId="7B9388E6" w14:textId="37C81ADC" w:rsidR="0085526C" w:rsidRPr="00A4275A" w:rsidRDefault="001A7735" w:rsidP="002D3A0D">
      <w:pPr>
        <w:pStyle w:val="Bullet1"/>
        <w:rPr>
          <w:lang w:val="en-US"/>
        </w:rPr>
      </w:pPr>
      <w:r w:rsidRPr="00A4275A">
        <w:rPr>
          <w:lang w:val="en-US"/>
        </w:rPr>
        <w:t xml:space="preserve">improving </w:t>
      </w:r>
      <w:r w:rsidR="00AB7BB8" w:rsidRPr="00A4275A">
        <w:rPr>
          <w:lang w:val="en-US"/>
        </w:rPr>
        <w:t xml:space="preserve">safeguards </w:t>
      </w:r>
      <w:r w:rsidRPr="00A4275A">
        <w:rPr>
          <w:lang w:val="en-US"/>
        </w:rPr>
        <w:t xml:space="preserve">for participants </w:t>
      </w:r>
      <w:r w:rsidR="00B53AD0" w:rsidRPr="00A4275A">
        <w:rPr>
          <w:lang w:val="en-US"/>
        </w:rPr>
        <w:t>who</w:t>
      </w:r>
      <w:r w:rsidR="00AB7BB8" w:rsidRPr="00A4275A">
        <w:rPr>
          <w:lang w:val="en-US"/>
        </w:rPr>
        <w:t xml:space="preserve"> </w:t>
      </w:r>
      <w:r w:rsidR="00E87DB9" w:rsidRPr="00A4275A">
        <w:rPr>
          <w:lang w:val="en-US"/>
        </w:rPr>
        <w:t>leave</w:t>
      </w:r>
      <w:r w:rsidR="00AB7BB8" w:rsidRPr="00A4275A">
        <w:rPr>
          <w:lang w:val="en-US"/>
        </w:rPr>
        <w:t xml:space="preserve"> the </w:t>
      </w:r>
      <w:r w:rsidR="00580D14" w:rsidRPr="00A4275A">
        <w:rPr>
          <w:lang w:val="en-US"/>
        </w:rPr>
        <w:t>NDIS</w:t>
      </w:r>
    </w:p>
    <w:p w14:paraId="1FD1D962" w14:textId="415F2ECF" w:rsidR="00AB7BB8" w:rsidRPr="00A4275A" w:rsidRDefault="00AB7BB8" w:rsidP="002D3A0D">
      <w:pPr>
        <w:pStyle w:val="Bullet1"/>
      </w:pPr>
      <w:r w:rsidRPr="00A4275A">
        <w:rPr>
          <w:lang w:val="en-US"/>
        </w:rPr>
        <w:t>clarifying arrangements for plan variations, including changes to total funding amounts</w:t>
      </w:r>
      <w:r w:rsidR="00B9006C" w:rsidRPr="00A4275A">
        <w:rPr>
          <w:lang w:val="en-US"/>
        </w:rPr>
        <w:t>.</w:t>
      </w:r>
    </w:p>
    <w:p w14:paraId="13F22D86" w14:textId="77777777" w:rsidR="00E560A0" w:rsidRDefault="009178A3" w:rsidP="00D11860">
      <w:pPr>
        <w:rPr>
          <w:lang w:val="en-US" w:eastAsia="en-AU"/>
        </w:rPr>
      </w:pPr>
      <w:r w:rsidRPr="009178A3">
        <w:rPr>
          <w:lang w:val="en-US" w:eastAsia="en-AU"/>
        </w:rPr>
        <w:t xml:space="preserve">On 14 May 2026 Minister Butler introduced the National Disability Insurance Scheme Amendment (Securing the NDIS for Future Generations) Bill 2026 into </w:t>
      </w:r>
      <w:r w:rsidR="007F7C3B">
        <w:rPr>
          <w:lang w:val="en-US" w:eastAsia="en-AU"/>
        </w:rPr>
        <w:t>P</w:t>
      </w:r>
      <w:r w:rsidRPr="009178A3">
        <w:rPr>
          <w:lang w:val="en-US" w:eastAsia="en-AU"/>
        </w:rPr>
        <w:t>arliament. The Bill, now passed, will strengthen the NDIA’s ability to protect the integrity of the NDIS through new compliance, investigation and enforcement measures. These include civil penalties, regulatory powers, information-gathering powers, record-keeping requirements, reduced claiming timeframes and the commissioning of plan management services.</w:t>
      </w:r>
    </w:p>
    <w:p w14:paraId="79FE4399" w14:textId="43FE7598" w:rsidR="002E607D" w:rsidRDefault="002E607D" w:rsidP="00D11860">
      <w:r>
        <w:br w:type="page"/>
      </w:r>
    </w:p>
    <w:p w14:paraId="30C20035" w14:textId="3FE16268" w:rsidR="003927F6" w:rsidRDefault="00330385" w:rsidP="003927F6">
      <w:pPr>
        <w:pStyle w:val="Pull-out-Heading"/>
        <w:pBdr>
          <w:top w:val="single" w:sz="4" w:space="6" w:color="6B2976" w:themeColor="text1"/>
          <w:left w:val="single" w:sz="4" w:space="6" w:color="6B2976" w:themeColor="text1"/>
          <w:bottom w:val="single" w:sz="4" w:space="6" w:color="6B2976" w:themeColor="text1"/>
          <w:right w:val="single" w:sz="4" w:space="6" w:color="6B2976" w:themeColor="text1"/>
        </w:pBdr>
        <w:tabs>
          <w:tab w:val="left" w:pos="4253"/>
        </w:tabs>
      </w:pPr>
      <w:bookmarkStart w:id="61" w:name="_Toc226723919"/>
      <w:r>
        <w:t>A friendship renewed, a future embraced</w:t>
      </w:r>
    </w:p>
    <w:p w14:paraId="65B3F2E9" w14:textId="77777777" w:rsidR="00B45ACE" w:rsidRPr="00B45ACE" w:rsidRDefault="00B45ACE" w:rsidP="00B45AC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B45ACE">
        <w:t>When Sarah moved into her new home in 2025, she discovered she would be sharing it with a familiar face from her childhood. </w:t>
      </w:r>
    </w:p>
    <w:p w14:paraId="437AC363" w14:textId="77777777" w:rsidR="00B45ACE" w:rsidRPr="00B45ACE" w:rsidRDefault="00B45ACE" w:rsidP="00B45AC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B45ACE">
        <w:t>Months earlier, as Sarah’s sister Mariah and mum Tina explored options to support Sarah’s independence, they were surprised to learn one of the residents was Glenys, a family friend they had lost touch with years before. </w:t>
      </w:r>
    </w:p>
    <w:p w14:paraId="57A698A3" w14:textId="77777777" w:rsidR="00B45ACE" w:rsidRPr="00B45ACE" w:rsidRDefault="00B45ACE" w:rsidP="00B45AC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B45ACE">
        <w:t>‘We all felt like this reunion was meant to be,’ Mariah said. </w:t>
      </w:r>
    </w:p>
    <w:p w14:paraId="2D3A7FBB" w14:textId="77777777" w:rsidR="00B45ACE" w:rsidRPr="00B45ACE" w:rsidRDefault="00B45ACE" w:rsidP="00B45AC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B45ACE">
        <w:t>When Sarah and Glenys reconnected, they quickly became comfortable together and their friendship soon flourished. </w:t>
      </w:r>
    </w:p>
    <w:p w14:paraId="3842EC98" w14:textId="77777777" w:rsidR="00B45ACE" w:rsidRPr="00B45ACE" w:rsidRDefault="00B45ACE" w:rsidP="00B45AC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B45ACE">
        <w:t>With NDIS-funded supports in place, Sarah’s family noticed positive changes in her confidence and independence. </w:t>
      </w:r>
    </w:p>
    <w:p w14:paraId="7A7B5DE1" w14:textId="77777777" w:rsidR="00B45ACE" w:rsidRPr="00B45ACE" w:rsidRDefault="00B45ACE" w:rsidP="00B45AC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B45ACE">
        <w:t>‘She's now so independent in her own home and loves every second of it,’ Mariah said. </w:t>
      </w:r>
    </w:p>
    <w:p w14:paraId="69CD78B2" w14:textId="77777777" w:rsidR="00B45ACE" w:rsidRPr="00B45ACE" w:rsidRDefault="00B45ACE" w:rsidP="00B45AC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B45ACE">
        <w:t>Today, Sarah shares household responsibilities with Glenys, helping plan meals, prepare food, do her washing and manage grocery shopping. </w:t>
      </w:r>
    </w:p>
    <w:p w14:paraId="0A9C3D87" w14:textId="77777777" w:rsidR="00B45ACE" w:rsidRPr="00B45ACE" w:rsidRDefault="00B45ACE" w:rsidP="00B45AC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B45ACE">
        <w:t>‘Sarah takes pride in keeping her home organised,’ Mariah said. </w:t>
      </w:r>
    </w:p>
    <w:p w14:paraId="26F116FF" w14:textId="77777777" w:rsidR="00B45ACE" w:rsidRPr="00B45ACE" w:rsidRDefault="00B45ACE" w:rsidP="00B45ACE">
      <w:pPr>
        <w:pStyle w:val="Pull-out-Body"/>
        <w:pBdr>
          <w:top w:val="single" w:sz="4" w:space="6" w:color="6B2976" w:themeColor="text1"/>
          <w:left w:val="single" w:sz="4" w:space="6" w:color="6B2976" w:themeColor="text1"/>
          <w:bottom w:val="single" w:sz="4" w:space="6" w:color="6B2976" w:themeColor="text1"/>
          <w:right w:val="single" w:sz="4" w:space="6" w:color="6B2976" w:themeColor="text1"/>
        </w:pBdr>
      </w:pPr>
      <w:r w:rsidRPr="00B45ACE">
        <w:t>‘She’s happy, safe and she’s built a life that’s her.’ </w:t>
      </w:r>
    </w:p>
    <w:p w14:paraId="2BD0B751" w14:textId="203988FB" w:rsidR="005A2CFA" w:rsidRDefault="00881EB9">
      <w:pPr>
        <w:spacing w:before="120" w:line="288" w:lineRule="auto"/>
        <w:sectPr w:rsidR="005A2CFA" w:rsidSect="00EB1047">
          <w:headerReference w:type="even" r:id="rId59"/>
          <w:headerReference w:type="default" r:id="rId60"/>
          <w:footerReference w:type="default" r:id="rId61"/>
          <w:headerReference w:type="first" r:id="rId62"/>
          <w:pgSz w:w="11906" w:h="16838" w:code="9"/>
          <w:pgMar w:top="1247" w:right="1361" w:bottom="1247" w:left="1361" w:header="567" w:footer="454" w:gutter="0"/>
          <w:cols w:space="708"/>
          <w:docGrid w:linePitch="360"/>
        </w:sectPr>
      </w:pPr>
      <w:r>
        <w:br w:type="page"/>
      </w:r>
    </w:p>
    <w:p w14:paraId="13ADB40A" w14:textId="77777777" w:rsidR="00A12BE2" w:rsidRDefault="007F1BCA" w:rsidP="00947D39">
      <w:pPr>
        <w:pStyle w:val="Heading2"/>
      </w:pPr>
      <w:bookmarkStart w:id="62" w:name="_Toc241826731"/>
      <w:r w:rsidRPr="009829B7">
        <w:t>Section 5: People</w:t>
      </w:r>
      <w:bookmarkStart w:id="63" w:name="_Toc226723920"/>
      <w:bookmarkEnd w:id="61"/>
      <w:bookmarkEnd w:id="62"/>
    </w:p>
    <w:p w14:paraId="6DE397FB" w14:textId="67CF383F" w:rsidR="00881EB9" w:rsidRPr="001F7270" w:rsidRDefault="00881EB9" w:rsidP="001F7270">
      <w:r w:rsidRPr="001F7270">
        <w:br w:type="page"/>
      </w:r>
    </w:p>
    <w:p w14:paraId="4F4A7CE2" w14:textId="77777777" w:rsidR="007F1BCA" w:rsidRPr="00A4275A" w:rsidRDefault="00281415" w:rsidP="003C1BEB">
      <w:pPr>
        <w:pStyle w:val="Heading3"/>
      </w:pPr>
      <w:bookmarkStart w:id="64" w:name="_Toc241826732"/>
      <w:r w:rsidRPr="00A4275A">
        <w:t>5.1 Workforce profile</w:t>
      </w:r>
      <w:bookmarkEnd w:id="63"/>
      <w:bookmarkEnd w:id="64"/>
    </w:p>
    <w:p w14:paraId="6CC9D5AC" w14:textId="38615D61" w:rsidR="00B9006C" w:rsidRPr="00A4275A" w:rsidRDefault="001344A9" w:rsidP="00B9006C">
      <w:pPr>
        <w:rPr>
          <w:rFonts w:eastAsia="Arial" w:cs="Arial"/>
          <w:color w:val="000000"/>
          <w:lang w:eastAsia="ja-JP"/>
        </w:rPr>
      </w:pPr>
      <w:r w:rsidRPr="00A4275A">
        <w:rPr>
          <w:rFonts w:eastAsia="Arial" w:cs="Arial"/>
          <w:color w:val="000000"/>
          <w:lang w:eastAsia="ja-JP"/>
        </w:rPr>
        <w:t xml:space="preserve">To deliver the NDIS, the NDIA needs a capable and committed workforce that reflects the diversity of Australian society and can deliver significant reform of the </w:t>
      </w:r>
      <w:r w:rsidR="0078418D" w:rsidRPr="00A4275A">
        <w:rPr>
          <w:rFonts w:eastAsia="Arial" w:cs="Arial"/>
          <w:color w:val="000000"/>
          <w:lang w:eastAsia="ja-JP"/>
        </w:rPr>
        <w:t>NDIS</w:t>
      </w:r>
      <w:r w:rsidRPr="00A4275A">
        <w:rPr>
          <w:rFonts w:eastAsia="Arial" w:cs="Arial"/>
          <w:color w:val="000000"/>
          <w:lang w:eastAsia="ja-JP"/>
        </w:rPr>
        <w:t xml:space="preserve">. </w:t>
      </w:r>
      <w:r w:rsidR="00580D14" w:rsidRPr="00A4275A">
        <w:rPr>
          <w:rFonts w:eastAsia="Arial" w:cs="Arial"/>
          <w:color w:val="000000"/>
          <w:lang w:eastAsia="ja-JP"/>
        </w:rPr>
        <w:t xml:space="preserve">In </w:t>
      </w:r>
      <w:r w:rsidRPr="00A4275A">
        <w:rPr>
          <w:rFonts w:eastAsia="Arial" w:cs="Arial"/>
          <w:color w:val="000000"/>
          <w:lang w:eastAsia="ja-JP"/>
        </w:rPr>
        <w:t>2025</w:t>
      </w:r>
      <w:r w:rsidR="00810917">
        <w:rPr>
          <w:rFonts w:eastAsia="Arial" w:cs="Arial"/>
          <w:color w:val="000000"/>
          <w:lang w:eastAsia="ja-JP"/>
        </w:rPr>
        <w:t>–</w:t>
      </w:r>
      <w:r w:rsidRPr="00A4275A">
        <w:rPr>
          <w:rFonts w:eastAsia="Arial" w:cs="Arial"/>
          <w:color w:val="000000"/>
          <w:lang w:eastAsia="ja-JP"/>
        </w:rPr>
        <w:t>26 the NDIA’s workforce continued to evolve to meet the needs of participants, carers and their families with a strong focus on frontline capability and disability awareness.</w:t>
      </w:r>
    </w:p>
    <w:p w14:paraId="65F643C1" w14:textId="0154D44A" w:rsidR="001344A9" w:rsidRPr="00A4275A" w:rsidRDefault="001344A9" w:rsidP="00B9006C">
      <w:pPr>
        <w:rPr>
          <w:rFonts w:eastAsia="Arial" w:cs="Arial"/>
          <w:color w:val="000000"/>
          <w:lang w:val="en-US" w:eastAsia="ja-JP"/>
        </w:rPr>
      </w:pPr>
      <w:r w:rsidRPr="00A4275A">
        <w:rPr>
          <w:rFonts w:eastAsia="Arial" w:cs="Arial"/>
          <w:color w:val="000000"/>
          <w:lang w:eastAsia="ja-JP"/>
        </w:rPr>
        <w:t>At 30 June 2026 the NDIA had:</w:t>
      </w:r>
    </w:p>
    <w:p w14:paraId="339240D8" w14:textId="7523316D" w:rsidR="001344A9" w:rsidRPr="00A4275A" w:rsidRDefault="001344A9" w:rsidP="00797726">
      <w:pPr>
        <w:numPr>
          <w:ilvl w:val="0"/>
          <w:numId w:val="40"/>
        </w:numPr>
        <w:rPr>
          <w:rFonts w:eastAsia="Arial" w:cs="Arial"/>
          <w:color w:val="000000"/>
          <w:lang w:val="en-US" w:eastAsia="ja-JP"/>
        </w:rPr>
      </w:pPr>
      <w:r w:rsidRPr="00A4275A">
        <w:rPr>
          <w:rFonts w:eastAsia="Arial" w:cs="Arial"/>
          <w:color w:val="000000"/>
          <w:lang w:eastAsia="ja-JP"/>
        </w:rPr>
        <w:t>10,953 Australian Public Service (APS) employees (10,594 full</w:t>
      </w:r>
      <w:r w:rsidR="00C63C5A" w:rsidRPr="00A4275A">
        <w:rPr>
          <w:rFonts w:eastAsia="Arial" w:cs="Arial"/>
          <w:color w:val="000000"/>
          <w:lang w:eastAsia="ja-JP"/>
        </w:rPr>
        <w:t>-</w:t>
      </w:r>
      <w:r w:rsidRPr="00A4275A">
        <w:rPr>
          <w:rFonts w:eastAsia="Arial" w:cs="Arial"/>
          <w:color w:val="000000"/>
          <w:lang w:eastAsia="ja-JP"/>
        </w:rPr>
        <w:t xml:space="preserve">time equivalent and 10,509 </w:t>
      </w:r>
      <w:r w:rsidR="004D2EBA" w:rsidRPr="00A4275A">
        <w:rPr>
          <w:rFonts w:eastAsia="Arial" w:cs="Arial"/>
          <w:color w:val="000000"/>
          <w:lang w:eastAsia="ja-JP"/>
        </w:rPr>
        <w:t>A</w:t>
      </w:r>
      <w:r w:rsidRPr="00A4275A">
        <w:rPr>
          <w:rFonts w:eastAsia="Arial" w:cs="Arial"/>
          <w:color w:val="000000"/>
          <w:lang w:eastAsia="ja-JP"/>
        </w:rPr>
        <w:t xml:space="preserve">verage </w:t>
      </w:r>
      <w:r w:rsidR="004D2EBA" w:rsidRPr="00A4275A">
        <w:rPr>
          <w:rFonts w:eastAsia="Arial" w:cs="Arial"/>
          <w:color w:val="000000"/>
          <w:lang w:eastAsia="ja-JP"/>
        </w:rPr>
        <w:t>S</w:t>
      </w:r>
      <w:r w:rsidRPr="00A4275A">
        <w:rPr>
          <w:rFonts w:eastAsia="Arial" w:cs="Arial"/>
          <w:color w:val="000000"/>
          <w:lang w:eastAsia="ja-JP"/>
        </w:rPr>
        <w:t xml:space="preserve">taffing </w:t>
      </w:r>
      <w:r w:rsidR="004D2EBA" w:rsidRPr="00A4275A">
        <w:rPr>
          <w:rFonts w:eastAsia="Arial" w:cs="Arial"/>
          <w:color w:val="000000"/>
          <w:lang w:eastAsia="ja-JP"/>
        </w:rPr>
        <w:t>L</w:t>
      </w:r>
      <w:r w:rsidRPr="00A4275A">
        <w:rPr>
          <w:rFonts w:eastAsia="Arial" w:cs="Arial"/>
          <w:color w:val="000000"/>
          <w:lang w:eastAsia="ja-JP"/>
        </w:rPr>
        <w:t>evel)</w:t>
      </w:r>
    </w:p>
    <w:p w14:paraId="77A5B7F3" w14:textId="622C220D" w:rsidR="003C1BEB" w:rsidRPr="00A4275A" w:rsidRDefault="001344A9" w:rsidP="00797726">
      <w:pPr>
        <w:numPr>
          <w:ilvl w:val="0"/>
          <w:numId w:val="40"/>
        </w:numPr>
      </w:pPr>
      <w:r w:rsidRPr="00A4275A">
        <w:rPr>
          <w:rFonts w:eastAsia="Arial" w:cs="Arial"/>
          <w:color w:val="000000"/>
          <w:lang w:eastAsia="ja-JP"/>
        </w:rPr>
        <w:t xml:space="preserve">1,655 contractors (1,144 labour hire, 392 consultants and 119 </w:t>
      </w:r>
      <w:r w:rsidR="008E0EDD" w:rsidRPr="00A4275A">
        <w:rPr>
          <w:rFonts w:eastAsia="Arial" w:cs="Arial"/>
          <w:color w:val="000000"/>
          <w:lang w:eastAsia="ja-JP"/>
        </w:rPr>
        <w:t xml:space="preserve">contractors with </w:t>
      </w:r>
      <w:r w:rsidRPr="00A4275A">
        <w:rPr>
          <w:rFonts w:eastAsia="Arial" w:cs="Arial"/>
          <w:color w:val="000000"/>
          <w:lang w:eastAsia="ja-JP"/>
        </w:rPr>
        <w:t>system access only).</w:t>
      </w:r>
    </w:p>
    <w:p w14:paraId="2B8EDAEB" w14:textId="77777777" w:rsidR="00281415" w:rsidRPr="00A4275A" w:rsidRDefault="003C1BEB" w:rsidP="003C1BEB">
      <w:pPr>
        <w:pStyle w:val="Heading3"/>
      </w:pPr>
      <w:bookmarkStart w:id="65" w:name="_Toc226723921"/>
      <w:bookmarkStart w:id="66" w:name="_Toc241826733"/>
      <w:r w:rsidRPr="00A4275A">
        <w:t>5.2 Strategic Commissioning Framework</w:t>
      </w:r>
      <w:bookmarkEnd w:id="65"/>
      <w:bookmarkEnd w:id="66"/>
    </w:p>
    <w:p w14:paraId="227123BE" w14:textId="7E270D31" w:rsidR="003C1BEB" w:rsidRPr="00A4275A" w:rsidRDefault="00271EAC" w:rsidP="00B9006C">
      <w:pPr>
        <w:rPr>
          <w:rFonts w:eastAsia="Arial" w:cs="Arial"/>
          <w:color w:val="000000"/>
          <w:lang w:val="en-US" w:eastAsia="ja-JP"/>
        </w:rPr>
      </w:pPr>
      <w:r w:rsidRPr="00A4275A">
        <w:rPr>
          <w:rFonts w:eastAsia="Arial" w:cs="Arial"/>
          <w:color w:val="000000"/>
          <w:lang w:eastAsia="ja-JP"/>
        </w:rPr>
        <w:t>In 2025</w:t>
      </w:r>
      <w:r w:rsidR="00810917">
        <w:rPr>
          <w:rFonts w:eastAsia="Arial" w:cs="Arial"/>
          <w:color w:val="000000"/>
          <w:lang w:eastAsia="ja-JP"/>
        </w:rPr>
        <w:t>–</w:t>
      </w:r>
      <w:r w:rsidRPr="00A4275A">
        <w:rPr>
          <w:rFonts w:eastAsia="Arial" w:cs="Arial"/>
          <w:color w:val="000000"/>
          <w:lang w:eastAsia="ja-JP"/>
        </w:rPr>
        <w:t xml:space="preserve">26 </w:t>
      </w:r>
      <w:r w:rsidR="00963FAC" w:rsidRPr="00A4275A">
        <w:rPr>
          <w:rFonts w:eastAsia="Arial" w:cs="Arial"/>
          <w:color w:val="000000"/>
          <w:lang w:eastAsia="ja-JP"/>
        </w:rPr>
        <w:t xml:space="preserve">the </w:t>
      </w:r>
      <w:r w:rsidRPr="00A4275A">
        <w:rPr>
          <w:rFonts w:eastAsia="Arial" w:cs="Arial"/>
          <w:color w:val="000000"/>
          <w:lang w:eastAsia="ja-JP"/>
        </w:rPr>
        <w:t>NDIA took steps to bring core work in-house in line with the APS Strategic Commissioning Framework. The NDIA</w:t>
      </w:r>
      <w:r w:rsidR="0078418D" w:rsidRPr="00A4275A">
        <w:rPr>
          <w:rFonts w:eastAsia="Arial" w:cs="Arial"/>
          <w:color w:val="000000"/>
          <w:lang w:eastAsia="ja-JP"/>
        </w:rPr>
        <w:t>’</w:t>
      </w:r>
      <w:r w:rsidRPr="00A4275A">
        <w:rPr>
          <w:rFonts w:eastAsia="Arial" w:cs="Arial"/>
          <w:color w:val="000000"/>
          <w:lang w:eastAsia="ja-JP"/>
        </w:rPr>
        <w:t>s target for 2025</w:t>
      </w:r>
      <w:r w:rsidR="00810917">
        <w:rPr>
          <w:rFonts w:eastAsia="Arial" w:cs="Arial"/>
          <w:color w:val="000000"/>
          <w:lang w:eastAsia="ja-JP"/>
        </w:rPr>
        <w:t>–</w:t>
      </w:r>
      <w:r w:rsidRPr="00A4275A">
        <w:rPr>
          <w:rFonts w:eastAsia="Arial" w:cs="Arial"/>
          <w:color w:val="000000"/>
          <w:lang w:eastAsia="ja-JP"/>
        </w:rPr>
        <w:t xml:space="preserve">26 </w:t>
      </w:r>
      <w:r w:rsidR="0078418D" w:rsidRPr="00A4275A">
        <w:rPr>
          <w:rFonts w:eastAsia="Arial" w:cs="Arial"/>
          <w:color w:val="000000"/>
          <w:lang w:eastAsia="ja-JP"/>
        </w:rPr>
        <w:t xml:space="preserve">was to </w:t>
      </w:r>
      <w:r w:rsidRPr="00A4275A">
        <w:rPr>
          <w:rFonts w:eastAsia="Arial" w:cs="Arial"/>
          <w:color w:val="000000"/>
          <w:lang w:eastAsia="ja-JP"/>
        </w:rPr>
        <w:t xml:space="preserve">bring </w:t>
      </w:r>
      <w:r w:rsidR="00963FAC" w:rsidRPr="00A4275A">
        <w:rPr>
          <w:rFonts w:eastAsia="Arial" w:cs="Arial"/>
          <w:color w:val="000000"/>
          <w:lang w:eastAsia="ja-JP"/>
        </w:rPr>
        <w:t xml:space="preserve">in-house </w:t>
      </w:r>
      <w:r w:rsidRPr="00A4275A">
        <w:rPr>
          <w:rFonts w:eastAsia="Arial" w:cs="Arial"/>
          <w:color w:val="000000"/>
          <w:lang w:eastAsia="ja-JP"/>
        </w:rPr>
        <w:t xml:space="preserve">64 </w:t>
      </w:r>
      <w:r w:rsidR="00963FAC" w:rsidRPr="00A4275A">
        <w:rPr>
          <w:rFonts w:eastAsia="Arial" w:cs="Arial"/>
          <w:color w:val="000000"/>
          <w:lang w:eastAsia="ja-JP"/>
        </w:rPr>
        <w:t xml:space="preserve">core work </w:t>
      </w:r>
      <w:r w:rsidRPr="00A4275A">
        <w:rPr>
          <w:rFonts w:eastAsia="Arial" w:cs="Arial"/>
          <w:color w:val="000000"/>
          <w:lang w:eastAsia="ja-JP"/>
        </w:rPr>
        <w:t>roles, at an estimated value of $4.68 million (GST excl)</w:t>
      </w:r>
      <w:r w:rsidR="00963FAC" w:rsidRPr="00A4275A">
        <w:rPr>
          <w:rFonts w:eastAsia="Arial" w:cs="Arial"/>
          <w:color w:val="000000"/>
          <w:lang w:eastAsia="ja-JP"/>
        </w:rPr>
        <w:t>,</w:t>
      </w:r>
      <w:r w:rsidRPr="00A4275A">
        <w:rPr>
          <w:rFonts w:eastAsia="Arial" w:cs="Arial"/>
          <w:color w:val="000000"/>
          <w:lang w:eastAsia="ja-JP"/>
        </w:rPr>
        <w:t xml:space="preserve"> across all job families. This target was exceeded, with 333 pre-existing labour</w:t>
      </w:r>
      <w:r w:rsidR="00963FAC" w:rsidRPr="00A4275A">
        <w:rPr>
          <w:rFonts w:eastAsia="Arial" w:cs="Arial"/>
          <w:color w:val="000000"/>
          <w:lang w:eastAsia="ja-JP"/>
        </w:rPr>
        <w:t>-</w:t>
      </w:r>
      <w:r w:rsidRPr="00A4275A">
        <w:rPr>
          <w:rFonts w:eastAsia="Arial" w:cs="Arial"/>
          <w:color w:val="000000"/>
          <w:lang w:eastAsia="ja-JP"/>
        </w:rPr>
        <w:t>hire roles valued at $34.68 million (GST excl) replaced with APS positions since the end of 2024</w:t>
      </w:r>
      <w:r w:rsidR="00810917">
        <w:rPr>
          <w:rFonts w:eastAsia="Arial" w:cs="Arial"/>
          <w:color w:val="000000"/>
          <w:lang w:eastAsia="ja-JP"/>
        </w:rPr>
        <w:t>–</w:t>
      </w:r>
      <w:r w:rsidRPr="00A4275A">
        <w:rPr>
          <w:rFonts w:eastAsia="Arial" w:cs="Arial"/>
          <w:color w:val="000000"/>
          <w:lang w:eastAsia="ja-JP"/>
        </w:rPr>
        <w:t>25.</w:t>
      </w:r>
    </w:p>
    <w:p w14:paraId="6974F69B" w14:textId="77777777" w:rsidR="002B2DF2" w:rsidRPr="00A4275A" w:rsidRDefault="002B2DF2" w:rsidP="002B2DF2">
      <w:pPr>
        <w:pStyle w:val="Heading3"/>
      </w:pPr>
      <w:bookmarkStart w:id="67" w:name="_Toc226723922"/>
      <w:bookmarkStart w:id="68" w:name="_Toc241826734"/>
      <w:r w:rsidRPr="00A4275A">
        <w:t>5.3 Health, safety and wellbeing</w:t>
      </w:r>
      <w:bookmarkEnd w:id="67"/>
      <w:bookmarkEnd w:id="68"/>
    </w:p>
    <w:p w14:paraId="47257632" w14:textId="640523B8" w:rsidR="004A7BD5" w:rsidRPr="00A4275A" w:rsidRDefault="00E97BA9" w:rsidP="00B9006C">
      <w:pPr>
        <w:rPr>
          <w:rFonts w:eastAsia="Arial" w:cs="Arial"/>
          <w:color w:val="000000"/>
          <w:lang w:val="en-US" w:eastAsia="ja-JP"/>
        </w:rPr>
      </w:pPr>
      <w:r w:rsidRPr="00A4275A">
        <w:rPr>
          <w:rFonts w:eastAsia="Arial" w:cs="Arial"/>
          <w:color w:val="000000"/>
          <w:lang w:eastAsia="ja-JP"/>
        </w:rPr>
        <w:t xml:space="preserve">The NDIA is committed to providing a safe and healthy workplace, consistent with its legislative obligations under the </w:t>
      </w:r>
      <w:r w:rsidRPr="00A4275A">
        <w:rPr>
          <w:rFonts w:eastAsia="Arial" w:cs="Arial"/>
          <w:i/>
          <w:iCs/>
          <w:color w:val="000000"/>
          <w:lang w:eastAsia="ja-JP"/>
        </w:rPr>
        <w:t>Work Health and Safety Act 2011</w:t>
      </w:r>
      <w:r w:rsidRPr="00A4275A">
        <w:rPr>
          <w:rFonts w:eastAsia="Arial" w:cs="Arial"/>
          <w:color w:val="000000"/>
          <w:lang w:eastAsia="ja-JP"/>
        </w:rPr>
        <w:t xml:space="preserve"> (Cth) (WHS Act) and the </w:t>
      </w:r>
      <w:r w:rsidRPr="00A4275A">
        <w:rPr>
          <w:rFonts w:eastAsia="Arial" w:cs="Arial"/>
          <w:i/>
          <w:iCs/>
          <w:color w:val="000000"/>
          <w:lang w:eastAsia="ja-JP"/>
        </w:rPr>
        <w:t>Safety, Rehabilitation and Compensation Act 1988</w:t>
      </w:r>
      <w:r w:rsidRPr="00A4275A">
        <w:rPr>
          <w:rFonts w:eastAsia="Arial" w:cs="Arial"/>
          <w:color w:val="000000"/>
          <w:lang w:eastAsia="ja-JP"/>
        </w:rPr>
        <w:t xml:space="preserve"> (Cth). The safety, wellbeing and security of the NDIA</w:t>
      </w:r>
      <w:r w:rsidR="00580D14" w:rsidRPr="00A4275A">
        <w:rPr>
          <w:rFonts w:eastAsia="Arial" w:cs="Arial"/>
          <w:color w:val="000000"/>
          <w:lang w:eastAsia="ja-JP"/>
        </w:rPr>
        <w:t>’</w:t>
      </w:r>
      <w:r w:rsidRPr="00A4275A">
        <w:rPr>
          <w:rFonts w:eastAsia="Arial" w:cs="Arial"/>
          <w:color w:val="000000"/>
          <w:lang w:eastAsia="ja-JP"/>
        </w:rPr>
        <w:t xml:space="preserve">s people </w:t>
      </w:r>
      <w:r w:rsidR="008E687D" w:rsidRPr="00A4275A">
        <w:rPr>
          <w:rFonts w:eastAsia="Arial" w:cs="Arial"/>
          <w:color w:val="000000"/>
          <w:lang w:eastAsia="ja-JP"/>
        </w:rPr>
        <w:t xml:space="preserve">is </w:t>
      </w:r>
      <w:r w:rsidRPr="00A4275A">
        <w:rPr>
          <w:rFonts w:eastAsia="Arial" w:cs="Arial"/>
          <w:color w:val="000000"/>
          <w:lang w:eastAsia="ja-JP"/>
        </w:rPr>
        <w:t>a priority, and during 2025–26 the NDIA continued to strengthen its systems, capability and governance arrangements to support a safer and healthier workplace.</w:t>
      </w:r>
    </w:p>
    <w:p w14:paraId="0334267F" w14:textId="77777777" w:rsidR="002B2DF2" w:rsidRPr="00A4275A" w:rsidRDefault="002B2DF2" w:rsidP="002B2DF2">
      <w:pPr>
        <w:pStyle w:val="Heading4"/>
      </w:pPr>
      <w:r w:rsidRPr="00A4275A">
        <w:t>Key initiatives</w:t>
      </w:r>
    </w:p>
    <w:p w14:paraId="77B86FAD" w14:textId="6CABD4FB" w:rsidR="00B63785" w:rsidRPr="00A4275A" w:rsidRDefault="00B63785" w:rsidP="00B9006C">
      <w:pPr>
        <w:rPr>
          <w:rFonts w:eastAsia="Arial" w:cs="Arial"/>
          <w:color w:val="000000"/>
          <w:lang w:val="en-US" w:eastAsia="ja-JP"/>
        </w:rPr>
      </w:pPr>
      <w:r w:rsidRPr="00A4275A">
        <w:rPr>
          <w:rFonts w:eastAsia="Arial" w:cs="Arial"/>
          <w:color w:val="000000"/>
          <w:lang w:eastAsia="ja-JP"/>
        </w:rPr>
        <w:t>In 2025–26 the NDIA enhanced employee safety, wellbeing and security through initiatives including:</w:t>
      </w:r>
    </w:p>
    <w:p w14:paraId="79A13C13" w14:textId="67308AEB" w:rsidR="00B63785" w:rsidRPr="00A4275A" w:rsidRDefault="0078418D" w:rsidP="00D12D78">
      <w:pPr>
        <w:pStyle w:val="Bullet1"/>
        <w:rPr>
          <w:lang w:val="en-US"/>
        </w:rPr>
      </w:pPr>
      <w:r w:rsidRPr="00A4275A">
        <w:t xml:space="preserve">continuing to deliver </w:t>
      </w:r>
      <w:r w:rsidR="00B63785" w:rsidRPr="00A4275A">
        <w:t xml:space="preserve">the NDIA’s response to the </w:t>
      </w:r>
      <w:r w:rsidR="0004048B">
        <w:t>2024 Review of Security and Safety at NDIA (</w:t>
      </w:r>
      <w:r w:rsidR="00B63785" w:rsidRPr="00A4275A">
        <w:t>Ashton Review</w:t>
      </w:r>
      <w:r w:rsidR="0004048B">
        <w:t>)</w:t>
      </w:r>
      <w:r w:rsidRPr="00A4275A">
        <w:t>.</w:t>
      </w:r>
      <w:r w:rsidR="00580D14" w:rsidRPr="00A4275A">
        <w:t xml:space="preserve"> </w:t>
      </w:r>
      <w:r w:rsidRPr="00A4275A">
        <w:t>T</w:t>
      </w:r>
      <w:r w:rsidR="00580D14" w:rsidRPr="00A4275A">
        <w:t>he Security Improvement Program</w:t>
      </w:r>
      <w:r w:rsidRPr="00A4275A">
        <w:t xml:space="preserve"> is delivering the </w:t>
      </w:r>
      <w:r w:rsidR="00907219" w:rsidRPr="00A4275A">
        <w:t>response</w:t>
      </w:r>
      <w:r w:rsidRPr="00A4275A">
        <w:t xml:space="preserve">, </w:t>
      </w:r>
      <w:r w:rsidR="00580D14" w:rsidRPr="00A4275A">
        <w:t>driv</w:t>
      </w:r>
      <w:r w:rsidRPr="00A4275A">
        <w:t>ing</w:t>
      </w:r>
      <w:r w:rsidR="00580D14" w:rsidRPr="00A4275A">
        <w:t xml:space="preserve"> </w:t>
      </w:r>
      <w:r w:rsidR="00B63785" w:rsidRPr="00A4275A">
        <w:t>implementation of recommendations to strengthen staff safety, security capability, governance and workplace risk management across the NDIA. During the reporting period, 11</w:t>
      </w:r>
      <w:r w:rsidR="00A55556">
        <w:t> </w:t>
      </w:r>
      <w:r w:rsidR="00B63785" w:rsidRPr="00A4275A">
        <w:t>recommendations were completed</w:t>
      </w:r>
    </w:p>
    <w:p w14:paraId="691319E7" w14:textId="3DBA276E" w:rsidR="0078418D" w:rsidRPr="00A4275A" w:rsidRDefault="00907219" w:rsidP="00430FF9">
      <w:pPr>
        <w:pStyle w:val="Bullet1"/>
        <w:rPr>
          <w:lang w:val="en-US"/>
        </w:rPr>
      </w:pPr>
      <w:r w:rsidRPr="00A4275A">
        <w:t>m</w:t>
      </w:r>
      <w:r w:rsidR="00F612FF" w:rsidRPr="00A4275A">
        <w:t xml:space="preserve">aking </w:t>
      </w:r>
      <w:r w:rsidR="0078418D" w:rsidRPr="00A4275A">
        <w:t xml:space="preserve">numerous </w:t>
      </w:r>
      <w:r w:rsidR="00F612FF" w:rsidRPr="00A4275A">
        <w:t xml:space="preserve">security </w:t>
      </w:r>
      <w:r w:rsidR="0078418D" w:rsidRPr="00A4275A">
        <w:t>improvements</w:t>
      </w:r>
      <w:r w:rsidR="00207A5F" w:rsidRPr="00A4275A">
        <w:t>,</w:t>
      </w:r>
      <w:r w:rsidR="0078418D" w:rsidRPr="00A4275A">
        <w:t xml:space="preserve"> such as: </w:t>
      </w:r>
    </w:p>
    <w:p w14:paraId="3F41A84A" w14:textId="4BC46868" w:rsidR="0078418D" w:rsidRPr="00A4275A" w:rsidRDefault="0078418D" w:rsidP="00627695">
      <w:pPr>
        <w:pStyle w:val="Bullet2"/>
        <w:rPr>
          <w:lang w:eastAsia="en-AU"/>
        </w:rPr>
      </w:pPr>
      <w:r w:rsidRPr="00A4275A">
        <w:rPr>
          <w:lang w:eastAsia="en-AU"/>
        </w:rPr>
        <w:t xml:space="preserve">placing </w:t>
      </w:r>
      <w:r w:rsidR="00B63785" w:rsidRPr="00A4275A">
        <w:rPr>
          <w:lang w:eastAsia="en-AU"/>
        </w:rPr>
        <w:t>security officers at public-facing locations</w:t>
      </w:r>
    </w:p>
    <w:p w14:paraId="316C7CC0" w14:textId="43A89828" w:rsidR="0078418D" w:rsidRPr="00A4275A" w:rsidRDefault="0078418D" w:rsidP="00627695">
      <w:pPr>
        <w:pStyle w:val="Bullet2"/>
        <w:rPr>
          <w:lang w:eastAsia="en-AU"/>
        </w:rPr>
      </w:pPr>
      <w:r w:rsidRPr="00A4275A">
        <w:rPr>
          <w:lang w:eastAsia="en-AU"/>
        </w:rPr>
        <w:t xml:space="preserve">installing </w:t>
      </w:r>
      <w:r w:rsidR="00B63785" w:rsidRPr="00A4275A">
        <w:rPr>
          <w:lang w:eastAsia="en-AU"/>
        </w:rPr>
        <w:t>Respectful Behaviour signage</w:t>
      </w:r>
    </w:p>
    <w:p w14:paraId="4B8EA7D7" w14:textId="3D4196AF" w:rsidR="0078418D" w:rsidRPr="00A4275A" w:rsidRDefault="0078418D" w:rsidP="00627695">
      <w:pPr>
        <w:pStyle w:val="Bullet2"/>
        <w:rPr>
          <w:lang w:eastAsia="en-AU"/>
        </w:rPr>
      </w:pPr>
      <w:r w:rsidRPr="00A4275A">
        <w:rPr>
          <w:lang w:eastAsia="en-AU"/>
        </w:rPr>
        <w:t xml:space="preserve">enhancing </w:t>
      </w:r>
      <w:r w:rsidR="00907219" w:rsidRPr="00A4275A">
        <w:rPr>
          <w:lang w:eastAsia="en-AU"/>
        </w:rPr>
        <w:t>closed-circuit television (</w:t>
      </w:r>
      <w:r w:rsidR="00B63785" w:rsidRPr="00A4275A">
        <w:rPr>
          <w:lang w:eastAsia="en-AU"/>
        </w:rPr>
        <w:t>CCT</w:t>
      </w:r>
      <w:r w:rsidR="00907219" w:rsidRPr="00A4275A">
        <w:rPr>
          <w:lang w:eastAsia="en-AU"/>
        </w:rPr>
        <w:t>V)</w:t>
      </w:r>
      <w:r w:rsidR="00B63785" w:rsidRPr="00A4275A">
        <w:rPr>
          <w:lang w:eastAsia="en-AU"/>
        </w:rPr>
        <w:t xml:space="preserve"> coverage</w:t>
      </w:r>
    </w:p>
    <w:p w14:paraId="40E43FF5" w14:textId="461A4872" w:rsidR="0078418D" w:rsidRPr="00A4275A" w:rsidRDefault="0078418D" w:rsidP="00627695">
      <w:pPr>
        <w:pStyle w:val="Bullet2"/>
        <w:rPr>
          <w:lang w:eastAsia="en-AU"/>
        </w:rPr>
      </w:pPr>
      <w:r w:rsidRPr="00A4275A">
        <w:rPr>
          <w:lang w:eastAsia="en-AU"/>
        </w:rPr>
        <w:t xml:space="preserve">expanding </w:t>
      </w:r>
      <w:r w:rsidR="002E3D9B" w:rsidRPr="00A4275A">
        <w:rPr>
          <w:lang w:eastAsia="en-AU"/>
        </w:rPr>
        <w:t>a</w:t>
      </w:r>
      <w:r w:rsidR="00B63785" w:rsidRPr="00A4275A">
        <w:rPr>
          <w:lang w:eastAsia="en-AU"/>
        </w:rPr>
        <w:t xml:space="preserve">ggression </w:t>
      </w:r>
      <w:r w:rsidR="002E3D9B" w:rsidRPr="00A4275A">
        <w:rPr>
          <w:lang w:eastAsia="en-AU"/>
        </w:rPr>
        <w:t>r</w:t>
      </w:r>
      <w:r w:rsidR="00B63785" w:rsidRPr="00A4275A">
        <w:rPr>
          <w:lang w:eastAsia="en-AU"/>
        </w:rPr>
        <w:t xml:space="preserve">esponse </w:t>
      </w:r>
      <w:r w:rsidR="002E3D9B" w:rsidRPr="00A4275A">
        <w:rPr>
          <w:lang w:eastAsia="en-AU"/>
        </w:rPr>
        <w:t>t</w:t>
      </w:r>
      <w:r w:rsidR="00B63785" w:rsidRPr="00A4275A">
        <w:rPr>
          <w:lang w:eastAsia="en-AU"/>
        </w:rPr>
        <w:t>eam training</w:t>
      </w:r>
    </w:p>
    <w:p w14:paraId="47F84E10" w14:textId="55B1C0C1" w:rsidR="0078418D" w:rsidRPr="00A4275A" w:rsidRDefault="0078418D" w:rsidP="00627695">
      <w:pPr>
        <w:pStyle w:val="Bullet2"/>
        <w:rPr>
          <w:lang w:eastAsia="en-AU"/>
        </w:rPr>
      </w:pPr>
      <w:r w:rsidRPr="00A4275A">
        <w:rPr>
          <w:lang w:eastAsia="en-AU"/>
        </w:rPr>
        <w:t xml:space="preserve">establishing </w:t>
      </w:r>
      <w:r w:rsidR="00B63785" w:rsidRPr="00A4275A">
        <w:rPr>
          <w:lang w:eastAsia="en-AU"/>
        </w:rPr>
        <w:t xml:space="preserve">a national </w:t>
      </w:r>
      <w:r w:rsidR="00BC573C" w:rsidRPr="00A4275A">
        <w:rPr>
          <w:lang w:eastAsia="en-AU"/>
        </w:rPr>
        <w:t>c</w:t>
      </w:r>
      <w:r w:rsidR="00B63785" w:rsidRPr="00A4275A">
        <w:rPr>
          <w:lang w:eastAsia="en-AU"/>
        </w:rPr>
        <w:t xml:space="preserve">ommunity of </w:t>
      </w:r>
      <w:r w:rsidR="00BC573C" w:rsidRPr="00A4275A">
        <w:rPr>
          <w:lang w:eastAsia="en-AU"/>
        </w:rPr>
        <w:t>p</w:t>
      </w:r>
      <w:r w:rsidR="00B63785" w:rsidRPr="00A4275A">
        <w:rPr>
          <w:lang w:eastAsia="en-AU"/>
        </w:rPr>
        <w:t>ractice</w:t>
      </w:r>
      <w:r w:rsidR="00BC573C" w:rsidRPr="00A4275A">
        <w:rPr>
          <w:lang w:eastAsia="en-AU"/>
        </w:rPr>
        <w:t xml:space="preserve"> for aggression response teams</w:t>
      </w:r>
    </w:p>
    <w:p w14:paraId="627D03B2" w14:textId="707B6CD8" w:rsidR="0078418D" w:rsidRPr="00A4275A" w:rsidRDefault="0078418D" w:rsidP="00627695">
      <w:pPr>
        <w:pStyle w:val="Bullet2"/>
        <w:rPr>
          <w:lang w:eastAsia="en-AU"/>
        </w:rPr>
      </w:pPr>
      <w:r w:rsidRPr="00A4275A">
        <w:rPr>
          <w:lang w:eastAsia="en-AU"/>
        </w:rPr>
        <w:t xml:space="preserve">improving </w:t>
      </w:r>
      <w:r w:rsidR="00F612FF" w:rsidRPr="00A4275A">
        <w:rPr>
          <w:lang w:eastAsia="en-AU"/>
        </w:rPr>
        <w:t xml:space="preserve">safety at </w:t>
      </w:r>
      <w:r w:rsidR="00B63785" w:rsidRPr="00A4275A">
        <w:rPr>
          <w:lang w:eastAsia="en-AU"/>
        </w:rPr>
        <w:t>reception</w:t>
      </w:r>
      <w:r w:rsidR="00BC573C" w:rsidRPr="00A4275A">
        <w:rPr>
          <w:lang w:eastAsia="en-AU"/>
        </w:rPr>
        <w:t>s</w:t>
      </w:r>
      <w:r w:rsidR="00B63785" w:rsidRPr="00A4275A">
        <w:rPr>
          <w:lang w:eastAsia="en-AU"/>
        </w:rPr>
        <w:t xml:space="preserve"> and </w:t>
      </w:r>
      <w:r w:rsidR="00F612FF" w:rsidRPr="00A4275A">
        <w:rPr>
          <w:lang w:eastAsia="en-AU"/>
        </w:rPr>
        <w:t xml:space="preserve">in </w:t>
      </w:r>
      <w:r w:rsidR="00BC573C" w:rsidRPr="00A4275A">
        <w:rPr>
          <w:lang w:eastAsia="en-AU"/>
        </w:rPr>
        <w:t xml:space="preserve">other </w:t>
      </w:r>
      <w:r w:rsidR="00B63785" w:rsidRPr="00A4275A">
        <w:rPr>
          <w:lang w:eastAsia="en-AU"/>
        </w:rPr>
        <w:t>public-facing environments</w:t>
      </w:r>
    </w:p>
    <w:p w14:paraId="3D77D53F" w14:textId="4A0B8BFC" w:rsidR="0078418D" w:rsidRPr="00A4275A" w:rsidRDefault="0078418D" w:rsidP="00627695">
      <w:pPr>
        <w:pStyle w:val="Bullet2"/>
        <w:rPr>
          <w:lang w:eastAsia="en-AU"/>
        </w:rPr>
      </w:pPr>
      <w:r w:rsidRPr="00A4275A">
        <w:rPr>
          <w:lang w:eastAsia="en-AU"/>
        </w:rPr>
        <w:t xml:space="preserve">establishing </w:t>
      </w:r>
      <w:r w:rsidR="00B63785" w:rsidRPr="00A4275A">
        <w:rPr>
          <w:lang w:eastAsia="en-AU"/>
        </w:rPr>
        <w:t>participant meeting rooms with dual egress</w:t>
      </w:r>
      <w:r w:rsidR="00BC573C" w:rsidRPr="00A4275A">
        <w:rPr>
          <w:lang w:eastAsia="en-AU"/>
        </w:rPr>
        <w:t xml:space="preserve"> doors</w:t>
      </w:r>
    </w:p>
    <w:p w14:paraId="1254D560" w14:textId="5E8FC738" w:rsidR="0078418D" w:rsidRPr="00A4275A" w:rsidRDefault="0078418D" w:rsidP="00627695">
      <w:pPr>
        <w:pStyle w:val="Bullet2"/>
        <w:rPr>
          <w:lang w:eastAsia="en-AU"/>
        </w:rPr>
      </w:pPr>
      <w:r w:rsidRPr="00A4275A">
        <w:rPr>
          <w:lang w:eastAsia="en-AU"/>
        </w:rPr>
        <w:t xml:space="preserve">strengthening </w:t>
      </w:r>
      <w:r w:rsidR="00B63785" w:rsidRPr="00A4275A">
        <w:rPr>
          <w:lang w:eastAsia="en-AU"/>
        </w:rPr>
        <w:t>reporting pathways for unreasonable behaviour</w:t>
      </w:r>
    </w:p>
    <w:p w14:paraId="406368AA" w14:textId="06F3DA11" w:rsidR="0078418D" w:rsidRPr="00A4275A" w:rsidRDefault="0078418D" w:rsidP="00627695">
      <w:pPr>
        <w:pStyle w:val="Bullet2"/>
        <w:rPr>
          <w:lang w:eastAsia="en-AU"/>
        </w:rPr>
      </w:pPr>
      <w:r w:rsidRPr="00A4275A">
        <w:rPr>
          <w:lang w:eastAsia="en-AU"/>
        </w:rPr>
        <w:t xml:space="preserve">creating </w:t>
      </w:r>
      <w:r w:rsidR="00B63785" w:rsidRPr="00A4275A">
        <w:rPr>
          <w:lang w:eastAsia="en-AU"/>
        </w:rPr>
        <w:t>a National Security Coordination Unit to improve oversight, consistency and capability across the NDIA</w:t>
      </w:r>
    </w:p>
    <w:p w14:paraId="398AAB66" w14:textId="046AD060" w:rsidR="00B63785" w:rsidRPr="00A4275A" w:rsidRDefault="00B63785" w:rsidP="002D3A0D">
      <w:pPr>
        <w:ind w:left="720"/>
        <w:rPr>
          <w:rFonts w:eastAsia="Arial" w:cs="Arial"/>
          <w:color w:val="000000"/>
          <w:lang w:val="en-US" w:eastAsia="ja-JP"/>
        </w:rPr>
      </w:pPr>
      <w:r w:rsidRPr="00A4275A">
        <w:rPr>
          <w:rFonts w:eastAsia="Arial" w:cs="Arial"/>
          <w:color w:val="000000"/>
          <w:lang w:eastAsia="ja-JP"/>
        </w:rPr>
        <w:t xml:space="preserve">These improvements were supported by </w:t>
      </w:r>
      <w:r w:rsidR="00207A5F" w:rsidRPr="00A4275A">
        <w:rPr>
          <w:rFonts w:eastAsia="Arial" w:cs="Arial"/>
          <w:color w:val="000000"/>
          <w:lang w:eastAsia="ja-JP"/>
        </w:rPr>
        <w:t xml:space="preserve">assessments of </w:t>
      </w:r>
      <w:r w:rsidRPr="00A4275A">
        <w:rPr>
          <w:rFonts w:eastAsia="Arial" w:cs="Arial"/>
          <w:color w:val="000000"/>
          <w:lang w:eastAsia="ja-JP"/>
        </w:rPr>
        <w:t>physical and psychosocial risk and integrated risk management processes to provide a holistic approach to workplace safety, wellbeing and security</w:t>
      </w:r>
    </w:p>
    <w:p w14:paraId="17DE43B2" w14:textId="632D81B7" w:rsidR="00B63785" w:rsidRPr="00A4275A" w:rsidRDefault="00580D14" w:rsidP="00627695">
      <w:pPr>
        <w:pStyle w:val="Bullet1"/>
        <w:rPr>
          <w:lang w:val="en-US"/>
        </w:rPr>
      </w:pPr>
      <w:r w:rsidRPr="00A4275A">
        <w:t>e</w:t>
      </w:r>
      <w:r w:rsidR="00B63785" w:rsidRPr="00A4275A">
        <w:t>nhanc</w:t>
      </w:r>
      <w:r w:rsidR="00F612FF" w:rsidRPr="00A4275A">
        <w:t>ing</w:t>
      </w:r>
      <w:r w:rsidR="00B63785" w:rsidRPr="00A4275A">
        <w:t xml:space="preserve"> </w:t>
      </w:r>
      <w:r w:rsidR="00091F57" w:rsidRPr="00A4275A">
        <w:t xml:space="preserve">ways for </w:t>
      </w:r>
      <w:r w:rsidR="00B63785" w:rsidRPr="00A4275A">
        <w:t xml:space="preserve">staff </w:t>
      </w:r>
      <w:r w:rsidR="00091F57" w:rsidRPr="00A4275A">
        <w:t xml:space="preserve">to </w:t>
      </w:r>
      <w:r w:rsidR="00B63785" w:rsidRPr="00A4275A">
        <w:t>report and respon</w:t>
      </w:r>
      <w:r w:rsidR="00091F57" w:rsidRPr="00A4275A">
        <w:t>d to incidents</w:t>
      </w:r>
      <w:r w:rsidR="00B63785" w:rsidRPr="00A4275A">
        <w:t xml:space="preserve"> by improving accessibility of the Speak Up platform, strengthening accountability and monitoring arrangements for concerns raised by staff</w:t>
      </w:r>
      <w:r w:rsidR="00091F57" w:rsidRPr="00A4275A">
        <w:t>,</w:t>
      </w:r>
      <w:r w:rsidR="00B63785" w:rsidRPr="00A4275A">
        <w:t xml:space="preserve"> and introducing a streamlined </w:t>
      </w:r>
      <w:r w:rsidR="00091F57" w:rsidRPr="00A4275A">
        <w:t xml:space="preserve">process for reporting </w:t>
      </w:r>
      <w:r w:rsidR="00B63785" w:rsidRPr="00A4275A">
        <w:t>unreasonable behaviour</w:t>
      </w:r>
    </w:p>
    <w:p w14:paraId="44D7BCC2" w14:textId="44DA7AF0" w:rsidR="00B63785" w:rsidRPr="00A4275A" w:rsidRDefault="00580D14" w:rsidP="00627695">
      <w:pPr>
        <w:pStyle w:val="Bullet1"/>
        <w:rPr>
          <w:lang w:val="en-US"/>
        </w:rPr>
      </w:pPr>
      <w:r w:rsidRPr="00A4275A">
        <w:t>e</w:t>
      </w:r>
      <w:r w:rsidR="00B63785" w:rsidRPr="00A4275A">
        <w:t>xpand</w:t>
      </w:r>
      <w:r w:rsidR="00F612FF" w:rsidRPr="00A4275A">
        <w:t>ing</w:t>
      </w:r>
      <w:r w:rsidR="00B63785" w:rsidRPr="00A4275A">
        <w:t xml:space="preserve"> mental health and wellbeing supports, including Mental Health First Aid training, wellbeing education and resources, targeted employee support initiatives and enhanced critical incident response services to strengthen early intervention and post-incident support for staff</w:t>
      </w:r>
    </w:p>
    <w:p w14:paraId="02B590CF" w14:textId="29C93593" w:rsidR="002B2DF2" w:rsidRPr="00A4275A" w:rsidRDefault="00580D14" w:rsidP="00627695">
      <w:pPr>
        <w:pStyle w:val="Bullet1"/>
        <w:rPr>
          <w:lang w:val="en-US"/>
        </w:rPr>
      </w:pPr>
      <w:r w:rsidRPr="00A4275A">
        <w:t>c</w:t>
      </w:r>
      <w:r w:rsidR="00B63785" w:rsidRPr="00A4275A">
        <w:t>ontin</w:t>
      </w:r>
      <w:r w:rsidR="00F612FF" w:rsidRPr="00A4275A">
        <w:t xml:space="preserve">uing to </w:t>
      </w:r>
      <w:r w:rsidR="00B63785" w:rsidRPr="00A4275A">
        <w:t>update the NDIA’s work health and safety management system in line with legislation and contemporary health, safety and wellbeing practices</w:t>
      </w:r>
      <w:r w:rsidR="00F612FF" w:rsidRPr="00A4275A">
        <w:t>;</w:t>
      </w:r>
      <w:r w:rsidR="00B63785" w:rsidRPr="00A4275A">
        <w:t xml:space="preserve"> and participat</w:t>
      </w:r>
      <w:r w:rsidR="00F612FF" w:rsidRPr="00A4275A">
        <w:t>ing</w:t>
      </w:r>
      <w:r w:rsidR="00B63785" w:rsidRPr="00A4275A">
        <w:t xml:space="preserve"> in a proactive Comcare inspection as part of its Regional Engagement Program on Risk Management, with no noncompliances identified.</w:t>
      </w:r>
    </w:p>
    <w:p w14:paraId="0A81114C" w14:textId="77777777" w:rsidR="003C1BEB" w:rsidRPr="00A4275A" w:rsidRDefault="002B2DF2" w:rsidP="002B2DF2">
      <w:pPr>
        <w:pStyle w:val="Heading4"/>
      </w:pPr>
      <w:r w:rsidRPr="00A4275A">
        <w:t>Work health and safety outcomes (including reportable incidents table)</w:t>
      </w:r>
    </w:p>
    <w:p w14:paraId="5688EFF7" w14:textId="15F180FB" w:rsidR="00E445B3" w:rsidRPr="0004016D" w:rsidRDefault="00E445B3" w:rsidP="00797726">
      <w:pPr>
        <w:keepNext/>
        <w:rPr>
          <w:lang w:val="en-US" w:eastAsia="ja-JP"/>
        </w:rPr>
      </w:pPr>
      <w:r w:rsidRPr="00A4275A">
        <w:rPr>
          <w:rFonts w:eastAsia="Arial" w:cs="Arial"/>
          <w:lang w:eastAsia="ja-JP"/>
        </w:rPr>
        <w:t xml:space="preserve">In 2025–26 the NDIA reported 4 incidents to Comcare under sections 35 and 38 of the WHS Act. Comcare closed all but one report without requiring further action from the </w:t>
      </w:r>
      <w:r w:rsidRPr="0004016D">
        <w:rPr>
          <w:lang w:eastAsia="ja-JP"/>
        </w:rPr>
        <w:t>NDIA, with the remaining matter expected to be finalised in 2026–27.</w:t>
      </w:r>
    </w:p>
    <w:p w14:paraId="14814EA6" w14:textId="4E00DD21" w:rsidR="004A7BD5" w:rsidRPr="0004016D" w:rsidRDefault="00E445B3" w:rsidP="00797726">
      <w:pPr>
        <w:keepNext/>
        <w:rPr>
          <w:lang w:val="en-US" w:eastAsia="ja-JP"/>
        </w:rPr>
      </w:pPr>
      <w:r w:rsidRPr="00A4275A">
        <w:rPr>
          <w:rFonts w:eastAsia="Arial" w:cs="Arial"/>
          <w:lang w:eastAsia="ja-JP"/>
        </w:rPr>
        <w:t>One improvement notice (under section 90 of the WHS Act) was issued by a health and safety representative during the reporting period and was subsequently cancelled.</w:t>
      </w:r>
    </w:p>
    <w:p w14:paraId="3FB2F171" w14:textId="424DC684" w:rsidR="00DE689B" w:rsidRPr="00A4275A" w:rsidRDefault="004540CE" w:rsidP="004540CE">
      <w:pPr>
        <w:pStyle w:val="Caption"/>
      </w:pPr>
      <w:r>
        <w:t>Table</w:t>
      </w:r>
      <w:r w:rsidR="005A2CFA">
        <w:t xml:space="preserve"> </w:t>
      </w:r>
      <w:r w:rsidR="0007555E">
        <w:rPr>
          <w:noProof/>
        </w:rPr>
        <w:t>2</w:t>
      </w:r>
      <w:r w:rsidR="0068179C">
        <w:rPr>
          <w:noProof/>
        </w:rPr>
        <w:t>1</w:t>
      </w:r>
      <w:r>
        <w:t xml:space="preserve">. </w:t>
      </w:r>
      <w:r w:rsidR="00DE689B" w:rsidRPr="00A4275A">
        <w:t>Summary of reported health and safety incidents (2025–26)</w:t>
      </w:r>
    </w:p>
    <w:tbl>
      <w:tblPr>
        <w:tblStyle w:val="TableGrid1"/>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8075"/>
        <w:gridCol w:w="1099"/>
      </w:tblGrid>
      <w:tr w:rsidR="00B63C2C" w:rsidRPr="00962274" w14:paraId="063A2121" w14:textId="77777777" w:rsidTr="00D750FE">
        <w:trPr>
          <w:trHeight w:val="300"/>
          <w:tblHeader/>
        </w:trPr>
        <w:tc>
          <w:tcPr>
            <w:tcW w:w="8075" w:type="dxa"/>
            <w:tcBorders>
              <w:top w:val="single" w:sz="4" w:space="0" w:color="6B2976"/>
              <w:left w:val="single" w:sz="4" w:space="0" w:color="6B2976"/>
              <w:bottom w:val="nil"/>
              <w:right w:val="single" w:sz="4" w:space="0" w:color="F9F9F9"/>
            </w:tcBorders>
            <w:shd w:val="clear" w:color="auto" w:fill="6B2976"/>
            <w:tcMar>
              <w:left w:w="45" w:type="dxa"/>
              <w:right w:w="45" w:type="dxa"/>
            </w:tcMar>
          </w:tcPr>
          <w:p w14:paraId="3A754F64" w14:textId="77777777" w:rsidR="00B63C2C" w:rsidRPr="00962274" w:rsidRDefault="00B63C2C" w:rsidP="00172730">
            <w:pPr>
              <w:spacing w:before="100" w:after="100" w:line="312" w:lineRule="auto"/>
              <w:rPr>
                <w:rFonts w:ascii="Arial" w:eastAsia="Arial" w:hAnsi="Arial"/>
                <w:color w:val="F9F9F9"/>
              </w:rPr>
            </w:pPr>
            <w:r w:rsidRPr="00962274">
              <w:rPr>
                <w:rFonts w:eastAsia="Arial"/>
                <w:color w:val="F9F9F9"/>
              </w:rPr>
              <w:t>Action under the WHS Act</w:t>
            </w:r>
          </w:p>
        </w:tc>
        <w:tc>
          <w:tcPr>
            <w:tcW w:w="1099" w:type="dxa"/>
            <w:tcBorders>
              <w:top w:val="single" w:sz="4" w:space="0" w:color="6B2976"/>
              <w:left w:val="single" w:sz="4" w:space="0" w:color="F9F9F9"/>
              <w:bottom w:val="nil"/>
              <w:right w:val="single" w:sz="4" w:space="0" w:color="6B2976"/>
            </w:tcBorders>
            <w:shd w:val="clear" w:color="auto" w:fill="6B2976"/>
            <w:tcMar>
              <w:left w:w="45" w:type="dxa"/>
              <w:right w:w="45" w:type="dxa"/>
            </w:tcMar>
          </w:tcPr>
          <w:p w14:paraId="41737AC8" w14:textId="77777777" w:rsidR="00B63C2C" w:rsidRPr="00962274" w:rsidRDefault="00B63C2C" w:rsidP="00172730">
            <w:pPr>
              <w:pStyle w:val="TableBody0"/>
              <w:spacing w:line="312" w:lineRule="auto"/>
              <w:jc w:val="right"/>
              <w:rPr>
                <w:rFonts w:ascii="Arial" w:eastAsia="Arial" w:hAnsi="Arial"/>
                <w:color w:val="F9F9F9"/>
                <w:lang w:val="en-AU"/>
              </w:rPr>
            </w:pPr>
            <w:r w:rsidRPr="00962274">
              <w:rPr>
                <w:rFonts w:eastAsia="Arial"/>
                <w:color w:val="F9F9F9"/>
              </w:rPr>
              <w:t>Number</w:t>
            </w:r>
          </w:p>
        </w:tc>
      </w:tr>
      <w:tr w:rsidR="00B63C2C" w:rsidRPr="00962274" w14:paraId="561610F5" w14:textId="77777777" w:rsidTr="00665ED0">
        <w:trPr>
          <w:trHeight w:val="300"/>
        </w:trPr>
        <w:tc>
          <w:tcPr>
            <w:tcW w:w="8075"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7F1593A0" w14:textId="77777777" w:rsidR="00B63C2C" w:rsidRPr="00962274" w:rsidRDefault="00B63C2C" w:rsidP="00172730">
            <w:pPr>
              <w:spacing w:before="100" w:after="100" w:line="312" w:lineRule="auto"/>
              <w:rPr>
                <w:rFonts w:ascii="Arial" w:eastAsia="Arial" w:hAnsi="Arial"/>
              </w:rPr>
            </w:pPr>
            <w:r w:rsidRPr="00962274">
              <w:rPr>
                <w:rFonts w:ascii="Arial" w:eastAsia="Arial" w:hAnsi="Arial"/>
              </w:rPr>
              <w:t>Death of a person that required notice to Comcare under section 35</w:t>
            </w:r>
          </w:p>
        </w:tc>
        <w:tc>
          <w:tcPr>
            <w:tcW w:w="1099"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79CD5A81" w14:textId="05CB69AC" w:rsidR="00B63C2C" w:rsidRPr="00962274" w:rsidRDefault="00B63C2C" w:rsidP="00172730">
            <w:pPr>
              <w:spacing w:before="100" w:after="100" w:line="312" w:lineRule="auto"/>
              <w:jc w:val="right"/>
              <w:rPr>
                <w:rFonts w:ascii="Arial" w:eastAsia="Arial" w:hAnsi="Arial"/>
                <w:color w:val="000000"/>
              </w:rPr>
            </w:pPr>
            <w:r w:rsidRPr="00962274">
              <w:rPr>
                <w:rFonts w:ascii="Arial" w:eastAsia="Arial" w:hAnsi="Arial"/>
                <w:color w:val="000000"/>
              </w:rPr>
              <w:t>0</w:t>
            </w:r>
            <w:r w:rsidR="00E73A7D" w:rsidRPr="00C80F60">
              <w:rPr>
                <w:rFonts w:ascii="Arial" w:hAnsi="Arial" w:cs="Times New Roman"/>
                <w:color w:val="000000"/>
                <w:vertAlign w:val="superscript"/>
              </w:rPr>
              <w:t>1</w:t>
            </w:r>
          </w:p>
        </w:tc>
      </w:tr>
      <w:tr w:rsidR="00B63C2C" w:rsidRPr="00962274" w14:paraId="3603477D" w14:textId="77777777" w:rsidTr="00665ED0">
        <w:trPr>
          <w:trHeight w:val="300"/>
        </w:trPr>
        <w:tc>
          <w:tcPr>
            <w:tcW w:w="8075" w:type="dxa"/>
            <w:tcBorders>
              <w:top w:val="single" w:sz="4" w:space="0" w:color="6B2976"/>
              <w:left w:val="single" w:sz="4" w:space="0" w:color="6B2976"/>
              <w:bottom w:val="single" w:sz="4" w:space="0" w:color="6B2976"/>
              <w:right w:val="single" w:sz="4" w:space="0" w:color="auto"/>
            </w:tcBorders>
            <w:shd w:val="clear" w:color="auto" w:fill="FFFFFF"/>
            <w:tcMar>
              <w:left w:w="45" w:type="dxa"/>
              <w:right w:w="45" w:type="dxa"/>
            </w:tcMar>
          </w:tcPr>
          <w:p w14:paraId="279557DA" w14:textId="77777777" w:rsidR="00B63C2C" w:rsidRPr="00962274" w:rsidRDefault="00B63C2C" w:rsidP="00172730">
            <w:pPr>
              <w:spacing w:before="100" w:after="100" w:line="312" w:lineRule="auto"/>
              <w:rPr>
                <w:rFonts w:ascii="Arial" w:eastAsia="Arial" w:hAnsi="Arial"/>
              </w:rPr>
            </w:pPr>
            <w:r w:rsidRPr="00962274">
              <w:rPr>
                <w:rFonts w:ascii="Arial" w:eastAsia="Arial" w:hAnsi="Arial"/>
              </w:rPr>
              <w:t>Serious injury or illness of a person that required notification to Comcare under section 35</w:t>
            </w:r>
          </w:p>
        </w:tc>
        <w:tc>
          <w:tcPr>
            <w:tcW w:w="1099" w:type="dxa"/>
            <w:tcBorders>
              <w:top w:val="single" w:sz="4" w:space="0" w:color="6B2976"/>
              <w:left w:val="single" w:sz="4" w:space="0" w:color="auto"/>
              <w:bottom w:val="single" w:sz="4" w:space="0" w:color="6B2976"/>
              <w:right w:val="single" w:sz="4" w:space="0" w:color="6B2976"/>
            </w:tcBorders>
            <w:shd w:val="clear" w:color="auto" w:fill="FFFFFF"/>
            <w:tcMar>
              <w:left w:w="45" w:type="dxa"/>
              <w:right w:w="45" w:type="dxa"/>
            </w:tcMar>
          </w:tcPr>
          <w:p w14:paraId="7AC36B96" w14:textId="410D02D4" w:rsidR="00B63C2C" w:rsidRPr="00962274" w:rsidRDefault="00B63C2C" w:rsidP="00172730">
            <w:pPr>
              <w:spacing w:line="312" w:lineRule="auto"/>
              <w:jc w:val="right"/>
              <w:rPr>
                <w:rFonts w:ascii="Arial" w:eastAsia="Arial" w:hAnsi="Arial"/>
                <w:color w:val="000000"/>
              </w:rPr>
            </w:pPr>
            <w:r w:rsidRPr="00962274">
              <w:rPr>
                <w:rFonts w:ascii="Arial" w:eastAsia="Arial" w:hAnsi="Arial"/>
                <w:color w:val="000000"/>
              </w:rPr>
              <w:t>2</w:t>
            </w:r>
            <w:r w:rsidR="00E73A7D" w:rsidRPr="00962274">
              <w:rPr>
                <w:rFonts w:ascii="Arial" w:hAnsi="Arial"/>
                <w:color w:val="000000"/>
              </w:rPr>
              <w:t>2</w:t>
            </w:r>
          </w:p>
        </w:tc>
      </w:tr>
      <w:tr w:rsidR="00B63C2C" w:rsidRPr="00962274" w14:paraId="2696EACE" w14:textId="77777777" w:rsidTr="00665ED0">
        <w:trPr>
          <w:trHeight w:val="300"/>
        </w:trPr>
        <w:tc>
          <w:tcPr>
            <w:tcW w:w="8075"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36DA52C3" w14:textId="77777777" w:rsidR="00B63C2C" w:rsidRPr="00962274" w:rsidRDefault="00B63C2C" w:rsidP="00172730">
            <w:pPr>
              <w:spacing w:before="100" w:after="100" w:line="312" w:lineRule="auto"/>
              <w:rPr>
                <w:rFonts w:ascii="Arial" w:eastAsia="Arial" w:hAnsi="Arial"/>
              </w:rPr>
            </w:pPr>
            <w:r w:rsidRPr="00962274">
              <w:rPr>
                <w:rFonts w:ascii="Arial" w:eastAsia="Arial" w:hAnsi="Arial"/>
              </w:rPr>
              <w:t>Dangerous incident that required notification to Comcare under section 35</w:t>
            </w:r>
          </w:p>
        </w:tc>
        <w:tc>
          <w:tcPr>
            <w:tcW w:w="1099"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70A5E033" w14:textId="2B32472C" w:rsidR="00B63C2C" w:rsidRPr="00962274" w:rsidRDefault="00B63C2C" w:rsidP="00172730">
            <w:pPr>
              <w:spacing w:before="100" w:after="100" w:line="312" w:lineRule="auto"/>
              <w:jc w:val="right"/>
              <w:rPr>
                <w:rFonts w:ascii="Arial" w:eastAsia="Arial" w:hAnsi="Arial"/>
                <w:color w:val="000000"/>
              </w:rPr>
            </w:pPr>
            <w:r w:rsidRPr="00962274">
              <w:rPr>
                <w:rFonts w:ascii="Arial" w:eastAsia="Arial" w:hAnsi="Arial"/>
                <w:color w:val="000000"/>
              </w:rPr>
              <w:t>0</w:t>
            </w:r>
          </w:p>
        </w:tc>
      </w:tr>
      <w:tr w:rsidR="00B63C2C" w:rsidRPr="00962274" w14:paraId="36156EFD" w14:textId="77777777" w:rsidTr="00665ED0">
        <w:trPr>
          <w:trHeight w:val="300"/>
        </w:trPr>
        <w:tc>
          <w:tcPr>
            <w:tcW w:w="8075" w:type="dxa"/>
            <w:tcBorders>
              <w:top w:val="single" w:sz="4" w:space="0" w:color="6B2976"/>
              <w:left w:val="single" w:sz="4" w:space="0" w:color="6B2976"/>
              <w:bottom w:val="single" w:sz="4" w:space="0" w:color="6B2976"/>
              <w:right w:val="single" w:sz="4" w:space="0" w:color="auto"/>
            </w:tcBorders>
            <w:shd w:val="clear" w:color="auto" w:fill="FFFFFF"/>
            <w:tcMar>
              <w:left w:w="45" w:type="dxa"/>
              <w:right w:w="45" w:type="dxa"/>
            </w:tcMar>
          </w:tcPr>
          <w:p w14:paraId="06BAB86E" w14:textId="77777777" w:rsidR="00B63C2C" w:rsidRPr="00962274" w:rsidRDefault="00B63C2C" w:rsidP="00172730">
            <w:pPr>
              <w:spacing w:before="100" w:after="100" w:line="312" w:lineRule="auto"/>
              <w:rPr>
                <w:rFonts w:ascii="Arial" w:eastAsia="Arial" w:hAnsi="Arial"/>
              </w:rPr>
            </w:pPr>
            <w:r w:rsidRPr="00962274">
              <w:rPr>
                <w:rFonts w:ascii="Arial" w:eastAsia="Arial" w:hAnsi="Arial"/>
              </w:rPr>
              <w:t>Investigation conducted under Part 10</w:t>
            </w:r>
          </w:p>
        </w:tc>
        <w:tc>
          <w:tcPr>
            <w:tcW w:w="1099" w:type="dxa"/>
            <w:tcBorders>
              <w:top w:val="single" w:sz="4" w:space="0" w:color="6B2976"/>
              <w:left w:val="single" w:sz="4" w:space="0" w:color="auto"/>
              <w:bottom w:val="single" w:sz="4" w:space="0" w:color="6B2976"/>
              <w:right w:val="single" w:sz="4" w:space="0" w:color="6B2976"/>
            </w:tcBorders>
            <w:shd w:val="clear" w:color="auto" w:fill="FFFFFF"/>
            <w:tcMar>
              <w:left w:w="45" w:type="dxa"/>
              <w:right w:w="45" w:type="dxa"/>
            </w:tcMar>
          </w:tcPr>
          <w:p w14:paraId="44421466" w14:textId="42E139C0" w:rsidR="00B63C2C" w:rsidRPr="00962274" w:rsidRDefault="00B63C2C" w:rsidP="00172730">
            <w:pPr>
              <w:spacing w:before="100" w:after="100" w:line="312" w:lineRule="auto"/>
              <w:jc w:val="right"/>
              <w:rPr>
                <w:rFonts w:ascii="Arial" w:eastAsia="Arial" w:hAnsi="Arial"/>
                <w:color w:val="000000"/>
              </w:rPr>
            </w:pPr>
            <w:r w:rsidRPr="00962274">
              <w:rPr>
                <w:rFonts w:ascii="Arial" w:eastAsia="Arial" w:hAnsi="Arial"/>
                <w:color w:val="000000"/>
              </w:rPr>
              <w:t>0</w:t>
            </w:r>
          </w:p>
        </w:tc>
      </w:tr>
      <w:tr w:rsidR="00B63C2C" w:rsidRPr="00962274" w14:paraId="77312E60" w14:textId="77777777" w:rsidTr="00665ED0">
        <w:trPr>
          <w:trHeight w:val="300"/>
        </w:trPr>
        <w:tc>
          <w:tcPr>
            <w:tcW w:w="8075"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6F4FA2E5" w14:textId="77777777" w:rsidR="00B63C2C" w:rsidRPr="00962274" w:rsidRDefault="00B63C2C" w:rsidP="00172730">
            <w:pPr>
              <w:spacing w:before="100" w:after="100" w:line="312" w:lineRule="auto"/>
              <w:rPr>
                <w:rFonts w:ascii="Arial" w:eastAsia="Arial" w:hAnsi="Arial"/>
              </w:rPr>
            </w:pPr>
            <w:r w:rsidRPr="00962274">
              <w:rPr>
                <w:rFonts w:ascii="Arial" w:eastAsia="Arial" w:hAnsi="Arial"/>
              </w:rPr>
              <w:t>Notice given under section 90 (provisional improvement notice)</w:t>
            </w:r>
          </w:p>
        </w:tc>
        <w:tc>
          <w:tcPr>
            <w:tcW w:w="1099"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0BEBFC0D" w14:textId="0298610E" w:rsidR="00B63C2C" w:rsidRPr="00962274" w:rsidRDefault="00B63C2C" w:rsidP="00172730">
            <w:pPr>
              <w:spacing w:line="312" w:lineRule="auto"/>
              <w:jc w:val="right"/>
              <w:rPr>
                <w:rFonts w:ascii="Arial" w:eastAsia="Arial" w:hAnsi="Arial"/>
                <w:color w:val="000000"/>
              </w:rPr>
            </w:pPr>
            <w:r w:rsidRPr="00962274">
              <w:rPr>
                <w:rFonts w:ascii="Arial" w:eastAsia="Arial" w:hAnsi="Arial"/>
                <w:color w:val="000000"/>
              </w:rPr>
              <w:t>1</w:t>
            </w:r>
            <w:r w:rsidR="00E73A7D" w:rsidRPr="00962274">
              <w:rPr>
                <w:rFonts w:ascii="Arial" w:hAnsi="Arial"/>
                <w:color w:val="000000"/>
              </w:rPr>
              <w:t>3</w:t>
            </w:r>
          </w:p>
        </w:tc>
      </w:tr>
      <w:tr w:rsidR="00B63C2C" w:rsidRPr="00962274" w14:paraId="3532F420" w14:textId="77777777" w:rsidTr="00665ED0">
        <w:trPr>
          <w:trHeight w:val="300"/>
        </w:trPr>
        <w:tc>
          <w:tcPr>
            <w:tcW w:w="8075" w:type="dxa"/>
            <w:tcBorders>
              <w:top w:val="single" w:sz="4" w:space="0" w:color="6B2976"/>
              <w:left w:val="single" w:sz="4" w:space="0" w:color="6B2976"/>
              <w:bottom w:val="single" w:sz="4" w:space="0" w:color="6B2976"/>
              <w:right w:val="single" w:sz="4" w:space="0" w:color="auto"/>
            </w:tcBorders>
            <w:shd w:val="clear" w:color="auto" w:fill="FFFFFF"/>
            <w:tcMar>
              <w:left w:w="45" w:type="dxa"/>
              <w:right w:w="45" w:type="dxa"/>
            </w:tcMar>
          </w:tcPr>
          <w:p w14:paraId="34CD06CC" w14:textId="77777777" w:rsidR="00B63C2C" w:rsidRPr="00962274" w:rsidRDefault="00B63C2C" w:rsidP="00172730">
            <w:pPr>
              <w:spacing w:before="100" w:after="100" w:line="312" w:lineRule="auto"/>
              <w:rPr>
                <w:rFonts w:ascii="Arial" w:eastAsia="Arial" w:hAnsi="Arial"/>
              </w:rPr>
            </w:pPr>
            <w:r w:rsidRPr="00962274">
              <w:rPr>
                <w:rFonts w:ascii="Arial" w:eastAsia="Arial" w:hAnsi="Arial"/>
              </w:rPr>
              <w:t>Notice given under section 191 (improvement notice)</w:t>
            </w:r>
          </w:p>
        </w:tc>
        <w:tc>
          <w:tcPr>
            <w:tcW w:w="1099" w:type="dxa"/>
            <w:tcBorders>
              <w:top w:val="single" w:sz="4" w:space="0" w:color="6B2976"/>
              <w:left w:val="single" w:sz="4" w:space="0" w:color="auto"/>
              <w:bottom w:val="single" w:sz="4" w:space="0" w:color="6B2976"/>
              <w:right w:val="single" w:sz="4" w:space="0" w:color="6B2976"/>
            </w:tcBorders>
            <w:shd w:val="clear" w:color="auto" w:fill="FFFFFF"/>
            <w:tcMar>
              <w:left w:w="45" w:type="dxa"/>
              <w:right w:w="45" w:type="dxa"/>
            </w:tcMar>
          </w:tcPr>
          <w:p w14:paraId="388A8592" w14:textId="2AD00C69" w:rsidR="00B63C2C" w:rsidRPr="00962274" w:rsidRDefault="00B63C2C" w:rsidP="00172730">
            <w:pPr>
              <w:spacing w:before="100" w:after="100" w:line="312" w:lineRule="auto"/>
              <w:jc w:val="right"/>
              <w:rPr>
                <w:rFonts w:ascii="Arial" w:eastAsia="Arial" w:hAnsi="Arial"/>
                <w:color w:val="000000"/>
              </w:rPr>
            </w:pPr>
            <w:r w:rsidRPr="00962274">
              <w:rPr>
                <w:rFonts w:ascii="Arial" w:eastAsia="Arial" w:hAnsi="Arial"/>
                <w:color w:val="000000"/>
              </w:rPr>
              <w:t>0</w:t>
            </w:r>
          </w:p>
        </w:tc>
      </w:tr>
      <w:tr w:rsidR="00B63C2C" w:rsidRPr="00962274" w14:paraId="0267EEB9" w14:textId="77777777" w:rsidTr="00665ED0">
        <w:trPr>
          <w:trHeight w:val="300"/>
        </w:trPr>
        <w:tc>
          <w:tcPr>
            <w:tcW w:w="8075"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7ECC5167" w14:textId="77777777" w:rsidR="00B63C2C" w:rsidRPr="00962274" w:rsidRDefault="00B63C2C" w:rsidP="00172730">
            <w:pPr>
              <w:spacing w:before="100" w:after="100" w:line="312" w:lineRule="auto"/>
              <w:rPr>
                <w:rFonts w:ascii="Arial" w:eastAsia="Arial" w:hAnsi="Arial"/>
              </w:rPr>
            </w:pPr>
            <w:r w:rsidRPr="00962274">
              <w:rPr>
                <w:rFonts w:ascii="Arial" w:eastAsia="Arial" w:hAnsi="Arial"/>
              </w:rPr>
              <w:t>Notice given under section 195 (prohibition notice)</w:t>
            </w:r>
          </w:p>
        </w:tc>
        <w:tc>
          <w:tcPr>
            <w:tcW w:w="1099"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7F5BDE31" w14:textId="0A78E613" w:rsidR="00B63C2C" w:rsidRPr="00962274" w:rsidRDefault="00B63C2C" w:rsidP="00172730">
            <w:pPr>
              <w:spacing w:before="100" w:after="100" w:line="312" w:lineRule="auto"/>
              <w:jc w:val="right"/>
              <w:rPr>
                <w:rFonts w:ascii="Arial" w:eastAsia="Arial" w:hAnsi="Arial"/>
                <w:color w:val="000000"/>
              </w:rPr>
            </w:pPr>
            <w:r w:rsidRPr="00962274">
              <w:rPr>
                <w:rFonts w:ascii="Arial" w:eastAsia="Arial" w:hAnsi="Arial"/>
                <w:color w:val="000000"/>
              </w:rPr>
              <w:t>0</w:t>
            </w:r>
          </w:p>
        </w:tc>
      </w:tr>
      <w:tr w:rsidR="00B63C2C" w:rsidRPr="00962274" w14:paraId="54EF9126" w14:textId="77777777" w:rsidTr="00665ED0">
        <w:trPr>
          <w:trHeight w:val="300"/>
        </w:trPr>
        <w:tc>
          <w:tcPr>
            <w:tcW w:w="8075" w:type="dxa"/>
            <w:tcBorders>
              <w:top w:val="single" w:sz="4" w:space="0" w:color="6B2976"/>
              <w:left w:val="single" w:sz="4" w:space="0" w:color="6B2976"/>
              <w:bottom w:val="single" w:sz="4" w:space="0" w:color="6B2976"/>
              <w:right w:val="single" w:sz="4" w:space="0" w:color="auto"/>
            </w:tcBorders>
            <w:shd w:val="clear" w:color="auto" w:fill="FFFFFF"/>
            <w:tcMar>
              <w:left w:w="45" w:type="dxa"/>
              <w:right w:w="45" w:type="dxa"/>
            </w:tcMar>
          </w:tcPr>
          <w:p w14:paraId="683DD87E" w14:textId="77777777" w:rsidR="00B63C2C" w:rsidRPr="00962274" w:rsidRDefault="00B63C2C" w:rsidP="00172730">
            <w:pPr>
              <w:spacing w:before="100" w:after="100" w:line="312" w:lineRule="auto"/>
              <w:rPr>
                <w:rFonts w:ascii="Arial" w:eastAsia="Arial" w:hAnsi="Arial"/>
              </w:rPr>
            </w:pPr>
            <w:r w:rsidRPr="00962274">
              <w:rPr>
                <w:rFonts w:ascii="Arial" w:eastAsia="Arial" w:hAnsi="Arial"/>
              </w:rPr>
              <w:t>Directions given under section 198 (non-disturbance)</w:t>
            </w:r>
          </w:p>
        </w:tc>
        <w:tc>
          <w:tcPr>
            <w:tcW w:w="1099" w:type="dxa"/>
            <w:tcBorders>
              <w:top w:val="single" w:sz="4" w:space="0" w:color="6B2976"/>
              <w:left w:val="single" w:sz="4" w:space="0" w:color="auto"/>
              <w:bottom w:val="single" w:sz="4" w:space="0" w:color="6B2976"/>
              <w:right w:val="single" w:sz="4" w:space="0" w:color="6B2976"/>
            </w:tcBorders>
            <w:shd w:val="clear" w:color="auto" w:fill="FFFFFF"/>
            <w:tcMar>
              <w:left w:w="45" w:type="dxa"/>
              <w:right w:w="45" w:type="dxa"/>
            </w:tcMar>
          </w:tcPr>
          <w:p w14:paraId="27A736D7" w14:textId="5B1F2DC8" w:rsidR="00B63C2C" w:rsidRPr="00962274" w:rsidRDefault="00B63C2C" w:rsidP="00172730">
            <w:pPr>
              <w:spacing w:before="100" w:after="100" w:line="312" w:lineRule="auto"/>
              <w:jc w:val="right"/>
              <w:rPr>
                <w:rFonts w:ascii="Arial" w:eastAsia="Arial" w:hAnsi="Arial"/>
                <w:color w:val="000000"/>
              </w:rPr>
            </w:pPr>
            <w:r w:rsidRPr="00962274">
              <w:rPr>
                <w:rFonts w:ascii="Arial" w:eastAsia="Arial" w:hAnsi="Arial"/>
                <w:color w:val="000000"/>
              </w:rPr>
              <w:t>0</w:t>
            </w:r>
          </w:p>
        </w:tc>
      </w:tr>
    </w:tbl>
    <w:p w14:paraId="44331953" w14:textId="057113A0" w:rsidR="00E42174" w:rsidRPr="00430FF9" w:rsidRDefault="00E42174" w:rsidP="00E42174">
      <w:pPr>
        <w:pStyle w:val="Tablenote"/>
        <w:rPr>
          <w:b/>
          <w:bCs/>
        </w:rPr>
      </w:pPr>
      <w:r w:rsidRPr="00430FF9">
        <w:rPr>
          <w:b/>
          <w:bCs/>
        </w:rPr>
        <w:t>Note:</w:t>
      </w:r>
    </w:p>
    <w:p w14:paraId="41AE72AF" w14:textId="43F11FD1" w:rsidR="00F612FF" w:rsidRPr="00E42174" w:rsidRDefault="00E73A7D" w:rsidP="00C80F60">
      <w:pPr>
        <w:pStyle w:val="Tablenote"/>
      </w:pPr>
      <w:r w:rsidRPr="00E42174">
        <w:t>1</w:t>
      </w:r>
      <w:r w:rsidR="00463231" w:rsidRPr="00E42174">
        <w:t xml:space="preserve"> </w:t>
      </w:r>
      <w:r w:rsidR="00B63C2C" w:rsidRPr="00E42174">
        <w:t>Two occurrences</w:t>
      </w:r>
      <w:r w:rsidR="00463231" w:rsidRPr="00E42174">
        <w:t xml:space="preserve"> </w:t>
      </w:r>
      <w:r w:rsidR="00B63C2C" w:rsidRPr="00E42174">
        <w:t>were reported to the regulator under an abundance of caution</w:t>
      </w:r>
      <w:r w:rsidR="00F612FF" w:rsidRPr="00E42174">
        <w:t>; however,</w:t>
      </w:r>
      <w:r w:rsidR="00B63C2C" w:rsidRPr="00E42174">
        <w:t xml:space="preserve"> following investigation</w:t>
      </w:r>
      <w:r w:rsidR="00F612FF" w:rsidRPr="00E42174">
        <w:t>,</w:t>
      </w:r>
      <w:r w:rsidR="00B63C2C" w:rsidRPr="00E42174">
        <w:t xml:space="preserve"> </w:t>
      </w:r>
      <w:r w:rsidR="00F612FF" w:rsidRPr="00E42174">
        <w:t xml:space="preserve">they were </w:t>
      </w:r>
      <w:r w:rsidR="00B63C2C" w:rsidRPr="00E42174">
        <w:t>found not to be work</w:t>
      </w:r>
      <w:r w:rsidR="00F612FF" w:rsidRPr="00E42174">
        <w:t>-</w:t>
      </w:r>
      <w:r w:rsidR="00B63C2C" w:rsidRPr="00E42174">
        <w:t>related</w:t>
      </w:r>
      <w:r w:rsidR="00463231" w:rsidRPr="00E42174">
        <w:t xml:space="preserve"> </w:t>
      </w:r>
      <w:r w:rsidR="00B63C2C" w:rsidRPr="00E42174">
        <w:t>events.</w:t>
      </w:r>
    </w:p>
    <w:p w14:paraId="2EA58C1E" w14:textId="77777777" w:rsidR="005D2965" w:rsidRPr="00A4275A" w:rsidRDefault="005D2965" w:rsidP="00901541">
      <w:pPr>
        <w:pStyle w:val="Heading3"/>
      </w:pPr>
      <w:bookmarkStart w:id="69" w:name="_Toc226723923"/>
      <w:bookmarkStart w:id="70" w:name="_Toc241826735"/>
      <w:r w:rsidRPr="00A4275A">
        <w:t>5.4 Disability and diversity</w:t>
      </w:r>
      <w:bookmarkEnd w:id="69"/>
      <w:bookmarkEnd w:id="70"/>
    </w:p>
    <w:p w14:paraId="457FCF5F" w14:textId="3D25B9D5" w:rsidR="00AF1B57" w:rsidRPr="00A4275A" w:rsidRDefault="00AF1B57" w:rsidP="00AF1B57">
      <w:pPr>
        <w:spacing w:after="160"/>
        <w:rPr>
          <w:rFonts w:eastAsia="Arial" w:cs="Arial"/>
          <w:color w:val="000000"/>
          <w:lang w:eastAsia="ja-JP"/>
        </w:rPr>
      </w:pPr>
      <w:r w:rsidRPr="00A4275A">
        <w:rPr>
          <w:rFonts w:eastAsia="Arial" w:cs="Arial"/>
          <w:color w:val="000000"/>
          <w:lang w:eastAsia="ja-JP"/>
        </w:rPr>
        <w:t>The NDIA is committed to building a workplace that represents the diverse community it serves. The NDIA aims to build a stronger, more responsive organisation, better able to deliver high-quality, inclusive services to participants and their families and carers.</w:t>
      </w:r>
    </w:p>
    <w:p w14:paraId="53434D8C" w14:textId="3CC57C3D" w:rsidR="00AF1B57" w:rsidRPr="00A4275A" w:rsidRDefault="00AF1B57" w:rsidP="00AF1B57">
      <w:pPr>
        <w:spacing w:after="160"/>
        <w:rPr>
          <w:rFonts w:eastAsia="Arial" w:cs="Arial"/>
          <w:color w:val="000000"/>
          <w:lang w:eastAsia="ja-JP"/>
        </w:rPr>
      </w:pPr>
      <w:r w:rsidRPr="00A4275A">
        <w:rPr>
          <w:rFonts w:eastAsia="Arial" w:cs="Arial"/>
          <w:color w:val="000000"/>
          <w:lang w:eastAsia="ja-JP"/>
        </w:rPr>
        <w:t>Table 2</w:t>
      </w:r>
      <w:r w:rsidR="0068179C">
        <w:rPr>
          <w:rFonts w:eastAsia="Arial" w:cs="Arial"/>
          <w:color w:val="000000"/>
          <w:lang w:eastAsia="ja-JP"/>
        </w:rPr>
        <w:t>2</w:t>
      </w:r>
      <w:r w:rsidRPr="00A4275A">
        <w:rPr>
          <w:rFonts w:eastAsia="Arial" w:cs="Arial"/>
          <w:color w:val="000000"/>
          <w:lang w:eastAsia="ja-JP"/>
        </w:rPr>
        <w:t xml:space="preserve"> presents the percentage of NDIA staff who self-identified as belonging to various diversity groups in the 202</w:t>
      </w:r>
      <w:r w:rsidR="00917E9C" w:rsidRPr="00A4275A">
        <w:rPr>
          <w:rFonts w:eastAsia="Arial" w:cs="Arial"/>
          <w:color w:val="000000"/>
          <w:lang w:eastAsia="ja-JP"/>
        </w:rPr>
        <w:t>6</w:t>
      </w:r>
      <w:r w:rsidRPr="00A4275A">
        <w:rPr>
          <w:rFonts w:eastAsia="Arial" w:cs="Arial"/>
          <w:color w:val="000000"/>
          <w:lang w:eastAsia="ja-JP"/>
        </w:rPr>
        <w:t xml:space="preserve"> APS Employee Census.</w:t>
      </w:r>
    </w:p>
    <w:p w14:paraId="4CB54CAC" w14:textId="7F3BF22B" w:rsidR="00DE689B" w:rsidRPr="00A4275A" w:rsidRDefault="004540CE" w:rsidP="004540CE">
      <w:pPr>
        <w:pStyle w:val="Caption"/>
      </w:pPr>
      <w:r>
        <w:t xml:space="preserve">Table </w:t>
      </w:r>
      <w:r w:rsidR="0007555E">
        <w:t>2</w:t>
      </w:r>
      <w:r w:rsidR="0068179C">
        <w:t>2</w:t>
      </w:r>
      <w:r>
        <w:t xml:space="preserve">. </w:t>
      </w:r>
      <w:r w:rsidR="00DE689B" w:rsidRPr="00A4275A">
        <w:t>Percentage of staff diversity groups as reported in the</w:t>
      </w:r>
      <w:r w:rsidR="00705800" w:rsidRPr="00A4275A">
        <w:t xml:space="preserve"> 2025 and</w:t>
      </w:r>
      <w:r w:rsidR="00DE689B" w:rsidRPr="00A4275A">
        <w:t xml:space="preserve"> 2026 APS Employee Census</w:t>
      </w:r>
    </w:p>
    <w:tbl>
      <w:tblPr>
        <w:tblStyle w:val="TableGrid2"/>
        <w:tblW w:w="9350" w:type="dxa"/>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6954"/>
        <w:gridCol w:w="1198"/>
        <w:gridCol w:w="1198"/>
      </w:tblGrid>
      <w:tr w:rsidR="006A6779" w:rsidRPr="00A4275A" w14:paraId="3E56D629" w14:textId="77777777" w:rsidTr="00665ED0">
        <w:trPr>
          <w:trHeight w:val="300"/>
          <w:tblHeader/>
        </w:trPr>
        <w:tc>
          <w:tcPr>
            <w:tcW w:w="6954" w:type="dxa"/>
            <w:tcBorders>
              <w:top w:val="single" w:sz="4" w:space="0" w:color="6B2976"/>
              <w:left w:val="single" w:sz="4" w:space="0" w:color="6B2976"/>
              <w:bottom w:val="nil"/>
              <w:right w:val="single" w:sz="4" w:space="0" w:color="F9F9F9"/>
            </w:tcBorders>
            <w:shd w:val="clear" w:color="auto" w:fill="6B2976"/>
            <w:tcMar>
              <w:left w:w="45" w:type="dxa"/>
              <w:right w:w="45" w:type="dxa"/>
            </w:tcMar>
          </w:tcPr>
          <w:p w14:paraId="2DBEAF39" w14:textId="77777777" w:rsidR="006A6779" w:rsidRPr="00A4275A" w:rsidRDefault="006A6779" w:rsidP="00172730">
            <w:pPr>
              <w:pStyle w:val="TableBody0"/>
              <w:spacing w:line="312" w:lineRule="auto"/>
              <w:rPr>
                <w:rFonts w:eastAsia="Arial"/>
                <w:b/>
                <w:bCs/>
                <w:color w:val="F9F9F9"/>
              </w:rPr>
            </w:pPr>
            <w:r w:rsidRPr="00A4275A">
              <w:rPr>
                <w:rFonts w:eastAsia="Arial"/>
                <w:color w:val="F9F9F9"/>
              </w:rPr>
              <w:t>Diversity group</w:t>
            </w:r>
          </w:p>
        </w:tc>
        <w:tc>
          <w:tcPr>
            <w:tcW w:w="1198" w:type="dxa"/>
            <w:tcBorders>
              <w:top w:val="single" w:sz="4" w:space="0" w:color="6B2976"/>
              <w:left w:val="single" w:sz="4" w:space="0" w:color="F9F9F9"/>
              <w:bottom w:val="nil"/>
              <w:right w:val="single" w:sz="4" w:space="0" w:color="F9F9F9"/>
            </w:tcBorders>
            <w:shd w:val="clear" w:color="auto" w:fill="6B2976"/>
            <w:tcMar>
              <w:left w:w="45" w:type="dxa"/>
              <w:right w:w="45" w:type="dxa"/>
            </w:tcMar>
          </w:tcPr>
          <w:p w14:paraId="0754E15F" w14:textId="77777777" w:rsidR="006A6779" w:rsidRPr="00A4275A" w:rsidRDefault="006A6779" w:rsidP="00172730">
            <w:pPr>
              <w:pStyle w:val="TableBody0"/>
              <w:spacing w:line="312" w:lineRule="auto"/>
              <w:jc w:val="right"/>
              <w:rPr>
                <w:rFonts w:eastAsia="Arial"/>
                <w:b/>
                <w:bCs/>
                <w:color w:val="F9F9F9"/>
              </w:rPr>
            </w:pPr>
            <w:r w:rsidRPr="00A4275A">
              <w:rPr>
                <w:rFonts w:eastAsia="Arial"/>
                <w:color w:val="F9F9F9"/>
              </w:rPr>
              <w:t>2025</w:t>
            </w:r>
          </w:p>
        </w:tc>
        <w:tc>
          <w:tcPr>
            <w:tcW w:w="1198" w:type="dxa"/>
            <w:tcBorders>
              <w:top w:val="single" w:sz="4" w:space="0" w:color="6B2976"/>
              <w:left w:val="single" w:sz="4" w:space="0" w:color="F9F9F9"/>
              <w:bottom w:val="nil"/>
              <w:right w:val="single" w:sz="4" w:space="0" w:color="6B2976"/>
            </w:tcBorders>
            <w:shd w:val="clear" w:color="auto" w:fill="6B2976"/>
            <w:tcMar>
              <w:left w:w="45" w:type="dxa"/>
              <w:right w:w="45" w:type="dxa"/>
            </w:tcMar>
          </w:tcPr>
          <w:p w14:paraId="5E56ADCF" w14:textId="77777777" w:rsidR="006A6779" w:rsidRPr="00A4275A" w:rsidRDefault="006A6779" w:rsidP="00172730">
            <w:pPr>
              <w:pStyle w:val="TableBody0"/>
              <w:spacing w:line="312" w:lineRule="auto"/>
              <w:jc w:val="right"/>
              <w:rPr>
                <w:rFonts w:eastAsia="Arial"/>
                <w:b/>
                <w:bCs/>
                <w:color w:val="F9F9F9"/>
              </w:rPr>
            </w:pPr>
            <w:r w:rsidRPr="00A4275A">
              <w:rPr>
                <w:rFonts w:eastAsia="Arial"/>
                <w:color w:val="F9F9F9"/>
              </w:rPr>
              <w:t>2026</w:t>
            </w:r>
          </w:p>
        </w:tc>
      </w:tr>
      <w:tr w:rsidR="006A6779" w:rsidRPr="00A4275A" w14:paraId="47FEC759" w14:textId="77777777" w:rsidTr="00665ED0">
        <w:trPr>
          <w:trHeight w:val="300"/>
        </w:trPr>
        <w:tc>
          <w:tcPr>
            <w:tcW w:w="6954"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2462B551" w14:textId="77777777" w:rsidR="006A6779" w:rsidRPr="00A4275A" w:rsidRDefault="006A6779" w:rsidP="00172730">
            <w:pPr>
              <w:pStyle w:val="TableBody0"/>
              <w:spacing w:line="312" w:lineRule="auto"/>
              <w:rPr>
                <w:rFonts w:eastAsia="Arial"/>
              </w:rPr>
            </w:pPr>
            <w:r w:rsidRPr="00A4275A">
              <w:rPr>
                <w:rFonts w:eastAsia="Arial"/>
              </w:rPr>
              <w:t>Aboriginal and/or Torres Strait Islander</w:t>
            </w:r>
          </w:p>
        </w:tc>
        <w:tc>
          <w:tcPr>
            <w:tcW w:w="1198"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79D2B6C5" w14:textId="77777777" w:rsidR="006A6779" w:rsidRPr="00A4275A" w:rsidRDefault="006A6779" w:rsidP="00172730">
            <w:pPr>
              <w:pStyle w:val="TableBody0"/>
              <w:spacing w:line="312" w:lineRule="auto"/>
              <w:jc w:val="right"/>
              <w:rPr>
                <w:rFonts w:eastAsia="Arial"/>
              </w:rPr>
            </w:pPr>
            <w:r w:rsidRPr="00A4275A">
              <w:rPr>
                <w:rFonts w:eastAsia="Arial"/>
              </w:rPr>
              <w:t>3.3%</w:t>
            </w:r>
          </w:p>
        </w:tc>
        <w:tc>
          <w:tcPr>
            <w:tcW w:w="1198"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23BA954F" w14:textId="77777777" w:rsidR="006A6779" w:rsidRPr="00A4275A" w:rsidRDefault="006A6779" w:rsidP="00172730">
            <w:pPr>
              <w:pStyle w:val="TableBody0"/>
              <w:spacing w:line="312" w:lineRule="auto"/>
              <w:jc w:val="right"/>
              <w:rPr>
                <w:rFonts w:eastAsia="Arial"/>
              </w:rPr>
            </w:pPr>
            <w:r w:rsidRPr="00A4275A">
              <w:rPr>
                <w:rFonts w:eastAsia="Arial"/>
              </w:rPr>
              <w:t>3.7%</w:t>
            </w:r>
          </w:p>
        </w:tc>
      </w:tr>
      <w:tr w:rsidR="006A6779" w:rsidRPr="00A4275A" w14:paraId="4E797C2E" w14:textId="77777777" w:rsidTr="00665ED0">
        <w:trPr>
          <w:trHeight w:val="300"/>
        </w:trPr>
        <w:tc>
          <w:tcPr>
            <w:tcW w:w="6954" w:type="dxa"/>
            <w:tcBorders>
              <w:top w:val="single" w:sz="4" w:space="0" w:color="6B2976"/>
              <w:left w:val="single" w:sz="4" w:space="0" w:color="6B2976"/>
              <w:bottom w:val="single" w:sz="4" w:space="0" w:color="6B2976"/>
              <w:right w:val="single" w:sz="4" w:space="0" w:color="auto"/>
            </w:tcBorders>
            <w:shd w:val="clear" w:color="auto" w:fill="F9F9F9" w:themeFill="background1"/>
            <w:tcMar>
              <w:left w:w="45" w:type="dxa"/>
              <w:right w:w="45" w:type="dxa"/>
            </w:tcMar>
          </w:tcPr>
          <w:p w14:paraId="14327E65" w14:textId="77777777" w:rsidR="006A6779" w:rsidRPr="00A4275A" w:rsidRDefault="006A6779" w:rsidP="00172730">
            <w:pPr>
              <w:pStyle w:val="TableBody0"/>
              <w:spacing w:line="312" w:lineRule="auto"/>
              <w:rPr>
                <w:rFonts w:eastAsia="Arial"/>
              </w:rPr>
            </w:pPr>
            <w:r w:rsidRPr="00A4275A">
              <w:rPr>
                <w:rFonts w:eastAsia="Arial"/>
              </w:rPr>
              <w:t>Ongoing disability</w:t>
            </w:r>
          </w:p>
        </w:tc>
        <w:tc>
          <w:tcPr>
            <w:tcW w:w="1198" w:type="dxa"/>
            <w:tcBorders>
              <w:top w:val="single" w:sz="4" w:space="0" w:color="6B2976"/>
              <w:left w:val="single" w:sz="4" w:space="0" w:color="auto"/>
              <w:bottom w:val="single" w:sz="4" w:space="0" w:color="6B2976"/>
              <w:right w:val="single" w:sz="4" w:space="0" w:color="auto"/>
            </w:tcBorders>
            <w:shd w:val="clear" w:color="auto" w:fill="F9F9F9" w:themeFill="background1"/>
            <w:tcMar>
              <w:left w:w="45" w:type="dxa"/>
              <w:right w:w="45" w:type="dxa"/>
            </w:tcMar>
          </w:tcPr>
          <w:p w14:paraId="7027B318" w14:textId="77777777" w:rsidR="006A6779" w:rsidRPr="00A4275A" w:rsidRDefault="006A6779" w:rsidP="00172730">
            <w:pPr>
              <w:pStyle w:val="TableBody0"/>
              <w:spacing w:line="312" w:lineRule="auto"/>
              <w:jc w:val="right"/>
              <w:rPr>
                <w:rFonts w:eastAsia="Arial"/>
              </w:rPr>
            </w:pPr>
            <w:r w:rsidRPr="00A4275A">
              <w:rPr>
                <w:rFonts w:eastAsia="Arial"/>
              </w:rPr>
              <w:t>23.4%</w:t>
            </w:r>
          </w:p>
        </w:tc>
        <w:tc>
          <w:tcPr>
            <w:tcW w:w="1198" w:type="dxa"/>
            <w:tcBorders>
              <w:top w:val="single" w:sz="4" w:space="0" w:color="6B2976"/>
              <w:left w:val="single" w:sz="4" w:space="0" w:color="auto"/>
              <w:bottom w:val="single" w:sz="4" w:space="0" w:color="6B2976"/>
              <w:right w:val="single" w:sz="4" w:space="0" w:color="6B2976"/>
            </w:tcBorders>
            <w:shd w:val="clear" w:color="auto" w:fill="F9F9F9" w:themeFill="background1"/>
            <w:tcMar>
              <w:left w:w="45" w:type="dxa"/>
              <w:right w:w="45" w:type="dxa"/>
            </w:tcMar>
          </w:tcPr>
          <w:p w14:paraId="3E0E87B8" w14:textId="77777777" w:rsidR="006A6779" w:rsidRPr="00A4275A" w:rsidRDefault="006A6779" w:rsidP="00172730">
            <w:pPr>
              <w:pStyle w:val="TableBody0"/>
              <w:spacing w:line="312" w:lineRule="auto"/>
              <w:jc w:val="right"/>
              <w:rPr>
                <w:rFonts w:eastAsia="Arial"/>
              </w:rPr>
            </w:pPr>
            <w:r w:rsidRPr="00A4275A">
              <w:rPr>
                <w:rFonts w:eastAsia="Arial"/>
              </w:rPr>
              <w:t>24.0%</w:t>
            </w:r>
          </w:p>
        </w:tc>
      </w:tr>
      <w:tr w:rsidR="006A6779" w:rsidRPr="00A4275A" w14:paraId="53B8E7B5" w14:textId="77777777" w:rsidTr="00665ED0">
        <w:trPr>
          <w:trHeight w:val="300"/>
        </w:trPr>
        <w:tc>
          <w:tcPr>
            <w:tcW w:w="6954"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259DBE7D" w14:textId="77777777" w:rsidR="006A6779" w:rsidRPr="00A4275A" w:rsidRDefault="006A6779" w:rsidP="00172730">
            <w:pPr>
              <w:pStyle w:val="TableBody0"/>
              <w:spacing w:line="312" w:lineRule="auto"/>
              <w:rPr>
                <w:rFonts w:eastAsia="Arial"/>
              </w:rPr>
            </w:pPr>
            <w:r w:rsidRPr="00A4275A">
              <w:rPr>
                <w:rFonts w:eastAsia="Arial"/>
              </w:rPr>
              <w:t>Mature-age (aged 45 years and over)</w:t>
            </w:r>
          </w:p>
        </w:tc>
        <w:tc>
          <w:tcPr>
            <w:tcW w:w="1198"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2FA189B8" w14:textId="49B11894" w:rsidR="006A6779" w:rsidRPr="00A4275A" w:rsidRDefault="006A6779" w:rsidP="00172730">
            <w:pPr>
              <w:pStyle w:val="TableBody0"/>
              <w:spacing w:line="312" w:lineRule="auto"/>
              <w:jc w:val="right"/>
              <w:rPr>
                <w:rFonts w:eastAsia="Arial"/>
              </w:rPr>
            </w:pPr>
            <w:r w:rsidRPr="00A4275A">
              <w:rPr>
                <w:rFonts w:eastAsia="Arial"/>
              </w:rPr>
              <w:t>4</w:t>
            </w:r>
            <w:r w:rsidR="0035111C">
              <w:rPr>
                <w:rFonts w:eastAsia="Arial"/>
              </w:rPr>
              <w:t>4</w:t>
            </w:r>
            <w:r w:rsidRPr="00A4275A">
              <w:rPr>
                <w:rFonts w:eastAsia="Arial"/>
              </w:rPr>
              <w:t>.2%</w:t>
            </w:r>
          </w:p>
        </w:tc>
        <w:tc>
          <w:tcPr>
            <w:tcW w:w="1198"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632D162F" w14:textId="77777777" w:rsidR="006A6779" w:rsidRPr="00A4275A" w:rsidRDefault="006A6779" w:rsidP="00172730">
            <w:pPr>
              <w:pStyle w:val="TableBody0"/>
              <w:spacing w:line="312" w:lineRule="auto"/>
              <w:jc w:val="right"/>
              <w:rPr>
                <w:rFonts w:eastAsia="Arial"/>
              </w:rPr>
            </w:pPr>
            <w:r w:rsidRPr="00A4275A">
              <w:rPr>
                <w:rFonts w:eastAsia="Arial"/>
              </w:rPr>
              <w:t>44.9%</w:t>
            </w:r>
          </w:p>
        </w:tc>
      </w:tr>
      <w:tr w:rsidR="006A6779" w:rsidRPr="00A4275A" w14:paraId="480A6D3A" w14:textId="77777777" w:rsidTr="00665ED0">
        <w:trPr>
          <w:trHeight w:val="300"/>
        </w:trPr>
        <w:tc>
          <w:tcPr>
            <w:tcW w:w="6954" w:type="dxa"/>
            <w:tcBorders>
              <w:top w:val="single" w:sz="4" w:space="0" w:color="6B2976"/>
              <w:left w:val="single" w:sz="4" w:space="0" w:color="6B2976"/>
              <w:bottom w:val="single" w:sz="4" w:space="0" w:color="6B2976"/>
              <w:right w:val="single" w:sz="4" w:space="0" w:color="auto"/>
            </w:tcBorders>
            <w:shd w:val="clear" w:color="auto" w:fill="F9F9F9" w:themeFill="background1"/>
            <w:tcMar>
              <w:left w:w="45" w:type="dxa"/>
              <w:right w:w="45" w:type="dxa"/>
            </w:tcMar>
          </w:tcPr>
          <w:p w14:paraId="779DF466" w14:textId="77777777" w:rsidR="006A6779" w:rsidRPr="00A4275A" w:rsidRDefault="006A6779" w:rsidP="00172730">
            <w:pPr>
              <w:pStyle w:val="TableBody0"/>
              <w:spacing w:line="312" w:lineRule="auto"/>
              <w:rPr>
                <w:rFonts w:eastAsia="Arial"/>
              </w:rPr>
            </w:pPr>
            <w:r w:rsidRPr="00A4275A">
              <w:rPr>
                <w:rFonts w:eastAsia="Arial"/>
              </w:rPr>
              <w:t xml:space="preserve">LGBTIQA+ </w:t>
            </w:r>
          </w:p>
        </w:tc>
        <w:tc>
          <w:tcPr>
            <w:tcW w:w="1198" w:type="dxa"/>
            <w:tcBorders>
              <w:top w:val="single" w:sz="4" w:space="0" w:color="6B2976"/>
              <w:left w:val="single" w:sz="4" w:space="0" w:color="auto"/>
              <w:bottom w:val="single" w:sz="4" w:space="0" w:color="6B2976"/>
              <w:right w:val="single" w:sz="4" w:space="0" w:color="auto"/>
            </w:tcBorders>
            <w:shd w:val="clear" w:color="auto" w:fill="F9F9F9" w:themeFill="background1"/>
            <w:tcMar>
              <w:left w:w="45" w:type="dxa"/>
              <w:right w:w="45" w:type="dxa"/>
            </w:tcMar>
          </w:tcPr>
          <w:p w14:paraId="01B5F19B" w14:textId="77777777" w:rsidR="006A6779" w:rsidRPr="00A4275A" w:rsidRDefault="006A6779" w:rsidP="00172730">
            <w:pPr>
              <w:pStyle w:val="TableBody0"/>
              <w:spacing w:line="312" w:lineRule="auto"/>
              <w:jc w:val="right"/>
              <w:rPr>
                <w:rFonts w:eastAsia="Arial"/>
              </w:rPr>
            </w:pPr>
            <w:r w:rsidRPr="00A4275A">
              <w:rPr>
                <w:rFonts w:eastAsia="Arial"/>
              </w:rPr>
              <w:t>9.9%</w:t>
            </w:r>
          </w:p>
        </w:tc>
        <w:tc>
          <w:tcPr>
            <w:tcW w:w="1198" w:type="dxa"/>
            <w:tcBorders>
              <w:top w:val="single" w:sz="4" w:space="0" w:color="6B2976"/>
              <w:left w:val="single" w:sz="4" w:space="0" w:color="auto"/>
              <w:bottom w:val="single" w:sz="4" w:space="0" w:color="6B2976"/>
              <w:right w:val="single" w:sz="4" w:space="0" w:color="6B2976"/>
            </w:tcBorders>
            <w:shd w:val="clear" w:color="auto" w:fill="F9F9F9" w:themeFill="background1"/>
            <w:tcMar>
              <w:left w:w="45" w:type="dxa"/>
              <w:right w:w="45" w:type="dxa"/>
            </w:tcMar>
          </w:tcPr>
          <w:p w14:paraId="3C028739" w14:textId="77777777" w:rsidR="006A6779" w:rsidRPr="00A4275A" w:rsidRDefault="006A6779" w:rsidP="00172730">
            <w:pPr>
              <w:pStyle w:val="TableBody0"/>
              <w:spacing w:line="312" w:lineRule="auto"/>
              <w:jc w:val="right"/>
              <w:rPr>
                <w:rFonts w:eastAsia="Arial"/>
              </w:rPr>
            </w:pPr>
            <w:r w:rsidRPr="00A4275A">
              <w:rPr>
                <w:rFonts w:eastAsia="Arial"/>
              </w:rPr>
              <w:t>10.2%</w:t>
            </w:r>
          </w:p>
        </w:tc>
      </w:tr>
      <w:tr w:rsidR="006A6779" w:rsidRPr="00A4275A" w14:paraId="2244CDCF" w14:textId="77777777" w:rsidTr="00665ED0">
        <w:trPr>
          <w:trHeight w:val="300"/>
        </w:trPr>
        <w:tc>
          <w:tcPr>
            <w:tcW w:w="6954"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530D1A8B" w14:textId="77777777" w:rsidR="006A6779" w:rsidRPr="00A4275A" w:rsidRDefault="006A6779" w:rsidP="00172730">
            <w:pPr>
              <w:pStyle w:val="TableBody0"/>
              <w:spacing w:line="312" w:lineRule="auto"/>
              <w:rPr>
                <w:rFonts w:eastAsia="Arial"/>
              </w:rPr>
            </w:pPr>
            <w:r w:rsidRPr="00A4275A">
              <w:rPr>
                <w:rFonts w:eastAsia="Arial"/>
              </w:rPr>
              <w:t>Culturally and linguistically diverse</w:t>
            </w:r>
          </w:p>
        </w:tc>
        <w:tc>
          <w:tcPr>
            <w:tcW w:w="1198"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38C0237C" w14:textId="77777777" w:rsidR="006A6779" w:rsidRPr="00A4275A" w:rsidRDefault="006A6779" w:rsidP="00172730">
            <w:pPr>
              <w:pStyle w:val="TableBody0"/>
              <w:spacing w:line="312" w:lineRule="auto"/>
              <w:jc w:val="right"/>
              <w:rPr>
                <w:rFonts w:eastAsia="Arial"/>
              </w:rPr>
            </w:pPr>
            <w:r w:rsidRPr="00A4275A">
              <w:rPr>
                <w:rFonts w:eastAsia="Arial"/>
              </w:rPr>
              <w:t>25.8%</w:t>
            </w:r>
          </w:p>
        </w:tc>
        <w:tc>
          <w:tcPr>
            <w:tcW w:w="1198" w:type="dxa"/>
            <w:tcBorders>
              <w:top w:val="single" w:sz="4" w:space="0" w:color="auto"/>
              <w:left w:val="single" w:sz="4" w:space="0" w:color="auto"/>
              <w:bottom w:val="single" w:sz="4" w:space="0" w:color="auto"/>
              <w:right w:val="single" w:sz="4" w:space="0" w:color="auto"/>
            </w:tcBorders>
            <w:shd w:val="clear" w:color="auto" w:fill="F7EEF7"/>
            <w:tcMar>
              <w:left w:w="45" w:type="dxa"/>
              <w:right w:w="45" w:type="dxa"/>
            </w:tcMar>
          </w:tcPr>
          <w:p w14:paraId="3E1E0F7C" w14:textId="77777777" w:rsidR="006A6779" w:rsidRPr="00A4275A" w:rsidRDefault="006A6779" w:rsidP="00172730">
            <w:pPr>
              <w:pStyle w:val="TableBody0"/>
              <w:spacing w:line="312" w:lineRule="auto"/>
              <w:jc w:val="right"/>
              <w:rPr>
                <w:rFonts w:eastAsia="Arial"/>
              </w:rPr>
            </w:pPr>
            <w:r w:rsidRPr="00A4275A">
              <w:rPr>
                <w:rFonts w:eastAsia="Arial"/>
              </w:rPr>
              <w:t>26.0%</w:t>
            </w:r>
          </w:p>
        </w:tc>
      </w:tr>
      <w:tr w:rsidR="006A6779" w:rsidRPr="00A4275A" w14:paraId="56F19721" w14:textId="77777777" w:rsidTr="00665ED0">
        <w:trPr>
          <w:trHeight w:val="300"/>
        </w:trPr>
        <w:tc>
          <w:tcPr>
            <w:tcW w:w="6954" w:type="dxa"/>
            <w:tcBorders>
              <w:top w:val="single" w:sz="4" w:space="0" w:color="6B2976"/>
              <w:left w:val="single" w:sz="4" w:space="0" w:color="6B2976"/>
              <w:bottom w:val="single" w:sz="4" w:space="0" w:color="6B2976"/>
              <w:right w:val="single" w:sz="4" w:space="0" w:color="auto"/>
            </w:tcBorders>
            <w:shd w:val="clear" w:color="auto" w:fill="F9F9F9" w:themeFill="background1"/>
            <w:tcMar>
              <w:left w:w="45" w:type="dxa"/>
              <w:right w:w="45" w:type="dxa"/>
            </w:tcMar>
          </w:tcPr>
          <w:p w14:paraId="449835CC" w14:textId="77777777" w:rsidR="006A6779" w:rsidRPr="00A4275A" w:rsidRDefault="006A6779" w:rsidP="00172730">
            <w:pPr>
              <w:pStyle w:val="TableBody0"/>
              <w:spacing w:line="312" w:lineRule="auto"/>
              <w:rPr>
                <w:rFonts w:eastAsia="Arial"/>
              </w:rPr>
            </w:pPr>
            <w:r w:rsidRPr="00A4275A">
              <w:rPr>
                <w:rFonts w:eastAsia="Arial"/>
              </w:rPr>
              <w:t>Neurodivergent</w:t>
            </w:r>
          </w:p>
        </w:tc>
        <w:tc>
          <w:tcPr>
            <w:tcW w:w="1198" w:type="dxa"/>
            <w:tcBorders>
              <w:top w:val="single" w:sz="4" w:space="0" w:color="6B2976"/>
              <w:left w:val="single" w:sz="4" w:space="0" w:color="auto"/>
              <w:bottom w:val="single" w:sz="4" w:space="0" w:color="6B2976"/>
              <w:right w:val="single" w:sz="4" w:space="0" w:color="auto"/>
            </w:tcBorders>
            <w:shd w:val="clear" w:color="auto" w:fill="F9F9F9" w:themeFill="background1"/>
            <w:tcMar>
              <w:left w:w="45" w:type="dxa"/>
              <w:right w:w="45" w:type="dxa"/>
            </w:tcMar>
          </w:tcPr>
          <w:p w14:paraId="1E54A469" w14:textId="77777777" w:rsidR="006A6779" w:rsidRPr="00A4275A" w:rsidRDefault="006A6779" w:rsidP="00172730">
            <w:pPr>
              <w:pStyle w:val="TableBody0"/>
              <w:spacing w:line="312" w:lineRule="auto"/>
              <w:jc w:val="right"/>
              <w:rPr>
                <w:rFonts w:eastAsia="Arial"/>
              </w:rPr>
            </w:pPr>
            <w:r w:rsidRPr="00A4275A">
              <w:rPr>
                <w:rFonts w:eastAsia="Arial"/>
              </w:rPr>
              <w:t>16.0%</w:t>
            </w:r>
          </w:p>
        </w:tc>
        <w:tc>
          <w:tcPr>
            <w:tcW w:w="1198" w:type="dxa"/>
            <w:tcBorders>
              <w:top w:val="single" w:sz="4" w:space="0" w:color="6B2976"/>
              <w:left w:val="single" w:sz="4" w:space="0" w:color="auto"/>
              <w:bottom w:val="single" w:sz="4" w:space="0" w:color="6B2976"/>
              <w:right w:val="single" w:sz="4" w:space="0" w:color="6B2976"/>
            </w:tcBorders>
            <w:shd w:val="clear" w:color="auto" w:fill="F9F9F9" w:themeFill="background1"/>
            <w:tcMar>
              <w:left w:w="45" w:type="dxa"/>
              <w:right w:w="45" w:type="dxa"/>
            </w:tcMar>
          </w:tcPr>
          <w:p w14:paraId="303406B2" w14:textId="77777777" w:rsidR="006A6779" w:rsidRPr="00A4275A" w:rsidRDefault="006A6779" w:rsidP="00172730">
            <w:pPr>
              <w:pStyle w:val="TableBody0"/>
              <w:spacing w:line="312" w:lineRule="auto"/>
              <w:jc w:val="right"/>
              <w:rPr>
                <w:rFonts w:eastAsia="Arial"/>
              </w:rPr>
            </w:pPr>
            <w:r w:rsidRPr="00A4275A">
              <w:rPr>
                <w:rFonts w:eastAsia="Arial"/>
              </w:rPr>
              <w:t>17.8%</w:t>
            </w:r>
          </w:p>
        </w:tc>
      </w:tr>
    </w:tbl>
    <w:p w14:paraId="7253BF9B" w14:textId="1D98E148" w:rsidR="005D2965" w:rsidRPr="00A4275A" w:rsidRDefault="00BE44D8" w:rsidP="005D2965">
      <w:pPr>
        <w:pStyle w:val="Heading4"/>
      </w:pPr>
      <w:r w:rsidRPr="00A4275A">
        <w:t>Shaping a culture of inclusion</w:t>
      </w:r>
    </w:p>
    <w:p w14:paraId="5B7E0934" w14:textId="2D293EA9" w:rsidR="00AB4F22" w:rsidRPr="00A4275A" w:rsidRDefault="00AB4F22" w:rsidP="00797726">
      <w:pPr>
        <w:spacing w:before="120"/>
        <w:rPr>
          <w:rFonts w:eastAsia="Arial" w:cs="Arial"/>
          <w:color w:val="000000"/>
          <w:lang w:eastAsia="ja-JP"/>
        </w:rPr>
      </w:pPr>
      <w:r w:rsidRPr="00A4275A">
        <w:rPr>
          <w:rFonts w:eastAsia="Arial" w:cs="Arial"/>
          <w:color w:val="000000"/>
          <w:lang w:eastAsia="ja-JP"/>
        </w:rPr>
        <w:t>The NDIA strives to be an employer of choice and to lead the APS in creating an inclusive workplace for its diverse staff. In 2025–26 the NDIA strengthened its inclusion and diversity practices by developing and delivering targeted action plans and strategies that support our people and help build a more inclusive culture</w:t>
      </w:r>
      <w:r w:rsidR="00BE74C1" w:rsidRPr="00A4275A">
        <w:rPr>
          <w:rFonts w:eastAsia="Arial" w:cs="Arial"/>
          <w:color w:val="000000"/>
          <w:lang w:eastAsia="ja-JP"/>
        </w:rPr>
        <w:t xml:space="preserve">. For example, </w:t>
      </w:r>
      <w:r w:rsidR="00C92815" w:rsidRPr="00A4275A">
        <w:rPr>
          <w:rFonts w:eastAsia="Arial" w:cs="Arial"/>
          <w:color w:val="000000"/>
          <w:lang w:eastAsia="ja-JP"/>
        </w:rPr>
        <w:t>we</w:t>
      </w:r>
      <w:r w:rsidR="00BE74C1" w:rsidRPr="00A4275A">
        <w:rPr>
          <w:rFonts w:eastAsia="Arial" w:cs="Arial"/>
          <w:color w:val="000000"/>
          <w:lang w:eastAsia="ja-JP"/>
        </w:rPr>
        <w:t>:</w:t>
      </w:r>
    </w:p>
    <w:p w14:paraId="0D33EF0E" w14:textId="537D1568" w:rsidR="00AB4F22" w:rsidRPr="00A4275A" w:rsidRDefault="00BE74C1" w:rsidP="00430FF9">
      <w:pPr>
        <w:pStyle w:val="Bullet1"/>
      </w:pPr>
      <w:r w:rsidRPr="00A4275A">
        <w:t>l</w:t>
      </w:r>
      <w:r w:rsidR="00AB4F22" w:rsidRPr="00A4275A">
        <w:t xml:space="preserve">aunched the NDIA Gender Equity Action Plan, </w:t>
      </w:r>
      <w:r w:rsidR="00F612FF" w:rsidRPr="00A4275A">
        <w:t xml:space="preserve">which sets </w:t>
      </w:r>
      <w:r w:rsidR="00AB4F22" w:rsidRPr="00A4275A">
        <w:t>out clear actions to strengthen gender equality and equity across the NDIA through improved accountability, culture, policy and career opportunities</w:t>
      </w:r>
    </w:p>
    <w:p w14:paraId="1C66936D" w14:textId="0A8B18A5" w:rsidR="00AB4F22" w:rsidRPr="00A4275A" w:rsidRDefault="00BE74C1" w:rsidP="00430FF9">
      <w:pPr>
        <w:pStyle w:val="Bullet1"/>
      </w:pPr>
      <w:r w:rsidRPr="00A4275A">
        <w:t>d</w:t>
      </w:r>
      <w:r w:rsidR="00AB4F22" w:rsidRPr="00A4275A">
        <w:t xml:space="preserve">elivered actions </w:t>
      </w:r>
      <w:r w:rsidR="009E24F8" w:rsidRPr="00A4275A">
        <w:t xml:space="preserve">from </w:t>
      </w:r>
      <w:r w:rsidR="00AB4F22" w:rsidRPr="00A4275A">
        <w:t xml:space="preserve">the Culturally and Linguistically Diverse (CALD) Inclusion Plan to improve supports, services and guidance </w:t>
      </w:r>
      <w:r w:rsidR="00D92F0A" w:rsidRPr="00A4275A">
        <w:t xml:space="preserve">for </w:t>
      </w:r>
      <w:r w:rsidR="00AB4F22" w:rsidRPr="00A4275A">
        <w:t>staff, including resources for cultural leave</w:t>
      </w:r>
    </w:p>
    <w:p w14:paraId="26327DF0" w14:textId="03FD2CC3" w:rsidR="00AB4F22" w:rsidRPr="00A4275A" w:rsidRDefault="00BE74C1" w:rsidP="00430FF9">
      <w:pPr>
        <w:pStyle w:val="Bullet1"/>
      </w:pPr>
      <w:r w:rsidRPr="00A4275A">
        <w:t>d</w:t>
      </w:r>
      <w:r w:rsidR="00AB4F22" w:rsidRPr="00A4275A">
        <w:t xml:space="preserve">elivered actions </w:t>
      </w:r>
      <w:r w:rsidR="00371669" w:rsidRPr="00A4275A">
        <w:t xml:space="preserve">from </w:t>
      </w:r>
      <w:r w:rsidR="00AB4F22" w:rsidRPr="00A4275A">
        <w:t xml:space="preserve">the Neuroinclusion Plan to improve accessibility for neurodivergent staff and build </w:t>
      </w:r>
      <w:r w:rsidR="0015666A" w:rsidRPr="00A4275A">
        <w:t xml:space="preserve">the </w:t>
      </w:r>
      <w:r w:rsidR="00AB4F22" w:rsidRPr="00A4275A">
        <w:t xml:space="preserve">confidence </w:t>
      </w:r>
      <w:r w:rsidR="0015666A" w:rsidRPr="00A4275A">
        <w:t xml:space="preserve">of leaders </w:t>
      </w:r>
      <w:r w:rsidR="00AB4F22" w:rsidRPr="00A4275A">
        <w:t>in creating a workplace culture that values and benefits from neurodiversity</w:t>
      </w:r>
    </w:p>
    <w:p w14:paraId="7A1622A5" w14:textId="1179DEC8" w:rsidR="00AB4F22" w:rsidRPr="00A4275A" w:rsidRDefault="00BE74C1" w:rsidP="00430FF9">
      <w:pPr>
        <w:pStyle w:val="Bullet1"/>
      </w:pPr>
      <w:r w:rsidRPr="00A4275A">
        <w:t>a</w:t>
      </w:r>
      <w:r w:rsidR="00AB4F22" w:rsidRPr="00A4275A">
        <w:t>dvanced the NDIA’s reconciliation goals through the Reconciliation Action Plan, with a focus on strengthening cultural safety.</w:t>
      </w:r>
    </w:p>
    <w:p w14:paraId="6E1CF99E" w14:textId="7FEA8966" w:rsidR="005D2965" w:rsidRPr="00A4275A" w:rsidRDefault="005D2965" w:rsidP="005D2965">
      <w:pPr>
        <w:pStyle w:val="Heading4"/>
      </w:pPr>
      <w:r w:rsidRPr="00A4275A">
        <w:t xml:space="preserve">Advancing workplace inclusion for </w:t>
      </w:r>
      <w:r w:rsidR="00EC1B69" w:rsidRPr="00A4275A">
        <w:t>our diverse staff</w:t>
      </w:r>
    </w:p>
    <w:p w14:paraId="1734DCEC" w14:textId="1402A1C9" w:rsidR="00D60218" w:rsidRPr="00A4275A" w:rsidRDefault="00B12552" w:rsidP="00797726">
      <w:pPr>
        <w:rPr>
          <w:rFonts w:eastAsia="Arial" w:cs="Arial"/>
          <w:color w:val="000000"/>
          <w:lang w:eastAsia="ja-JP"/>
        </w:rPr>
      </w:pPr>
      <w:r w:rsidRPr="00A4275A">
        <w:rPr>
          <w:rFonts w:eastAsia="Arial" w:cs="Arial"/>
          <w:color w:val="000000"/>
          <w:lang w:eastAsia="ja-JP"/>
        </w:rPr>
        <w:t>The NDIA aims to set a benchmark for what inclusion can look like in the APS</w:t>
      </w:r>
      <w:r w:rsidR="00B72B7A" w:rsidRPr="00A4275A">
        <w:rPr>
          <w:rFonts w:eastAsia="Arial" w:cs="Arial"/>
          <w:color w:val="000000"/>
          <w:lang w:eastAsia="ja-JP"/>
        </w:rPr>
        <w:t>.</w:t>
      </w:r>
      <w:r w:rsidRPr="00A4275A">
        <w:rPr>
          <w:rFonts w:eastAsia="Arial" w:cs="Arial"/>
          <w:color w:val="000000"/>
          <w:lang w:eastAsia="ja-JP"/>
        </w:rPr>
        <w:t xml:space="preserve"> </w:t>
      </w:r>
      <w:r w:rsidR="00D345F2" w:rsidRPr="00A4275A">
        <w:rPr>
          <w:rFonts w:eastAsia="Arial" w:cs="Arial"/>
          <w:color w:val="000000"/>
          <w:lang w:eastAsia="ja-JP"/>
        </w:rPr>
        <w:t>Together with</w:t>
      </w:r>
      <w:r w:rsidR="00B72B7A" w:rsidRPr="00A4275A">
        <w:rPr>
          <w:rFonts w:eastAsia="Arial" w:cs="Arial"/>
          <w:color w:val="000000"/>
          <w:lang w:eastAsia="ja-JP"/>
        </w:rPr>
        <w:t xml:space="preserve"> staff</w:t>
      </w:r>
      <w:r w:rsidR="00D345F2" w:rsidRPr="00A4275A">
        <w:rPr>
          <w:rFonts w:eastAsia="Arial" w:cs="Arial"/>
          <w:color w:val="000000"/>
          <w:lang w:eastAsia="ja-JP"/>
        </w:rPr>
        <w:t>, the NDIA is</w:t>
      </w:r>
      <w:r w:rsidR="00B72B7A" w:rsidRPr="00A4275A">
        <w:rPr>
          <w:rFonts w:eastAsia="Arial" w:cs="Arial"/>
          <w:color w:val="000000"/>
          <w:lang w:eastAsia="ja-JP"/>
        </w:rPr>
        <w:t xml:space="preserve"> showing leadership in creating a workplace that is accessible, inclusive, safe</w:t>
      </w:r>
      <w:r w:rsidR="00632826" w:rsidRPr="00A4275A">
        <w:rPr>
          <w:rFonts w:eastAsia="Arial" w:cs="Arial"/>
          <w:color w:val="000000"/>
          <w:lang w:eastAsia="ja-JP"/>
        </w:rPr>
        <w:t>,</w:t>
      </w:r>
      <w:r w:rsidR="00B72B7A" w:rsidRPr="00A4275A">
        <w:rPr>
          <w:rFonts w:eastAsia="Arial" w:cs="Arial"/>
          <w:color w:val="000000"/>
          <w:lang w:eastAsia="ja-JP"/>
        </w:rPr>
        <w:t xml:space="preserve"> </w:t>
      </w:r>
      <w:r w:rsidR="00D345F2" w:rsidRPr="00A4275A">
        <w:rPr>
          <w:rFonts w:eastAsia="Arial" w:cs="Arial"/>
          <w:color w:val="000000"/>
          <w:lang w:eastAsia="ja-JP"/>
        </w:rPr>
        <w:t xml:space="preserve">supportive </w:t>
      </w:r>
      <w:r w:rsidR="00B72B7A" w:rsidRPr="00A4275A">
        <w:rPr>
          <w:rFonts w:eastAsia="Arial" w:cs="Arial"/>
          <w:color w:val="000000"/>
          <w:lang w:eastAsia="ja-JP"/>
        </w:rPr>
        <w:t>and empowering</w:t>
      </w:r>
      <w:r w:rsidR="00517F83" w:rsidRPr="00A4275A">
        <w:rPr>
          <w:rFonts w:eastAsia="Arial" w:cs="Arial"/>
          <w:color w:val="000000"/>
          <w:lang w:eastAsia="ja-JP"/>
        </w:rPr>
        <w:t>,</w:t>
      </w:r>
      <w:r w:rsidR="00C76977" w:rsidRPr="00A4275A">
        <w:rPr>
          <w:rFonts w:eastAsia="Arial" w:cs="Arial"/>
          <w:color w:val="000000"/>
          <w:lang w:eastAsia="ja-JP"/>
        </w:rPr>
        <w:t xml:space="preserve"> </w:t>
      </w:r>
      <w:r w:rsidR="00632826" w:rsidRPr="00A4275A">
        <w:rPr>
          <w:rFonts w:eastAsia="Arial" w:cs="Arial"/>
          <w:color w:val="000000"/>
          <w:lang w:eastAsia="ja-JP"/>
        </w:rPr>
        <w:t xml:space="preserve">so </w:t>
      </w:r>
      <w:r w:rsidR="00C76977" w:rsidRPr="00A4275A">
        <w:rPr>
          <w:rFonts w:eastAsia="Arial" w:cs="Arial"/>
          <w:color w:val="000000"/>
          <w:lang w:eastAsia="ja-JP"/>
        </w:rPr>
        <w:t xml:space="preserve">staff feel </w:t>
      </w:r>
      <w:r w:rsidR="00517F83" w:rsidRPr="00A4275A">
        <w:rPr>
          <w:rFonts w:eastAsia="Arial" w:cs="Arial"/>
          <w:color w:val="000000"/>
          <w:lang w:eastAsia="ja-JP"/>
        </w:rPr>
        <w:t xml:space="preserve">able </w:t>
      </w:r>
      <w:r w:rsidR="00C76977" w:rsidRPr="00A4275A">
        <w:rPr>
          <w:rFonts w:eastAsia="Arial" w:cs="Arial"/>
          <w:color w:val="000000"/>
          <w:lang w:eastAsia="ja-JP"/>
        </w:rPr>
        <w:t>to participate fully.</w:t>
      </w:r>
    </w:p>
    <w:p w14:paraId="32A5B087" w14:textId="44055EEE" w:rsidR="00C76977" w:rsidRPr="00A4275A" w:rsidRDefault="00C76977" w:rsidP="00797726">
      <w:pPr>
        <w:rPr>
          <w:rFonts w:eastAsia="Arial" w:cs="Arial"/>
          <w:color w:val="000000"/>
          <w:lang w:eastAsia="ja-JP"/>
        </w:rPr>
      </w:pPr>
      <w:r w:rsidRPr="00A4275A">
        <w:rPr>
          <w:rFonts w:eastAsia="Arial" w:cs="Arial"/>
          <w:color w:val="000000"/>
          <w:lang w:eastAsia="ja-JP"/>
        </w:rPr>
        <w:t>In 2025–26 the NDIA:</w:t>
      </w:r>
    </w:p>
    <w:p w14:paraId="1971F766" w14:textId="311AF011" w:rsidR="00C76977" w:rsidRPr="00A4275A" w:rsidRDefault="00BE74C1" w:rsidP="00430FF9">
      <w:pPr>
        <w:pStyle w:val="Bullet1"/>
      </w:pPr>
      <w:r w:rsidRPr="00A4275A">
        <w:t>i</w:t>
      </w:r>
      <w:r w:rsidR="00C76977" w:rsidRPr="00A4275A">
        <w:t>mplemented an in-house Auslan interpreting service to support deaf and hard of hearing staff</w:t>
      </w:r>
      <w:r w:rsidR="002B3DAB" w:rsidRPr="00A4275A">
        <w:t>,</w:t>
      </w:r>
      <w:r w:rsidR="00C76977" w:rsidRPr="00A4275A">
        <w:t xml:space="preserve"> and delivered Mental Health First Aid training entirely in Auslan to improve accessibility and inclusion</w:t>
      </w:r>
    </w:p>
    <w:p w14:paraId="442CBB0D" w14:textId="2C9F7B57" w:rsidR="00C76977" w:rsidRPr="00A4275A" w:rsidRDefault="00BE74C1" w:rsidP="00430FF9">
      <w:pPr>
        <w:pStyle w:val="Bullet1"/>
      </w:pPr>
      <w:r w:rsidRPr="00A4275A">
        <w:t>i</w:t>
      </w:r>
      <w:r w:rsidR="00C76977" w:rsidRPr="00A4275A">
        <w:t>ntroduced a</w:t>
      </w:r>
      <w:r w:rsidR="006E3008" w:rsidRPr="00A4275A">
        <w:t xml:space="preserve"> new role –</w:t>
      </w:r>
      <w:r w:rsidR="00C76977" w:rsidRPr="00A4275A">
        <w:t xml:space="preserve"> </w:t>
      </w:r>
      <w:r w:rsidR="002B3DAB" w:rsidRPr="00A4275A">
        <w:t>n</w:t>
      </w:r>
      <w:r w:rsidR="00C76977" w:rsidRPr="00A4275A">
        <w:t xml:space="preserve">euroinclusion </w:t>
      </w:r>
      <w:r w:rsidR="002B3DAB" w:rsidRPr="00A4275A">
        <w:t>s</w:t>
      </w:r>
      <w:r w:rsidR="00C76977" w:rsidRPr="00A4275A">
        <w:t xml:space="preserve">pecialist </w:t>
      </w:r>
      <w:r w:rsidR="006E3008" w:rsidRPr="00A4275A">
        <w:t xml:space="preserve">– </w:t>
      </w:r>
      <w:r w:rsidR="00C76977" w:rsidRPr="00A4275A">
        <w:t>to help design evidence-based, neuro-affirming practices that recognise differences in how people experience the world and support a safe, inclusive and accessible workplace</w:t>
      </w:r>
    </w:p>
    <w:p w14:paraId="0310C801" w14:textId="42A78EA5" w:rsidR="00C76977" w:rsidRPr="00A4275A" w:rsidRDefault="00BE74C1" w:rsidP="004250ED">
      <w:pPr>
        <w:pStyle w:val="Bullet1"/>
      </w:pPr>
      <w:r w:rsidRPr="00A4275A">
        <w:t>i</w:t>
      </w:r>
      <w:r w:rsidR="00C76977" w:rsidRPr="00A4275A">
        <w:t>mplemented the NDIA’s Neurodiversity Toolkit and conducted a Spiky Profile Assessment</w:t>
      </w:r>
      <w:r w:rsidR="006645E3">
        <w:t xml:space="preserve"> Tool</w:t>
      </w:r>
      <w:r w:rsidR="00C76977" w:rsidRPr="00A4275A">
        <w:t xml:space="preserve"> pilot to help leaders and neurodivergent staff identify strengths, challenges and workplace adjustment needs</w:t>
      </w:r>
    </w:p>
    <w:p w14:paraId="35D57F84" w14:textId="1D6C14D7" w:rsidR="00C76977" w:rsidRPr="00A4275A" w:rsidRDefault="00BE74C1" w:rsidP="000D64B7">
      <w:pPr>
        <w:pStyle w:val="Bullet1"/>
      </w:pPr>
      <w:r w:rsidRPr="00A4275A">
        <w:t>m</w:t>
      </w:r>
      <w:r w:rsidR="00C76977" w:rsidRPr="00A4275A">
        <w:t>ade it easier for staff to access workplace adjustments by introducing the Accessibility and Inclusion Service Desk as a central point for requesting support</w:t>
      </w:r>
    </w:p>
    <w:p w14:paraId="5A89CACA" w14:textId="7AF83F1E" w:rsidR="00C76977" w:rsidRPr="00A4275A" w:rsidRDefault="00BE74C1" w:rsidP="000D64B7">
      <w:pPr>
        <w:pStyle w:val="Bullet1"/>
      </w:pPr>
      <w:r w:rsidRPr="00A4275A">
        <w:t>r</w:t>
      </w:r>
      <w:r w:rsidR="00C76977" w:rsidRPr="00A4275A">
        <w:t>olled out the NDIA e-learning Inclusion Program, giving staff access to learning on diversity, equity and inclusion</w:t>
      </w:r>
      <w:r w:rsidR="00912D99" w:rsidRPr="00A4275A">
        <w:t>,</w:t>
      </w:r>
      <w:r w:rsidR="00C76977" w:rsidRPr="00A4275A">
        <w:t xml:space="preserve"> and stories from people with diverse backgrounds and experiences</w:t>
      </w:r>
    </w:p>
    <w:p w14:paraId="73357E12" w14:textId="209A651A" w:rsidR="00C76977" w:rsidRPr="00A4275A" w:rsidRDefault="00BE74C1" w:rsidP="000D64B7">
      <w:pPr>
        <w:pStyle w:val="Bullet1"/>
      </w:pPr>
      <w:r w:rsidRPr="00A4275A">
        <w:t>h</w:t>
      </w:r>
      <w:r w:rsidR="00C76977" w:rsidRPr="00A4275A">
        <w:t>osted the first NDIA-wide Harmony Week virtual event, recognising the NDIA’s cultural diversity and promoting inclusion, respect and belonging. More than 3,000 staff attended.</w:t>
      </w:r>
    </w:p>
    <w:p w14:paraId="73A8BF37" w14:textId="590306F9" w:rsidR="00B14395" w:rsidRPr="00A4275A" w:rsidRDefault="00B14395" w:rsidP="00B14395">
      <w:pPr>
        <w:pStyle w:val="Heading3"/>
      </w:pPr>
      <w:bookmarkStart w:id="71" w:name="_Toc226723924"/>
      <w:bookmarkStart w:id="72" w:name="_Toc241826736"/>
      <w:r w:rsidRPr="00A4275A">
        <w:t>5.5 Partner organisations</w:t>
      </w:r>
      <w:bookmarkEnd w:id="71"/>
      <w:bookmarkEnd w:id="72"/>
    </w:p>
    <w:p w14:paraId="112D65DE" w14:textId="4A970BC1" w:rsidR="004E3879" w:rsidRPr="00A4275A" w:rsidRDefault="00D601A5" w:rsidP="004E3879">
      <w:r w:rsidRPr="00A4275A">
        <w:t>P</w:t>
      </w:r>
      <w:r w:rsidR="004E3879" w:rsidRPr="00A4275A">
        <w:t xml:space="preserve">artners in the </w:t>
      </w:r>
      <w:r w:rsidR="000B1928">
        <w:t>c</w:t>
      </w:r>
      <w:r w:rsidR="004E3879" w:rsidRPr="00A4275A">
        <w:t xml:space="preserve">ommunity are experienced, qualified organisations with </w:t>
      </w:r>
      <w:r w:rsidR="00470221" w:rsidRPr="00A4275A">
        <w:t xml:space="preserve">a </w:t>
      </w:r>
      <w:r w:rsidR="004E3879" w:rsidRPr="00A4275A">
        <w:t xml:space="preserve">strong </w:t>
      </w:r>
      <w:r w:rsidR="00C60DBB" w:rsidRPr="00A4275A">
        <w:t xml:space="preserve">understanding of the needs of people with disability and </w:t>
      </w:r>
      <w:r w:rsidR="004E3879" w:rsidRPr="00A4275A">
        <w:t>local knowledge. They deliver early childhood and local area coordination services on behalf of the NDIA and are often the first point of contact for participants, making them the face of the NDIS in many communities.</w:t>
      </w:r>
    </w:p>
    <w:p w14:paraId="15A9A874" w14:textId="4EAC541D" w:rsidR="004E3879" w:rsidRPr="00A4275A" w:rsidRDefault="004E3879" w:rsidP="004E3879">
      <w:r w:rsidRPr="00A4275A">
        <w:t>At the end of 2025–26 early childhood partners were the key point of contact for 153,464 participants and their families and carers, while local area coordination partners were the contact for 409,228 participants.</w:t>
      </w:r>
    </w:p>
    <w:p w14:paraId="28B02376" w14:textId="4423AD02" w:rsidR="004E3879" w:rsidRPr="00A4275A" w:rsidRDefault="004E3879" w:rsidP="004E3879">
      <w:r w:rsidRPr="00A4275A">
        <w:t>At 30 June 2026 there were 23 partner organisations operating in all Australian states and territories, except in remote areas, where local NDIA teams provide support.</w:t>
      </w:r>
    </w:p>
    <w:p w14:paraId="2BBC8769" w14:textId="13199128" w:rsidR="004A7BD5" w:rsidRPr="00A4275A" w:rsidRDefault="004E3879" w:rsidP="004E3879">
      <w:r w:rsidRPr="00A4275A">
        <w:t xml:space="preserve">Throughout 2025–26 the NDIA </w:t>
      </w:r>
      <w:r w:rsidR="0076680A" w:rsidRPr="00A4275A">
        <w:t xml:space="preserve">used a </w:t>
      </w:r>
      <w:r w:rsidR="002222FD">
        <w:t>Partner P</w:t>
      </w:r>
      <w:r w:rsidR="0076680A" w:rsidRPr="00A4275A">
        <w:t xml:space="preserve">erformance </w:t>
      </w:r>
      <w:r w:rsidR="002222FD">
        <w:t>M</w:t>
      </w:r>
      <w:r w:rsidR="0076680A" w:rsidRPr="00A4275A">
        <w:t xml:space="preserve">anagement </w:t>
      </w:r>
      <w:r w:rsidR="002222FD">
        <w:t>F</w:t>
      </w:r>
      <w:r w:rsidR="0076680A" w:rsidRPr="00A4275A">
        <w:t xml:space="preserve">ramework, included in all partner agreements, to </w:t>
      </w:r>
      <w:r w:rsidRPr="00A4275A">
        <w:t xml:space="preserve">work with our partners to monitor and manage the delivery of early childhood and local area coordination services. This framework </w:t>
      </w:r>
      <w:r w:rsidR="000B4EFE" w:rsidRPr="00A4275A">
        <w:t xml:space="preserve">helps </w:t>
      </w:r>
      <w:r w:rsidRPr="00A4275A">
        <w:t xml:space="preserve">the NDIA and partners to collaborate on improving performance on measures such as participant satisfaction, </w:t>
      </w:r>
      <w:r w:rsidR="003A0EBF" w:rsidRPr="00A4275A">
        <w:t xml:space="preserve">quality </w:t>
      </w:r>
      <w:r w:rsidR="007F2907" w:rsidRPr="00A4275A">
        <w:t>assurance,</w:t>
      </w:r>
      <w:r w:rsidRPr="00A4275A">
        <w:t xml:space="preserve"> and timeliness of service provision.</w:t>
      </w:r>
    </w:p>
    <w:p w14:paraId="7AA3864E" w14:textId="77777777" w:rsidR="00B14395" w:rsidRPr="00A4275A" w:rsidRDefault="00B14395" w:rsidP="00B14395">
      <w:pPr>
        <w:pStyle w:val="Heading4"/>
      </w:pPr>
      <w:r w:rsidRPr="00A4275A">
        <w:t>Local area coordination partners</w:t>
      </w:r>
    </w:p>
    <w:p w14:paraId="507BB9E4" w14:textId="7E3C044F" w:rsidR="00522A4F" w:rsidRPr="00A4275A" w:rsidRDefault="00522A4F" w:rsidP="00522A4F">
      <w:r w:rsidRPr="00A4275A">
        <w:t xml:space="preserve">Partners delivering local area coordination services </w:t>
      </w:r>
      <w:r w:rsidR="00117749" w:rsidRPr="00A4275A">
        <w:t xml:space="preserve">help </w:t>
      </w:r>
      <w:r w:rsidRPr="00A4275A">
        <w:t>people aged 9 years and above to link to the NDIS and to mainstream and community supports in their local area.</w:t>
      </w:r>
    </w:p>
    <w:p w14:paraId="35974C8D" w14:textId="0C654226" w:rsidR="00522A4F" w:rsidRPr="00A4275A" w:rsidRDefault="00522A4F" w:rsidP="00522A4F">
      <w:r w:rsidRPr="00A4275A">
        <w:t>Local area coordination partners work directly with communities to improve accessibility and inclusion. They can identify supports available in the community for people with disability, even people who are not eligible for an NDIS plan.</w:t>
      </w:r>
    </w:p>
    <w:p w14:paraId="6E646342" w14:textId="689A2C55" w:rsidR="00B14395" w:rsidRPr="00A4275A" w:rsidRDefault="00522A4F" w:rsidP="00522A4F">
      <w:r w:rsidRPr="00A4275A">
        <w:t xml:space="preserve">Local area coordination partners help people to understand and access the NDIS, discuss goals and supports, gather and document information to support the planning process, and use their NDIS plan. They also undertake regular check-ins with participants to ensure that their plans are working for them and </w:t>
      </w:r>
      <w:r w:rsidR="00367F98" w:rsidRPr="00A4275A">
        <w:t>to help prepare</w:t>
      </w:r>
      <w:r w:rsidRPr="00A4275A">
        <w:t xml:space="preserve"> for plan reassessment</w:t>
      </w:r>
      <w:r w:rsidR="00367F98" w:rsidRPr="00A4275A">
        <w:t>s</w:t>
      </w:r>
      <w:r w:rsidRPr="00A4275A">
        <w:t>.</w:t>
      </w:r>
    </w:p>
    <w:p w14:paraId="1C40BDCF" w14:textId="77777777" w:rsidR="00CF1922" w:rsidRPr="00A4275A" w:rsidRDefault="00B14395" w:rsidP="00B14395">
      <w:pPr>
        <w:pStyle w:val="Heading4"/>
      </w:pPr>
      <w:r w:rsidRPr="00A4275A">
        <w:t>Early childhood partners</w:t>
      </w:r>
    </w:p>
    <w:p w14:paraId="6B71A88E" w14:textId="7DA3AAC4" w:rsidR="007C5590" w:rsidRPr="00A4275A" w:rsidRDefault="007C5590" w:rsidP="007C5590">
      <w:r w:rsidRPr="00A4275A">
        <w:t>Early childhood partners are local organisations funded by the NDIA to deliver our early childhood approach. The early childhood approach supports children younger than 6 with developmental delay or children younger than 9 with disability, and their families and carers</w:t>
      </w:r>
      <w:r w:rsidR="00926A75" w:rsidRPr="00A4275A">
        <w:t>. Partners help</w:t>
      </w:r>
      <w:r w:rsidR="00D06C66" w:rsidRPr="00A4275A">
        <w:t xml:space="preserve"> children</w:t>
      </w:r>
      <w:r w:rsidRPr="00A4275A">
        <w:t xml:space="preserve"> develop the skills they need to participate in daily activities and achieve the best possible outcomes throughout their lives.</w:t>
      </w:r>
    </w:p>
    <w:p w14:paraId="025C52F0" w14:textId="455A4A27" w:rsidR="007C5590" w:rsidRPr="00A4275A" w:rsidRDefault="007C5590" w:rsidP="007C5590">
      <w:r w:rsidRPr="00A4275A">
        <w:t>Early childhood partners focus on delivering family-centred supports using a best</w:t>
      </w:r>
      <w:r w:rsidR="00DD6001" w:rsidRPr="00A4275A">
        <w:t>-</w:t>
      </w:r>
      <w:r w:rsidRPr="00A4275A">
        <w:t xml:space="preserve">practice model and </w:t>
      </w:r>
      <w:r w:rsidR="00924269" w:rsidRPr="00A4275A">
        <w:t xml:space="preserve">provide </w:t>
      </w:r>
      <w:r w:rsidRPr="00A4275A">
        <w:t>connections to mainstream and community services.</w:t>
      </w:r>
    </w:p>
    <w:p w14:paraId="7ABE7826" w14:textId="5DB015B9" w:rsidR="00B14395" w:rsidRPr="00A4275A" w:rsidRDefault="002615A6" w:rsidP="007C5590">
      <w:r w:rsidRPr="00A4275A">
        <w:t>They</w:t>
      </w:r>
      <w:r w:rsidR="007C5590" w:rsidRPr="00A4275A">
        <w:t xml:space="preserve"> offer early connections and support and help families access the NDIS if their child is likely to be eligible. They continue their support through the planning process when the child becomes a</w:t>
      </w:r>
      <w:r w:rsidR="00BE74C1" w:rsidRPr="00A4275A">
        <w:t>n</w:t>
      </w:r>
      <w:r w:rsidR="007C5590" w:rsidRPr="00A4275A">
        <w:t xml:space="preserve"> NDIS participant.</w:t>
      </w:r>
    </w:p>
    <w:p w14:paraId="781454B8" w14:textId="77777777" w:rsidR="003E3996" w:rsidRPr="00BE0FFF" w:rsidRDefault="003E3996" w:rsidP="00B1223C">
      <w:pPr>
        <w:pStyle w:val="Heading3"/>
      </w:pPr>
      <w:bookmarkStart w:id="73" w:name="_Toc226723925"/>
      <w:bookmarkStart w:id="74" w:name="_Toc241826737"/>
      <w:r w:rsidRPr="00BE0FFF">
        <w:t>5.6 Staff conduct policies</w:t>
      </w:r>
      <w:bookmarkEnd w:id="73"/>
      <w:bookmarkEnd w:id="74"/>
    </w:p>
    <w:p w14:paraId="3F030E0E" w14:textId="5E8165E4" w:rsidR="004A7BD5" w:rsidRPr="00BE0FFF" w:rsidRDefault="00D001DC" w:rsidP="009F698E">
      <w:r w:rsidRPr="00BE0FFF">
        <w:t xml:space="preserve">The NDIA is dedicated to the highest ethical standards and behaviours in our workplaces and employment practices. All staff are required to comply with the APS Values, APS Employment Principles and the APS Code of </w:t>
      </w:r>
      <w:r w:rsidRPr="00F612FF">
        <w:t xml:space="preserve">Conduct under the </w:t>
      </w:r>
      <w:r w:rsidRPr="00F612FF">
        <w:rPr>
          <w:i/>
          <w:iCs/>
        </w:rPr>
        <w:t>Public</w:t>
      </w:r>
      <w:r w:rsidR="00463231">
        <w:rPr>
          <w:i/>
          <w:iCs/>
        </w:rPr>
        <w:t xml:space="preserve"> </w:t>
      </w:r>
      <w:r w:rsidRPr="00F612FF">
        <w:rPr>
          <w:i/>
          <w:iCs/>
        </w:rPr>
        <w:t xml:space="preserve">Service Act 1999 </w:t>
      </w:r>
      <w:r w:rsidRPr="00F612FF">
        <w:t>(Cth).</w:t>
      </w:r>
    </w:p>
    <w:p w14:paraId="733F089F" w14:textId="77777777" w:rsidR="003E3996" w:rsidRPr="00BE0FFF" w:rsidRDefault="003E3996" w:rsidP="003E3996">
      <w:pPr>
        <w:pStyle w:val="Heading4"/>
      </w:pPr>
      <w:r w:rsidRPr="00BE0FFF">
        <w:t>Safe and Respectful Workplace Framework</w:t>
      </w:r>
    </w:p>
    <w:p w14:paraId="53BE47B7" w14:textId="37AD4A0D" w:rsidR="0070306D" w:rsidRPr="00BE0FFF" w:rsidRDefault="0070306D" w:rsidP="0070306D">
      <w:r w:rsidRPr="00BE0FFF">
        <w:t xml:space="preserve">The NDIA is committed to a safe, respectful and inclusive workplace where everyone is treated fairly, feels supported to speak up and can do their work free from unacceptable behaviour. </w:t>
      </w:r>
      <w:r w:rsidR="005D784E" w:rsidRPr="00BE0FFF">
        <w:t xml:space="preserve">Our </w:t>
      </w:r>
      <w:r w:rsidRPr="00BE0FFF">
        <w:t xml:space="preserve">Safe and Respectful Workplace Framework makes clear that bullying, harassment, sexual harassment, discrimination and victimisation are not tolerated in the workplace or in connection with work. The NDIA also has measures in place to prevent, report, address and respond to unacceptable behaviour, </w:t>
      </w:r>
      <w:r w:rsidR="005D784E" w:rsidRPr="00BE0FFF">
        <w:t xml:space="preserve">and we offer </w:t>
      </w:r>
      <w:r w:rsidRPr="00BE0FFF">
        <w:t xml:space="preserve">support to any </w:t>
      </w:r>
      <w:r w:rsidR="00575E8A" w:rsidRPr="00BE0FFF">
        <w:t xml:space="preserve">affected </w:t>
      </w:r>
      <w:r w:rsidRPr="00BE0FFF">
        <w:t>NDIA worker.</w:t>
      </w:r>
    </w:p>
    <w:p w14:paraId="45D22BEB" w14:textId="638EBFFD" w:rsidR="0070306D" w:rsidRPr="00BE0FFF" w:rsidRDefault="0070306D" w:rsidP="0070306D">
      <w:r w:rsidRPr="00BE0FFF">
        <w:t xml:space="preserve">Between September 2025 and June 2026 the NDIA </w:t>
      </w:r>
      <w:r w:rsidR="003829B0" w:rsidRPr="00BE0FFF">
        <w:t xml:space="preserve">reviewed </w:t>
      </w:r>
      <w:r w:rsidRPr="00BE0FFF">
        <w:t xml:space="preserve">the Safe and Respectful </w:t>
      </w:r>
      <w:r w:rsidR="00853B4D" w:rsidRPr="00BE0FFF">
        <w:t xml:space="preserve">Workplace </w:t>
      </w:r>
      <w:r w:rsidRPr="00BE0FFF">
        <w:t xml:space="preserve">Framework to </w:t>
      </w:r>
      <w:r w:rsidR="003829B0" w:rsidRPr="00BE0FFF">
        <w:t xml:space="preserve">find ways to </w:t>
      </w:r>
      <w:r w:rsidRPr="00BE0FFF">
        <w:t>better support the prevention, early identification and response to unacceptable behaviour. The review found the NDIA</w:t>
      </w:r>
      <w:r w:rsidR="005D784E" w:rsidRPr="00BE0FFF">
        <w:t xml:space="preserve">’s approach to unacceptable behaviour </w:t>
      </w:r>
      <w:r w:rsidR="003829B0" w:rsidRPr="00BE0FFF">
        <w:t xml:space="preserve">is </w:t>
      </w:r>
      <w:r w:rsidR="005D784E" w:rsidRPr="00BE0FFF">
        <w:t xml:space="preserve">a </w:t>
      </w:r>
      <w:r w:rsidR="00B23ED8">
        <w:t>good</w:t>
      </w:r>
      <w:r w:rsidR="00B23ED8" w:rsidRPr="00BE0FFF">
        <w:t xml:space="preserve"> </w:t>
      </w:r>
      <w:r w:rsidR="005D784E" w:rsidRPr="00BE0FFF">
        <w:t xml:space="preserve">foundation, and it </w:t>
      </w:r>
      <w:r w:rsidRPr="00BE0FFF">
        <w:t>identified opportunities to build a more preventative, integrated and trauma-informed approach.</w:t>
      </w:r>
    </w:p>
    <w:p w14:paraId="0DC57902" w14:textId="03EFA7EC" w:rsidR="001D4BAE" w:rsidRPr="00BE0FFF" w:rsidRDefault="0070306D" w:rsidP="0070306D">
      <w:r w:rsidRPr="00BE0FFF">
        <w:t xml:space="preserve">The revised framework </w:t>
      </w:r>
      <w:r w:rsidR="00E55D33" w:rsidRPr="00BE0FFF">
        <w:t xml:space="preserve">has </w:t>
      </w:r>
      <w:r w:rsidR="00BD2D78" w:rsidRPr="00BE0FFF">
        <w:t xml:space="preserve">4 </w:t>
      </w:r>
      <w:r w:rsidRPr="00BE0FFF">
        <w:t>pillars:</w:t>
      </w:r>
    </w:p>
    <w:p w14:paraId="6D520946" w14:textId="17C50ACB" w:rsidR="001D4BAE" w:rsidRPr="00BE0FFF" w:rsidRDefault="0070306D" w:rsidP="001D4BAE">
      <w:pPr>
        <w:pStyle w:val="Bullet1"/>
      </w:pPr>
      <w:r w:rsidRPr="00BE0FFF">
        <w:t>‘Prevent’ builds a safe culture through clear expectations, capability and risk controls</w:t>
      </w:r>
      <w:r w:rsidR="00BD2D78" w:rsidRPr="00BE0FFF">
        <w:t>.</w:t>
      </w:r>
    </w:p>
    <w:p w14:paraId="38CD820E" w14:textId="7B2BF971" w:rsidR="001D4BAE" w:rsidRPr="00BE0FFF" w:rsidRDefault="0070306D" w:rsidP="001D4BAE">
      <w:pPr>
        <w:pStyle w:val="Bullet1"/>
      </w:pPr>
      <w:r w:rsidRPr="00BE0FFF">
        <w:t>‘Detect and Disrupt’ identifies issues early through data, oversight and intervention</w:t>
      </w:r>
      <w:r w:rsidR="00BD2D78" w:rsidRPr="00BE0FFF">
        <w:t>.</w:t>
      </w:r>
    </w:p>
    <w:p w14:paraId="23E7ABF9" w14:textId="003B0C94" w:rsidR="001D4BAE" w:rsidRPr="00BE0FFF" w:rsidRDefault="0070306D" w:rsidP="001D4BAE">
      <w:pPr>
        <w:pStyle w:val="Bullet1"/>
      </w:pPr>
      <w:r w:rsidRPr="00BE0FFF">
        <w:t>‘Respond’ ensures timely, trauma-informed and proportionate action</w:t>
      </w:r>
      <w:r w:rsidR="00BD2D78" w:rsidRPr="00BE0FFF">
        <w:t>.</w:t>
      </w:r>
    </w:p>
    <w:p w14:paraId="3CB7A588" w14:textId="44E977BB" w:rsidR="001D4BAE" w:rsidRPr="00BE0FFF" w:rsidRDefault="0070306D" w:rsidP="001D4BAE">
      <w:pPr>
        <w:pStyle w:val="Bullet1"/>
      </w:pPr>
      <w:r w:rsidRPr="00BE0FFF">
        <w:t>‘Reset and Recover’ drives recovery, system improvement and organisational learning.</w:t>
      </w:r>
    </w:p>
    <w:p w14:paraId="543ABE49" w14:textId="48D0C647" w:rsidR="003E3996" w:rsidRPr="00BE0FFF" w:rsidRDefault="0070306D" w:rsidP="001D4BAE">
      <w:r w:rsidRPr="00BE0FFF">
        <w:t xml:space="preserve">This model aligns with Commonwealth best practice and legal obligations </w:t>
      </w:r>
      <w:r w:rsidR="002279F5">
        <w:t xml:space="preserve">and </w:t>
      </w:r>
      <w:r w:rsidR="002F35A7">
        <w:t>moves the</w:t>
      </w:r>
      <w:r w:rsidR="002279F5" w:rsidRPr="00BE0FFF">
        <w:t xml:space="preserve"> </w:t>
      </w:r>
      <w:r w:rsidRPr="00BE0FFF">
        <w:t>NDIA from a reactive complaints system to a harm</w:t>
      </w:r>
      <w:r w:rsidR="005D784E" w:rsidRPr="00BE0FFF">
        <w:t xml:space="preserve"> </w:t>
      </w:r>
      <w:r w:rsidRPr="00BE0FFF">
        <w:t>elimination system.</w:t>
      </w:r>
    </w:p>
    <w:p w14:paraId="6CA2E08A" w14:textId="77777777" w:rsidR="003E3996" w:rsidRPr="00BE0FFF" w:rsidRDefault="003E3996" w:rsidP="003E3996">
      <w:pPr>
        <w:pStyle w:val="Heading4"/>
      </w:pPr>
      <w:r w:rsidRPr="00BE0FFF">
        <w:t>Staff obligations and support</w:t>
      </w:r>
    </w:p>
    <w:p w14:paraId="6A3C19A1" w14:textId="1694AF0D" w:rsidR="009A463D" w:rsidRPr="00BE0FFF" w:rsidRDefault="009A463D" w:rsidP="009F698E">
      <w:r w:rsidRPr="00BE0FFF">
        <w:t xml:space="preserve">All NDIA staff share responsibility for contributing to a safe and respectful culture. To support this, </w:t>
      </w:r>
      <w:r w:rsidR="002873A5">
        <w:t>the NDIA</w:t>
      </w:r>
      <w:r w:rsidR="002873A5" w:rsidRPr="00BE0FFF">
        <w:t xml:space="preserve"> </w:t>
      </w:r>
      <w:r w:rsidRPr="00BE0FFF">
        <w:t>provide</w:t>
      </w:r>
      <w:r w:rsidR="002873A5">
        <w:t>s</w:t>
      </w:r>
      <w:r w:rsidRPr="00BE0FFF">
        <w:t>:</w:t>
      </w:r>
    </w:p>
    <w:p w14:paraId="1EB025CF" w14:textId="046715C9" w:rsidR="009A463D" w:rsidRPr="00BE0FFF" w:rsidRDefault="009A463D" w:rsidP="008D335D">
      <w:pPr>
        <w:pStyle w:val="Bullet1"/>
      </w:pPr>
      <w:r w:rsidRPr="00BE0FFF">
        <w:t>compulsory training programs</w:t>
      </w:r>
    </w:p>
    <w:p w14:paraId="66A73463" w14:textId="0D0BBAAD" w:rsidR="009A463D" w:rsidRPr="00BE0FFF" w:rsidRDefault="009A463D" w:rsidP="008D335D">
      <w:pPr>
        <w:pStyle w:val="Bullet1"/>
      </w:pPr>
      <w:r w:rsidRPr="00BE0FFF">
        <w:t>clear policies and guidelines</w:t>
      </w:r>
    </w:p>
    <w:p w14:paraId="3791B107" w14:textId="63202385" w:rsidR="009A463D" w:rsidRPr="00BE0FFF" w:rsidRDefault="009A463D" w:rsidP="008D335D">
      <w:pPr>
        <w:pStyle w:val="Bullet1"/>
      </w:pPr>
      <w:r w:rsidRPr="00BE0FFF">
        <w:t>internal communications and updates to support a workplace environment that values inclusion and respect</w:t>
      </w:r>
    </w:p>
    <w:p w14:paraId="6B412512" w14:textId="63A24226" w:rsidR="009A463D" w:rsidRPr="00BE0FFF" w:rsidRDefault="009A463D" w:rsidP="008D335D">
      <w:pPr>
        <w:pStyle w:val="Bullet1"/>
      </w:pPr>
      <w:r w:rsidRPr="00BE0FFF">
        <w:t>accessible support for managers and staff.</w:t>
      </w:r>
    </w:p>
    <w:p w14:paraId="3D3800FA" w14:textId="610C48C8" w:rsidR="009A463D" w:rsidRPr="00BE0FFF" w:rsidRDefault="00824AAA" w:rsidP="009F698E">
      <w:r>
        <w:t>The NDIA</w:t>
      </w:r>
      <w:r w:rsidRPr="00BE0FFF">
        <w:t xml:space="preserve"> </w:t>
      </w:r>
      <w:r w:rsidR="005D784E" w:rsidRPr="00BE0FFF">
        <w:t>take</w:t>
      </w:r>
      <w:r>
        <w:t>s</w:t>
      </w:r>
      <w:r w:rsidR="005D784E" w:rsidRPr="00BE0FFF">
        <w:t xml:space="preserve"> p</w:t>
      </w:r>
      <w:r w:rsidR="009A463D" w:rsidRPr="00BE0FFF">
        <w:t xml:space="preserve">ossible breaches of the Code of Conduct seriously and </w:t>
      </w:r>
      <w:r w:rsidR="005D784E" w:rsidRPr="00BE0FFF">
        <w:t>take</w:t>
      </w:r>
      <w:r>
        <w:t>s</w:t>
      </w:r>
      <w:r w:rsidR="005D784E" w:rsidRPr="00BE0FFF">
        <w:t xml:space="preserve"> </w:t>
      </w:r>
      <w:r w:rsidR="009A463D" w:rsidRPr="00BE0FFF">
        <w:t xml:space="preserve">appropriate action where </w:t>
      </w:r>
      <w:r w:rsidR="005D784E" w:rsidRPr="00BE0FFF">
        <w:t xml:space="preserve">it is </w:t>
      </w:r>
      <w:r w:rsidR="009A463D" w:rsidRPr="00BE0FFF">
        <w:t>required.</w:t>
      </w:r>
    </w:p>
    <w:p w14:paraId="3F8D0F29" w14:textId="30E18316" w:rsidR="003E3996" w:rsidRPr="00BE0FFF" w:rsidRDefault="009A463D" w:rsidP="009F698E">
      <w:r w:rsidRPr="00BE0FFF">
        <w:t xml:space="preserve">The NDIA is developing a </w:t>
      </w:r>
      <w:r w:rsidR="00F13053">
        <w:t>c</w:t>
      </w:r>
      <w:r w:rsidRPr="00BE0FFF">
        <w:t xml:space="preserve">ulture </w:t>
      </w:r>
      <w:r w:rsidR="00F13053">
        <w:t>s</w:t>
      </w:r>
      <w:r w:rsidRPr="00BE0FFF">
        <w:t>trategy</w:t>
      </w:r>
      <w:r w:rsidR="000F691A" w:rsidRPr="00BE0FFF">
        <w:t xml:space="preserve"> </w:t>
      </w:r>
      <w:r w:rsidR="005D784E" w:rsidRPr="00BE0FFF">
        <w:rPr>
          <w:rFonts w:ascii="Symbol" w:eastAsia="Symbol" w:hAnsi="Symbol" w:cs="Symbol"/>
        </w:rPr>
        <w:t>-</w:t>
      </w:r>
      <w:r w:rsidR="005D784E" w:rsidRPr="00BE0FFF">
        <w:t xml:space="preserve"> </w:t>
      </w:r>
      <w:r w:rsidRPr="00BE0FFF">
        <w:t>a practical framework to shape behaviours and ways of working</w:t>
      </w:r>
      <w:r w:rsidR="005D784E" w:rsidRPr="00BE0FFF">
        <w:t>.</w:t>
      </w:r>
      <w:r w:rsidRPr="00BE0FFF">
        <w:t xml:space="preserve"> </w:t>
      </w:r>
      <w:r w:rsidR="005D784E" w:rsidRPr="00BE0FFF">
        <w:t>The strategy</w:t>
      </w:r>
      <w:r w:rsidR="000F691A" w:rsidRPr="00BE0FFF">
        <w:t>, to be launched in 2027,</w:t>
      </w:r>
      <w:r w:rsidR="005D784E" w:rsidRPr="00BE0FFF">
        <w:t xml:space="preserve"> will </w:t>
      </w:r>
      <w:r w:rsidR="000F691A" w:rsidRPr="00BE0FFF">
        <w:t>build a positive NDIA workplace culture</w:t>
      </w:r>
      <w:r w:rsidR="000F691A" w:rsidRPr="00BE0FFF" w:rsidDel="000F691A">
        <w:t xml:space="preserve"> </w:t>
      </w:r>
      <w:r w:rsidR="000F691A" w:rsidRPr="00BE0FFF">
        <w:t xml:space="preserve">by </w:t>
      </w:r>
      <w:r w:rsidRPr="00BE0FFF">
        <w:t>defin</w:t>
      </w:r>
      <w:r w:rsidR="000F691A" w:rsidRPr="00BE0FFF">
        <w:t>ing</w:t>
      </w:r>
      <w:r w:rsidRPr="00BE0FFF">
        <w:t xml:space="preserve"> the behaviours that underpin our values</w:t>
      </w:r>
      <w:r w:rsidR="00AE0B02">
        <w:t>,</w:t>
      </w:r>
      <w:r w:rsidR="000F691A" w:rsidRPr="00BE0FFF">
        <w:t xml:space="preserve"> and improv</w:t>
      </w:r>
      <w:r w:rsidR="00814929">
        <w:t>e</w:t>
      </w:r>
      <w:r w:rsidR="000F691A" w:rsidRPr="00BE0FFF">
        <w:t xml:space="preserve"> performance, accountability and collaboration across the organisation</w:t>
      </w:r>
      <w:r w:rsidRPr="00BE0FFF">
        <w:t>.</w:t>
      </w:r>
    </w:p>
    <w:p w14:paraId="218B69A5" w14:textId="77777777" w:rsidR="00965AA4" w:rsidRPr="003706AA" w:rsidRDefault="00965AA4" w:rsidP="00965AA4">
      <w:pPr>
        <w:pStyle w:val="Heading3"/>
      </w:pPr>
      <w:bookmarkStart w:id="75" w:name="_Toc226723926"/>
      <w:bookmarkStart w:id="76" w:name="_Toc241826738"/>
      <w:r w:rsidRPr="003706AA">
        <w:t>5.7 Executive remuneration</w:t>
      </w:r>
      <w:bookmarkEnd w:id="75"/>
      <w:bookmarkEnd w:id="76"/>
    </w:p>
    <w:p w14:paraId="2E94EEDF" w14:textId="42A6787A" w:rsidR="00353A0E" w:rsidRPr="003706AA" w:rsidRDefault="00353A0E" w:rsidP="00094D9C">
      <w:r w:rsidRPr="003706AA">
        <w:t>This section sets out the NDIA’s approach to executive remuneration</w:t>
      </w:r>
      <w:r w:rsidR="00094D9C" w:rsidRPr="003706AA">
        <w:t>.</w:t>
      </w:r>
      <w:r w:rsidRPr="003706AA">
        <w:t xml:space="preserve"> </w:t>
      </w:r>
      <w:r w:rsidR="00094D9C" w:rsidRPr="003706AA">
        <w:t>Disclosures of p</w:t>
      </w:r>
      <w:r w:rsidRPr="003706AA">
        <w:t>ayments made to</w:t>
      </w:r>
      <w:r w:rsidR="00094D9C" w:rsidRPr="003706AA">
        <w:t xml:space="preserve"> s</w:t>
      </w:r>
      <w:r w:rsidRPr="003706AA">
        <w:t xml:space="preserve">enior </w:t>
      </w:r>
      <w:r w:rsidR="00094D9C" w:rsidRPr="003706AA">
        <w:t>e</w:t>
      </w:r>
      <w:r w:rsidRPr="003706AA">
        <w:t>xecutives</w:t>
      </w:r>
      <w:r w:rsidR="00094D9C" w:rsidRPr="003706AA">
        <w:t xml:space="preserve">, key management personnel and other highly paid staff are provided </w:t>
      </w:r>
      <w:r w:rsidR="00BD2D78" w:rsidRPr="003706AA">
        <w:t>in</w:t>
      </w:r>
      <w:r w:rsidR="00094D9C" w:rsidRPr="003706AA">
        <w:t xml:space="preserve"> section 7.2</w:t>
      </w:r>
      <w:r w:rsidR="005709FB" w:rsidRPr="003706AA">
        <w:t xml:space="preserve">, </w:t>
      </w:r>
      <w:r w:rsidR="00BD2D78" w:rsidRPr="003706AA">
        <w:t>‘R</w:t>
      </w:r>
      <w:r w:rsidR="005709FB" w:rsidRPr="003706AA">
        <w:t>emuneration tables</w:t>
      </w:r>
      <w:r w:rsidR="00BD2D78" w:rsidRPr="003706AA">
        <w:t>’</w:t>
      </w:r>
      <w:r w:rsidR="005709FB" w:rsidRPr="003706AA">
        <w:t>.</w:t>
      </w:r>
    </w:p>
    <w:p w14:paraId="20D7F94B" w14:textId="77777777" w:rsidR="00965AA4" w:rsidRPr="003706AA" w:rsidRDefault="00965AA4" w:rsidP="00965AA4">
      <w:pPr>
        <w:pStyle w:val="Heading4"/>
      </w:pPr>
      <w:r w:rsidRPr="003706AA">
        <w:t>Remuneration policies, practices and governance</w:t>
      </w:r>
    </w:p>
    <w:p w14:paraId="18837E73" w14:textId="77777777" w:rsidR="00965AA4" w:rsidRPr="003706AA" w:rsidRDefault="00965AA4" w:rsidP="00965AA4">
      <w:pPr>
        <w:pStyle w:val="Heading5"/>
      </w:pPr>
      <w:r w:rsidRPr="003706AA">
        <w:t>Board and Chief Executive Officer</w:t>
      </w:r>
    </w:p>
    <w:p w14:paraId="0796D135" w14:textId="63865268" w:rsidR="00965AA4" w:rsidRPr="003706AA" w:rsidRDefault="00D71172" w:rsidP="008D335D">
      <w:r w:rsidRPr="003706AA">
        <w:t xml:space="preserve">The Chair, Board members and Chief Executive Officer are remunerated </w:t>
      </w:r>
      <w:r w:rsidR="00E55D33" w:rsidRPr="003706AA">
        <w:t xml:space="preserve">in line with </w:t>
      </w:r>
      <w:r w:rsidRPr="003706AA">
        <w:t>the determinations made by the Remuneration Tribunal</w:t>
      </w:r>
      <w:r w:rsidR="003A49FE" w:rsidRPr="003706AA">
        <w:t xml:space="preserve"> under the</w:t>
      </w:r>
      <w:r w:rsidRPr="003706AA">
        <w:t xml:space="preserve"> </w:t>
      </w:r>
      <w:r w:rsidRPr="003706AA">
        <w:rPr>
          <w:i/>
          <w:iCs/>
        </w:rPr>
        <w:t>Remuneration</w:t>
      </w:r>
      <w:r w:rsidR="00463231">
        <w:rPr>
          <w:i/>
          <w:iCs/>
        </w:rPr>
        <w:t xml:space="preserve"> </w:t>
      </w:r>
      <w:r w:rsidRPr="003706AA">
        <w:rPr>
          <w:i/>
          <w:iCs/>
        </w:rPr>
        <w:t>Tribunal Act 1973</w:t>
      </w:r>
      <w:r w:rsidRPr="003706AA">
        <w:t xml:space="preserve"> (Cth).</w:t>
      </w:r>
    </w:p>
    <w:p w14:paraId="3FE4800C" w14:textId="77777777" w:rsidR="00965AA4" w:rsidRPr="003706AA" w:rsidRDefault="00965AA4" w:rsidP="00965AA4">
      <w:pPr>
        <w:pStyle w:val="Heading5"/>
      </w:pPr>
      <w:r w:rsidRPr="003706AA">
        <w:t>Senior executives and other highly paid staff</w:t>
      </w:r>
    </w:p>
    <w:p w14:paraId="6ADE3F26" w14:textId="4F708733" w:rsidR="004F1662" w:rsidRPr="003706AA" w:rsidRDefault="004F1662" w:rsidP="008D335D">
      <w:r w:rsidRPr="003706AA">
        <w:t xml:space="preserve">Senior Executive Service (SES) employees are remunerated and subject to the employment conditions that are determined under the </w:t>
      </w:r>
      <w:r w:rsidRPr="003706AA">
        <w:rPr>
          <w:i/>
          <w:iCs/>
        </w:rPr>
        <w:t>Public Service Act 1999</w:t>
      </w:r>
      <w:r w:rsidRPr="003706AA">
        <w:t>.</w:t>
      </w:r>
    </w:p>
    <w:p w14:paraId="6B29869E" w14:textId="46FF35FD" w:rsidR="004F1662" w:rsidRPr="003706AA" w:rsidRDefault="004F1662" w:rsidP="008D335D">
      <w:r w:rsidRPr="003706AA">
        <w:t>Other highly paid staff (excluding SES employees) are remunerated under and subject to the employment conditions set out in the NDIA Enterprise Agreement 2024</w:t>
      </w:r>
      <w:r w:rsidR="004759AA" w:rsidRPr="003706AA">
        <w:t>–</w:t>
      </w:r>
      <w:r w:rsidRPr="003706AA">
        <w:t>27.</w:t>
      </w:r>
    </w:p>
    <w:p w14:paraId="3C112320" w14:textId="1EC6A075" w:rsidR="00965AA4" w:rsidRPr="003706AA" w:rsidRDefault="004F1662" w:rsidP="004F1662">
      <w:r w:rsidRPr="003706AA">
        <w:t>The NDIA Enterprise Agreement 2024</w:t>
      </w:r>
      <w:r w:rsidR="004759AA" w:rsidRPr="003706AA">
        <w:t>–</w:t>
      </w:r>
      <w:r w:rsidRPr="003706AA">
        <w:t>27 is supported by a range of policies</w:t>
      </w:r>
      <w:r w:rsidR="003A49FE" w:rsidRPr="003706AA">
        <w:t>,</w:t>
      </w:r>
      <w:r w:rsidRPr="003706AA">
        <w:t xml:space="preserve"> </w:t>
      </w:r>
      <w:r w:rsidR="003A49FE" w:rsidRPr="003706AA">
        <w:t xml:space="preserve">including </w:t>
      </w:r>
      <w:r w:rsidR="000F691A" w:rsidRPr="003706AA">
        <w:t xml:space="preserve">policies on </w:t>
      </w:r>
      <w:r w:rsidRPr="003706AA">
        <w:t>remuneration.</w:t>
      </w:r>
    </w:p>
    <w:p w14:paraId="787D6980" w14:textId="77777777" w:rsidR="003E3996" w:rsidRPr="003706AA" w:rsidRDefault="00965AA4" w:rsidP="00965AA4">
      <w:pPr>
        <w:pStyle w:val="Heading5"/>
      </w:pPr>
      <w:r w:rsidRPr="003706AA">
        <w:t>Reporting scope</w:t>
      </w:r>
    </w:p>
    <w:p w14:paraId="0107BAB4" w14:textId="77777777" w:rsidR="006B38C0" w:rsidRPr="003706AA" w:rsidRDefault="006B38C0" w:rsidP="009F698E">
      <w:r w:rsidRPr="003706AA">
        <w:t>For executive remuneration reporting purposes, remuneration includes:</w:t>
      </w:r>
    </w:p>
    <w:p w14:paraId="20922A90" w14:textId="3ECCA44B" w:rsidR="006B38C0" w:rsidRPr="003706AA" w:rsidRDefault="006B38C0" w:rsidP="006B38C0">
      <w:pPr>
        <w:pStyle w:val="Bullet1"/>
      </w:pPr>
      <w:r w:rsidRPr="003706AA">
        <w:t>salary</w:t>
      </w:r>
    </w:p>
    <w:p w14:paraId="22779F5F" w14:textId="47A78965" w:rsidR="006B38C0" w:rsidRPr="003706AA" w:rsidRDefault="006B38C0" w:rsidP="006B38C0">
      <w:pPr>
        <w:pStyle w:val="Bullet1"/>
      </w:pPr>
      <w:r w:rsidRPr="003706AA">
        <w:t>superannuation</w:t>
      </w:r>
    </w:p>
    <w:p w14:paraId="6229C24F" w14:textId="4549713E" w:rsidR="006B38C0" w:rsidRPr="003706AA" w:rsidRDefault="006B38C0" w:rsidP="006B38C0">
      <w:pPr>
        <w:pStyle w:val="Bullet1"/>
      </w:pPr>
      <w:r w:rsidRPr="003706AA">
        <w:t>allowances</w:t>
      </w:r>
    </w:p>
    <w:p w14:paraId="5E5CA6EC" w14:textId="77777777" w:rsidR="00E560A0" w:rsidRDefault="006B38C0" w:rsidP="005520E1">
      <w:pPr>
        <w:pStyle w:val="Bullet1"/>
      </w:pPr>
      <w:r w:rsidRPr="003706AA">
        <w:t>other salary payments or remuneration benefits for key management personnel and other highly paid staff.</w:t>
      </w:r>
    </w:p>
    <w:p w14:paraId="5D899A99" w14:textId="4CC93755" w:rsidR="005A2CFA" w:rsidRDefault="00553830" w:rsidP="005520E1">
      <w:pPr>
        <w:pStyle w:val="Bullet1"/>
        <w:sectPr w:rsidR="005A2CFA" w:rsidSect="00EB1047">
          <w:type w:val="continuous"/>
          <w:pgSz w:w="11906" w:h="16838" w:code="9"/>
          <w:pgMar w:top="1247" w:right="1361" w:bottom="1247" w:left="1361" w:header="567" w:footer="567" w:gutter="0"/>
          <w:cols w:space="708"/>
          <w:docGrid w:linePitch="360"/>
        </w:sectPr>
      </w:pPr>
      <w:r>
        <w:br w:type="page"/>
      </w:r>
    </w:p>
    <w:p w14:paraId="28D08548" w14:textId="019DDC02" w:rsidR="0094007B" w:rsidRDefault="0094007B" w:rsidP="009829B7">
      <w:pPr>
        <w:pStyle w:val="Heading2"/>
      </w:pPr>
      <w:bookmarkStart w:id="77" w:name="_Toc226723927"/>
      <w:bookmarkStart w:id="78" w:name="_Toc241826739"/>
      <w:bookmarkStart w:id="79" w:name="_Toc223423306"/>
      <w:bookmarkEnd w:id="36"/>
      <w:r w:rsidRPr="009829B7">
        <w:t>Section 6: Financial statements</w:t>
      </w:r>
      <w:bookmarkEnd w:id="77"/>
      <w:bookmarkEnd w:id="78"/>
    </w:p>
    <w:p w14:paraId="6295EEED" w14:textId="77777777" w:rsidR="005722AF" w:rsidRPr="009829B7" w:rsidRDefault="005722AF" w:rsidP="005D7812">
      <w:r w:rsidRPr="009829B7">
        <w:br w:type="page"/>
      </w:r>
    </w:p>
    <w:p w14:paraId="2CFBD6C9" w14:textId="77777777" w:rsidR="008962FB" w:rsidRDefault="00A616AE" w:rsidP="00A616AE">
      <w:pPr>
        <w:pStyle w:val="Heading3"/>
      </w:pPr>
      <w:bookmarkStart w:id="80" w:name="_Toc226723929"/>
      <w:bookmarkStart w:id="81" w:name="_Toc241826740"/>
      <w:r w:rsidRPr="00A616AE">
        <w:t>6.1 Independent audit report</w:t>
      </w:r>
      <w:bookmarkEnd w:id="80"/>
      <w:bookmarkEnd w:id="81"/>
    </w:p>
    <w:p w14:paraId="09C1A80A" w14:textId="7A73AF01" w:rsidR="007D5942" w:rsidRDefault="00AC19DF" w:rsidP="00934615">
      <w:pPr>
        <w:jc w:val="center"/>
      </w:pPr>
      <w:r w:rsidRPr="00483157">
        <w:rPr>
          <w:noProof/>
          <w:bdr w:val="single" w:sz="4" w:space="0" w:color="6B2976" w:themeColor="text1"/>
        </w:rPr>
        <w:drawing>
          <wp:inline distT="0" distB="0" distL="0" distR="0" wp14:anchorId="13E5995A" wp14:editId="2D61320D">
            <wp:extent cx="5868000" cy="8357218"/>
            <wp:effectExtent l="0" t="0" r="0" b="6350"/>
            <wp:docPr id="1488879645" name="Picture 25" descr="Page 1 of the Independent Auditor's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879645" name="Picture 25" descr="Page 1 of the Independent Auditor's Report"/>
                    <pic:cNvPicPr/>
                  </pic:nvPicPr>
                  <pic:blipFill rotWithShape="1">
                    <a:blip r:embed="rId63">
                      <a:extLst>
                        <a:ext uri="{28A0092B-C50C-407E-A947-70E740481C1C}">
                          <a14:useLocalDpi xmlns:a14="http://schemas.microsoft.com/office/drawing/2010/main" val="0"/>
                        </a:ext>
                      </a:extLst>
                    </a:blip>
                    <a:srcRect l="1020" t="630" r="1296" b="835"/>
                    <a:stretch>
                      <a:fillRect/>
                    </a:stretch>
                  </pic:blipFill>
                  <pic:spPr bwMode="auto">
                    <a:xfrm>
                      <a:off x="0" y="0"/>
                      <a:ext cx="5868000" cy="8357218"/>
                    </a:xfrm>
                    <a:prstGeom prst="rect">
                      <a:avLst/>
                    </a:prstGeom>
                    <a:noFill/>
                    <a:ln>
                      <a:noFill/>
                    </a:ln>
                    <a:extLst>
                      <a:ext uri="{53640926-AAD7-44D8-BBD7-CCE9431645EC}">
                        <a14:shadowObscured xmlns:a14="http://schemas.microsoft.com/office/drawing/2010/main"/>
                      </a:ext>
                    </a:extLst>
                  </pic:spPr>
                </pic:pic>
              </a:graphicData>
            </a:graphic>
          </wp:inline>
        </w:drawing>
      </w:r>
      <w:r w:rsidR="007D5942">
        <w:br w:type="page"/>
      </w:r>
    </w:p>
    <w:p w14:paraId="4EF8F53F" w14:textId="297BECAF" w:rsidR="007D5942" w:rsidRDefault="008F5DDB" w:rsidP="00934615">
      <w:pPr>
        <w:jc w:val="center"/>
      </w:pPr>
      <w:r w:rsidRPr="008F5DDB">
        <w:rPr>
          <w:noProof/>
          <w:bdr w:val="single" w:sz="4" w:space="0" w:color="6B2976" w:themeColor="text1"/>
        </w:rPr>
        <w:drawing>
          <wp:inline distT="0" distB="0" distL="0" distR="0" wp14:anchorId="17753846" wp14:editId="0D22B428">
            <wp:extent cx="5868000" cy="8336541"/>
            <wp:effectExtent l="0" t="0" r="0" b="7620"/>
            <wp:docPr id="897244877" name="Picture 26" descr="Page 2 of the Independent Auditor's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44877" name="Picture 26" descr="Page 2 of the Independent Auditor's Report"/>
                    <pic:cNvPicPr/>
                  </pic:nvPicPr>
                  <pic:blipFill>
                    <a:blip r:embed="rId64">
                      <a:extLst>
                        <a:ext uri="{28A0092B-C50C-407E-A947-70E740481C1C}">
                          <a14:useLocalDpi xmlns:a14="http://schemas.microsoft.com/office/drawing/2010/main" val="0"/>
                        </a:ext>
                      </a:extLst>
                    </a:blip>
                    <a:stretch>
                      <a:fillRect/>
                    </a:stretch>
                  </pic:blipFill>
                  <pic:spPr>
                    <a:xfrm>
                      <a:off x="0" y="0"/>
                      <a:ext cx="5868000" cy="8336541"/>
                    </a:xfrm>
                    <a:prstGeom prst="rect">
                      <a:avLst/>
                    </a:prstGeom>
                  </pic:spPr>
                </pic:pic>
              </a:graphicData>
            </a:graphic>
          </wp:inline>
        </w:drawing>
      </w:r>
      <w:r w:rsidR="007D5942">
        <w:br w:type="page"/>
      </w:r>
    </w:p>
    <w:p w14:paraId="0C579851" w14:textId="7B49CA06" w:rsidR="004B33F0" w:rsidRDefault="000F0337" w:rsidP="000F0337">
      <w:pPr>
        <w:jc w:val="center"/>
      </w:pPr>
      <w:r w:rsidRPr="000F0337">
        <w:rPr>
          <w:noProof/>
          <w:bdr w:val="single" w:sz="4" w:space="0" w:color="6B2976" w:themeColor="text1"/>
        </w:rPr>
        <w:drawing>
          <wp:inline distT="0" distB="0" distL="0" distR="0" wp14:anchorId="369450B6" wp14:editId="3AAA3F60">
            <wp:extent cx="5868000" cy="8368112"/>
            <wp:effectExtent l="0" t="0" r="0" b="0"/>
            <wp:docPr id="1958507481" name="Picture 27" descr="Page 3 of the Independent Auditor's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07481" name="Picture 27" descr="Page 3 of the Independent Auditor's Report"/>
                    <pic:cNvPicPr/>
                  </pic:nvPicPr>
                  <pic:blipFill>
                    <a:blip r:embed="rId65">
                      <a:extLst>
                        <a:ext uri="{28A0092B-C50C-407E-A947-70E740481C1C}">
                          <a14:useLocalDpi xmlns:a14="http://schemas.microsoft.com/office/drawing/2010/main" val="0"/>
                        </a:ext>
                      </a:extLst>
                    </a:blip>
                    <a:stretch>
                      <a:fillRect/>
                    </a:stretch>
                  </pic:blipFill>
                  <pic:spPr>
                    <a:xfrm>
                      <a:off x="0" y="0"/>
                      <a:ext cx="5868000" cy="8368112"/>
                    </a:xfrm>
                    <a:prstGeom prst="rect">
                      <a:avLst/>
                    </a:prstGeom>
                  </pic:spPr>
                </pic:pic>
              </a:graphicData>
            </a:graphic>
          </wp:inline>
        </w:drawing>
      </w:r>
      <w:r w:rsidR="004B33F0">
        <w:br w:type="page"/>
      </w:r>
    </w:p>
    <w:p w14:paraId="2720EED9" w14:textId="085A322C" w:rsidR="002263F4" w:rsidRDefault="000F0337" w:rsidP="000F0337">
      <w:pPr>
        <w:jc w:val="center"/>
      </w:pPr>
      <w:r w:rsidRPr="000F0337">
        <w:rPr>
          <w:noProof/>
          <w:bdr w:val="single" w:sz="4" w:space="0" w:color="6B2976" w:themeColor="text1"/>
        </w:rPr>
        <w:drawing>
          <wp:inline distT="0" distB="0" distL="0" distR="0" wp14:anchorId="1500B2D3" wp14:editId="526B8CCA">
            <wp:extent cx="5868000" cy="8336541"/>
            <wp:effectExtent l="0" t="0" r="0" b="7620"/>
            <wp:docPr id="434525861" name="Picture 28" descr="Page 4 of the Independent Auditor's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25861" name="Picture 28" descr="Page 4 of the Independent Auditor's Report"/>
                    <pic:cNvPicPr/>
                  </pic:nvPicPr>
                  <pic:blipFill>
                    <a:blip r:embed="rId66">
                      <a:extLst>
                        <a:ext uri="{28A0092B-C50C-407E-A947-70E740481C1C}">
                          <a14:useLocalDpi xmlns:a14="http://schemas.microsoft.com/office/drawing/2010/main" val="0"/>
                        </a:ext>
                      </a:extLst>
                    </a:blip>
                    <a:stretch>
                      <a:fillRect/>
                    </a:stretch>
                  </pic:blipFill>
                  <pic:spPr>
                    <a:xfrm>
                      <a:off x="0" y="0"/>
                      <a:ext cx="5868000" cy="8336541"/>
                    </a:xfrm>
                    <a:prstGeom prst="rect">
                      <a:avLst/>
                    </a:prstGeom>
                  </pic:spPr>
                </pic:pic>
              </a:graphicData>
            </a:graphic>
          </wp:inline>
        </w:drawing>
      </w:r>
      <w:r w:rsidR="002263F4">
        <w:br w:type="page"/>
      </w:r>
    </w:p>
    <w:p w14:paraId="0FA3A8DB" w14:textId="77777777" w:rsidR="007D5942" w:rsidRDefault="007D5942" w:rsidP="00934615">
      <w:pPr>
        <w:jc w:val="center"/>
        <w:sectPr w:rsidR="007D5942" w:rsidSect="00EB1047">
          <w:type w:val="continuous"/>
          <w:pgSz w:w="11906" w:h="16838" w:code="9"/>
          <w:pgMar w:top="1247" w:right="1134" w:bottom="1247" w:left="1134" w:header="567" w:footer="454" w:gutter="0"/>
          <w:cols w:space="708"/>
          <w:docGrid w:linePitch="360"/>
        </w:sectPr>
      </w:pPr>
    </w:p>
    <w:p w14:paraId="6FBDA806" w14:textId="77777777" w:rsidR="005E48BA" w:rsidRPr="00E10730" w:rsidRDefault="005E48BA" w:rsidP="00E62DEB">
      <w:pPr>
        <w:pStyle w:val="Heading3"/>
      </w:pPr>
      <w:bookmarkStart w:id="82" w:name="_Toc241826741"/>
      <w:bookmarkStart w:id="83" w:name="_Toc226723930"/>
      <w:r w:rsidRPr="00E10730">
        <w:t>6.2 Financial statements</w:t>
      </w:r>
      <w:bookmarkEnd w:id="82"/>
    </w:p>
    <w:bookmarkEnd w:id="83"/>
    <w:p w14:paraId="52A5C132" w14:textId="77777777" w:rsidR="005C6008" w:rsidRPr="00D1066F" w:rsidRDefault="005C6008" w:rsidP="00115FA3">
      <w:pPr>
        <w:autoSpaceDE w:val="0"/>
        <w:autoSpaceDN w:val="0"/>
        <w:adjustRightInd w:val="0"/>
        <w:spacing w:after="0" w:line="240" w:lineRule="auto"/>
        <w:rPr>
          <w:rStyle w:val="Strong"/>
        </w:rPr>
      </w:pPr>
      <w:r w:rsidRPr="00D1066F">
        <w:rPr>
          <w:rStyle w:val="Strong"/>
        </w:rPr>
        <w:t>National Disability Insurance Agency</w:t>
      </w:r>
    </w:p>
    <w:p w14:paraId="3BF1717B" w14:textId="77777777" w:rsidR="005C6008" w:rsidRPr="00D1066F" w:rsidRDefault="005C6008" w:rsidP="00115FA3">
      <w:pPr>
        <w:autoSpaceDE w:val="0"/>
        <w:autoSpaceDN w:val="0"/>
        <w:adjustRightInd w:val="0"/>
        <w:spacing w:after="0" w:line="240" w:lineRule="auto"/>
        <w:rPr>
          <w:rStyle w:val="Strong"/>
        </w:rPr>
      </w:pPr>
      <w:r w:rsidRPr="00D1066F">
        <w:rPr>
          <w:rStyle w:val="Strong"/>
        </w:rPr>
        <w:t>STATEMENT BY THE CHAIR OF THE BOARD, CHIEF EXECUTIVE OFFICER, CHIEF FINANCIAL OFFICER AND CHAIR OF THE AUDIT COMMITTEE</w:t>
      </w:r>
    </w:p>
    <w:p w14:paraId="389B5F1D" w14:textId="77777777" w:rsidR="005C6008" w:rsidRPr="00E10730" w:rsidRDefault="005C6008" w:rsidP="00115FA3">
      <w:pPr>
        <w:autoSpaceDE w:val="0"/>
        <w:autoSpaceDN w:val="0"/>
        <w:adjustRightInd w:val="0"/>
        <w:spacing w:before="600" w:after="0" w:line="240" w:lineRule="auto"/>
        <w:rPr>
          <w:rFonts w:eastAsia="Calibri" w:cs="Arial"/>
          <w:sz w:val="18"/>
          <w:szCs w:val="18"/>
        </w:rPr>
      </w:pPr>
      <w:r w:rsidRPr="00E10730">
        <w:rPr>
          <w:rFonts w:eastAsia="Calibri" w:cs="Arial"/>
          <w:sz w:val="18"/>
          <w:szCs w:val="18"/>
        </w:rPr>
        <w:t xml:space="preserve">In our opinion, the attached financial statements for the year ended 30 June 2026 comply with subsection 42(2) of the </w:t>
      </w:r>
      <w:r w:rsidRPr="00E10730">
        <w:rPr>
          <w:rFonts w:eastAsia="Calibri" w:cs="Arial"/>
          <w:i/>
          <w:iCs/>
          <w:sz w:val="18"/>
          <w:szCs w:val="18"/>
        </w:rPr>
        <w:t xml:space="preserve">Public Governance, Performance and Accountability Act 2013 </w:t>
      </w:r>
      <w:r w:rsidRPr="00E10730">
        <w:rPr>
          <w:rFonts w:eastAsia="Calibri" w:cs="Arial"/>
          <w:sz w:val="18"/>
          <w:szCs w:val="18"/>
        </w:rPr>
        <w:t>(PGPA Act), and are based on properly maintained financial records as per subsection 41(2) of the PGPA Act.</w:t>
      </w:r>
    </w:p>
    <w:p w14:paraId="3B9CB6CC" w14:textId="77777777" w:rsidR="005C6008" w:rsidRPr="00E10730" w:rsidRDefault="005C6008" w:rsidP="00115FA3">
      <w:pPr>
        <w:autoSpaceDE w:val="0"/>
        <w:autoSpaceDN w:val="0"/>
        <w:adjustRightInd w:val="0"/>
        <w:spacing w:before="240" w:after="0" w:line="240" w:lineRule="auto"/>
        <w:rPr>
          <w:rFonts w:eastAsia="Calibri" w:cs="Arial"/>
          <w:sz w:val="18"/>
          <w:szCs w:val="18"/>
        </w:rPr>
      </w:pPr>
      <w:r w:rsidRPr="00E10730">
        <w:rPr>
          <w:rFonts w:eastAsia="Calibri" w:cs="Arial"/>
          <w:sz w:val="18"/>
          <w:szCs w:val="18"/>
        </w:rPr>
        <w:t>In our opinion, at the date of this statement, there are reasonable grounds to believe that the National Disability Insurance Agency will be able to pay its debts as and when they fall due.</w:t>
      </w:r>
    </w:p>
    <w:p w14:paraId="061D9318" w14:textId="77777777" w:rsidR="005C6008" w:rsidRDefault="005C6008" w:rsidP="00AA5CBC">
      <w:pPr>
        <w:autoSpaceDE w:val="0"/>
        <w:autoSpaceDN w:val="0"/>
        <w:adjustRightInd w:val="0"/>
        <w:spacing w:before="240" w:after="240" w:line="240" w:lineRule="auto"/>
        <w:rPr>
          <w:rFonts w:eastAsia="Calibri" w:cs="Arial"/>
          <w:sz w:val="18"/>
          <w:szCs w:val="18"/>
        </w:rPr>
      </w:pPr>
      <w:r w:rsidRPr="00E10730">
        <w:rPr>
          <w:rFonts w:eastAsia="Calibri" w:cs="Arial"/>
          <w:sz w:val="18"/>
          <w:szCs w:val="18"/>
        </w:rPr>
        <w:t>This statement is made in accordance with a resolution of the directors.</w:t>
      </w:r>
    </w:p>
    <w:p w14:paraId="6E88CD38" w14:textId="5A7875EB" w:rsidR="0014005F" w:rsidRPr="00E10730" w:rsidRDefault="0014005F" w:rsidP="00115FA3">
      <w:pPr>
        <w:autoSpaceDE w:val="0"/>
        <w:autoSpaceDN w:val="0"/>
        <w:adjustRightInd w:val="0"/>
        <w:spacing w:before="240" w:after="600" w:line="240" w:lineRule="auto"/>
        <w:rPr>
          <w:rFonts w:eastAsia="Calibri" w:cs="Arial"/>
          <w:sz w:val="18"/>
          <w:szCs w:val="18"/>
        </w:rPr>
      </w:pPr>
      <w:r>
        <w:rPr>
          <w:rFonts w:eastAsia="Calibri" w:cs="Arial"/>
          <w:noProof/>
          <w:sz w:val="18"/>
          <w:szCs w:val="18"/>
        </w:rPr>
        <w:drawing>
          <wp:inline distT="0" distB="0" distL="0" distR="0" wp14:anchorId="5A509E1F" wp14:editId="3AD61A2B">
            <wp:extent cx="4637210" cy="1859280"/>
            <wp:effectExtent l="0" t="0" r="0" b="7620"/>
            <wp:docPr id="1547709582" name="Picture 29" descr="Signatures of Kurt Fearnley AO, Chair of the Board, Graeme Head AO, Chief Executive Officer, Chris Breitkreuz, Chief Financial Officer and Graeme Innes AM, Chair of the Audit Committee, dated 17 Septemb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709582" name="Picture 29" descr="Signatures of Kurt Fearnley AO, Chair of the Board, Graeme Head AO, Chief Executive Officer, Chris Breitkreuz, Chief Financial Officer and Graeme Innes AM, Chair of the Audit Committee, dated 17 September 2026"/>
                    <pic:cNvPicPr/>
                  </pic:nvPicPr>
                  <pic:blipFill>
                    <a:blip r:embed="rId67">
                      <a:extLst>
                        <a:ext uri="{28A0092B-C50C-407E-A947-70E740481C1C}">
                          <a14:useLocalDpi xmlns:a14="http://schemas.microsoft.com/office/drawing/2010/main" val="0"/>
                        </a:ext>
                      </a:extLst>
                    </a:blip>
                    <a:stretch>
                      <a:fillRect/>
                    </a:stretch>
                  </pic:blipFill>
                  <pic:spPr>
                    <a:xfrm>
                      <a:off x="0" y="0"/>
                      <a:ext cx="4657398" cy="1867374"/>
                    </a:xfrm>
                    <a:prstGeom prst="rect">
                      <a:avLst/>
                    </a:prstGeom>
                  </pic:spPr>
                </pic:pic>
              </a:graphicData>
            </a:graphic>
          </wp:inline>
        </w:drawing>
      </w:r>
    </w:p>
    <w:p w14:paraId="55423586" w14:textId="77777777" w:rsidR="005C6008" w:rsidRPr="00E10730" w:rsidRDefault="005C6008" w:rsidP="00115FA3">
      <w:pPr>
        <w:autoSpaceDE w:val="0"/>
        <w:autoSpaceDN w:val="0"/>
        <w:adjustRightInd w:val="0"/>
        <w:spacing w:after="0" w:line="240" w:lineRule="auto"/>
        <w:rPr>
          <w:rFonts w:eastAsia="Calibri" w:cs="Arial"/>
          <w:sz w:val="18"/>
          <w:szCs w:val="18"/>
        </w:rPr>
      </w:pPr>
    </w:p>
    <w:p w14:paraId="680C453F" w14:textId="77777777" w:rsidR="005C6008" w:rsidRPr="00E10730" w:rsidRDefault="005C6008" w:rsidP="00115FA3">
      <w:pPr>
        <w:autoSpaceDE w:val="0"/>
        <w:autoSpaceDN w:val="0"/>
        <w:adjustRightInd w:val="0"/>
        <w:spacing w:after="0" w:line="240" w:lineRule="auto"/>
        <w:rPr>
          <w:rFonts w:eastAsia="Calibri" w:cs="Arial"/>
          <w:sz w:val="22"/>
          <w:szCs w:val="22"/>
        </w:rPr>
        <w:sectPr w:rsidR="005C6008" w:rsidRPr="00E10730" w:rsidSect="00EB1047">
          <w:type w:val="continuous"/>
          <w:pgSz w:w="11906" w:h="16838" w:code="9"/>
          <w:pgMar w:top="1247" w:right="1701" w:bottom="1247" w:left="1134" w:header="720" w:footer="720" w:gutter="0"/>
          <w:cols w:space="720"/>
          <w:noEndnote/>
        </w:sectPr>
      </w:pPr>
    </w:p>
    <w:p w14:paraId="39C96D7C" w14:textId="77777777" w:rsidR="005C6008" w:rsidRPr="00D1066F" w:rsidRDefault="005C6008" w:rsidP="00115FA3">
      <w:pPr>
        <w:autoSpaceDE w:val="0"/>
        <w:autoSpaceDN w:val="0"/>
        <w:adjustRightInd w:val="0"/>
        <w:spacing w:after="0" w:line="240" w:lineRule="auto"/>
        <w:rPr>
          <w:rStyle w:val="Strong"/>
        </w:rPr>
      </w:pPr>
      <w:r w:rsidRPr="00D1066F">
        <w:rPr>
          <w:rStyle w:val="Strong"/>
        </w:rPr>
        <w:t>National Disability Insurance Agency</w:t>
      </w:r>
    </w:p>
    <w:p w14:paraId="7F7A0197" w14:textId="77777777" w:rsidR="005C6008" w:rsidRPr="00D1066F" w:rsidRDefault="005C6008" w:rsidP="00115FA3">
      <w:pPr>
        <w:autoSpaceDE w:val="0"/>
        <w:autoSpaceDN w:val="0"/>
        <w:adjustRightInd w:val="0"/>
        <w:spacing w:after="0" w:line="240" w:lineRule="auto"/>
        <w:rPr>
          <w:rStyle w:val="Strong"/>
        </w:rPr>
      </w:pPr>
      <w:r w:rsidRPr="00D1066F">
        <w:rPr>
          <w:rStyle w:val="Strong"/>
        </w:rPr>
        <w:t>STATEMENT OF COMPREHENSIVE INCOME</w:t>
      </w:r>
    </w:p>
    <w:p w14:paraId="069BEC01" w14:textId="77777777" w:rsidR="005C6008" w:rsidRPr="00E10730" w:rsidRDefault="005C6008" w:rsidP="00115FA3">
      <w:pPr>
        <w:pBdr>
          <w:bottom w:val="single" w:sz="4" w:space="1" w:color="auto"/>
        </w:pBdr>
        <w:autoSpaceDE w:val="0"/>
        <w:autoSpaceDN w:val="0"/>
        <w:adjustRightInd w:val="0"/>
        <w:spacing w:after="0" w:line="240" w:lineRule="auto"/>
        <w:rPr>
          <w:rFonts w:eastAsia="Calibri" w:cs="Arial"/>
          <w:i/>
          <w:iCs/>
        </w:rPr>
      </w:pPr>
      <w:r w:rsidRPr="00E10730">
        <w:rPr>
          <w:rFonts w:eastAsia="Calibri" w:cs="Arial"/>
          <w:i/>
          <w:iCs/>
        </w:rPr>
        <w:t>for the year ended 30 June 2026</w:t>
      </w:r>
    </w:p>
    <w:p w14:paraId="26B99671" w14:textId="77777777" w:rsidR="005C6008" w:rsidRPr="00E10730" w:rsidRDefault="005C6008" w:rsidP="00115FA3">
      <w:pPr>
        <w:autoSpaceDE w:val="0"/>
        <w:autoSpaceDN w:val="0"/>
        <w:adjustRightInd w:val="0"/>
        <w:spacing w:after="0" w:line="240" w:lineRule="auto"/>
        <w:rPr>
          <w:rFonts w:eastAsia="Calibri" w:cs="Arial"/>
          <w:sz w:val="12"/>
          <w:szCs w:val="12"/>
        </w:rPr>
      </w:pPr>
    </w:p>
    <w:tbl>
      <w:tblPr>
        <w:tblW w:w="9065" w:type="dxa"/>
        <w:tblLayout w:type="fixed"/>
        <w:tblCellMar>
          <w:left w:w="57" w:type="dxa"/>
          <w:right w:w="57" w:type="dxa"/>
        </w:tblCellMar>
        <w:tblLook w:val="0000" w:firstRow="0" w:lastRow="0" w:firstColumn="0" w:lastColumn="0" w:noHBand="0" w:noVBand="0"/>
      </w:tblPr>
      <w:tblGrid>
        <w:gridCol w:w="4649"/>
        <w:gridCol w:w="1134"/>
        <w:gridCol w:w="1094"/>
        <w:gridCol w:w="1094"/>
        <w:gridCol w:w="1094"/>
      </w:tblGrid>
      <w:tr w:rsidR="005C6008" w:rsidRPr="00E10730" w14:paraId="430A5BA1" w14:textId="77777777">
        <w:trPr>
          <w:trHeight w:val="500"/>
        </w:trPr>
        <w:tc>
          <w:tcPr>
            <w:tcW w:w="4649" w:type="dxa"/>
            <w:tcBorders>
              <w:top w:val="single" w:sz="8" w:space="0" w:color="800080"/>
              <w:left w:val="nil"/>
              <w:bottom w:val="nil"/>
              <w:right w:val="nil"/>
            </w:tcBorders>
            <w:shd w:val="clear" w:color="FFFFFF" w:fill="FFFFFF"/>
            <w:vAlign w:val="bottom"/>
          </w:tcPr>
          <w:p w14:paraId="38CD29BE"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single" w:sz="8" w:space="0" w:color="800080"/>
              <w:left w:val="nil"/>
              <w:bottom w:val="nil"/>
              <w:right w:val="nil"/>
            </w:tcBorders>
            <w:shd w:val="clear" w:color="FFFFFF" w:fill="FFFFFF"/>
            <w:vAlign w:val="bottom"/>
          </w:tcPr>
          <w:p w14:paraId="31C73CCF"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4" w:type="dxa"/>
            <w:tcBorders>
              <w:top w:val="single" w:sz="8" w:space="0" w:color="800080"/>
              <w:left w:val="nil"/>
              <w:bottom w:val="nil"/>
              <w:right w:val="nil"/>
            </w:tcBorders>
            <w:shd w:val="clear" w:color="FFFFFF" w:fill="FFFFFF"/>
            <w:vAlign w:val="bottom"/>
          </w:tcPr>
          <w:p w14:paraId="4374A26C"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single" w:sz="8" w:space="0" w:color="800080"/>
              <w:left w:val="nil"/>
              <w:bottom w:val="nil"/>
              <w:right w:val="nil"/>
            </w:tcBorders>
            <w:shd w:val="clear" w:color="FFFFFF" w:fill="FFFFFF"/>
            <w:vAlign w:val="bottom"/>
          </w:tcPr>
          <w:p w14:paraId="6C87DF2D"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single" w:sz="8" w:space="0" w:color="800080"/>
              <w:left w:val="nil"/>
              <w:bottom w:val="nil"/>
              <w:right w:val="nil"/>
            </w:tcBorders>
            <w:shd w:val="clear" w:color="FFFFFF" w:fill="FFFFFF"/>
            <w:vAlign w:val="bottom"/>
          </w:tcPr>
          <w:p w14:paraId="3389A84D"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Original</w:t>
            </w:r>
            <w:r w:rsidRPr="00E10730">
              <w:rPr>
                <w:rFonts w:eastAsia="Calibri" w:cs="Arial"/>
                <w:color w:val="800080"/>
                <w:sz w:val="18"/>
                <w:szCs w:val="18"/>
              </w:rPr>
              <w:br/>
              <w:t>Budget</w:t>
            </w:r>
            <w:r w:rsidRPr="00E10730">
              <w:rPr>
                <w:rFonts w:eastAsia="Calibri" w:cs="Arial"/>
                <w:color w:val="800080"/>
                <w:sz w:val="18"/>
                <w:szCs w:val="18"/>
                <w:vertAlign w:val="superscript"/>
              </w:rPr>
              <w:t>1</w:t>
            </w:r>
          </w:p>
        </w:tc>
      </w:tr>
      <w:tr w:rsidR="005C6008" w:rsidRPr="00E10730" w14:paraId="1C4ABE67" w14:textId="77777777">
        <w:trPr>
          <w:trHeight w:val="260"/>
        </w:trPr>
        <w:tc>
          <w:tcPr>
            <w:tcW w:w="4649" w:type="dxa"/>
            <w:tcBorders>
              <w:top w:val="nil"/>
              <w:left w:val="nil"/>
              <w:bottom w:val="nil"/>
              <w:right w:val="nil"/>
            </w:tcBorders>
            <w:shd w:val="clear" w:color="FFFFFF" w:fill="FFFFFF"/>
            <w:vAlign w:val="bottom"/>
          </w:tcPr>
          <w:p w14:paraId="7F69F82A"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nil"/>
              <w:right w:val="nil"/>
            </w:tcBorders>
            <w:shd w:val="clear" w:color="FFFFFF" w:fill="FFFFFF"/>
            <w:vAlign w:val="bottom"/>
          </w:tcPr>
          <w:p w14:paraId="1F626ACE"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1DA82AF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094" w:type="dxa"/>
            <w:tcBorders>
              <w:top w:val="nil"/>
              <w:left w:val="nil"/>
              <w:bottom w:val="nil"/>
              <w:right w:val="nil"/>
            </w:tcBorders>
            <w:shd w:val="clear" w:color="FFFFFF" w:fill="FFFFFF"/>
            <w:vAlign w:val="bottom"/>
          </w:tcPr>
          <w:p w14:paraId="57842BA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c>
          <w:tcPr>
            <w:tcW w:w="1094" w:type="dxa"/>
            <w:tcBorders>
              <w:top w:val="nil"/>
              <w:left w:val="nil"/>
              <w:bottom w:val="nil"/>
              <w:right w:val="nil"/>
            </w:tcBorders>
            <w:shd w:val="clear" w:color="FFFFFF" w:fill="FFFFFF"/>
            <w:vAlign w:val="bottom"/>
          </w:tcPr>
          <w:p w14:paraId="048C7AAC"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2026</w:t>
            </w:r>
          </w:p>
        </w:tc>
      </w:tr>
      <w:tr w:rsidR="005C6008" w:rsidRPr="00E10730" w14:paraId="2DFAF750" w14:textId="77777777">
        <w:trPr>
          <w:trHeight w:val="270"/>
        </w:trPr>
        <w:tc>
          <w:tcPr>
            <w:tcW w:w="4649" w:type="dxa"/>
            <w:tcBorders>
              <w:top w:val="nil"/>
              <w:left w:val="nil"/>
              <w:bottom w:val="single" w:sz="8" w:space="0" w:color="800080"/>
              <w:right w:val="nil"/>
            </w:tcBorders>
            <w:shd w:val="clear" w:color="FFFFFF" w:fill="FFFFFF"/>
            <w:vAlign w:val="bottom"/>
          </w:tcPr>
          <w:p w14:paraId="7A772572"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single" w:sz="8" w:space="0" w:color="800080"/>
              <w:right w:val="nil"/>
            </w:tcBorders>
            <w:shd w:val="clear" w:color="FFFFFF" w:fill="FFFFFF"/>
            <w:vAlign w:val="bottom"/>
          </w:tcPr>
          <w:p w14:paraId="47E470D0" w14:textId="77777777" w:rsidR="005C6008" w:rsidRPr="00E10730" w:rsidRDefault="005C6008" w:rsidP="00115FA3">
            <w:pPr>
              <w:autoSpaceDE w:val="0"/>
              <w:autoSpaceDN w:val="0"/>
              <w:adjustRightInd w:val="0"/>
              <w:spacing w:after="0" w:line="240" w:lineRule="auto"/>
              <w:jc w:val="center"/>
              <w:rPr>
                <w:rFonts w:eastAsia="Calibri" w:cs="Arial"/>
                <w:b/>
                <w:bCs/>
                <w:sz w:val="18"/>
                <w:szCs w:val="18"/>
              </w:rPr>
            </w:pPr>
            <w:r w:rsidRPr="00E10730">
              <w:rPr>
                <w:rFonts w:eastAsia="Calibri" w:cs="Arial"/>
                <w:b/>
                <w:bCs/>
                <w:sz w:val="18"/>
                <w:szCs w:val="18"/>
              </w:rPr>
              <w:t>Notes</w:t>
            </w:r>
          </w:p>
        </w:tc>
        <w:tc>
          <w:tcPr>
            <w:tcW w:w="1094" w:type="dxa"/>
            <w:tcBorders>
              <w:top w:val="nil"/>
              <w:left w:val="nil"/>
              <w:bottom w:val="single" w:sz="8" w:space="0" w:color="800080"/>
              <w:right w:val="nil"/>
            </w:tcBorders>
            <w:shd w:val="clear" w:color="FFFFFF" w:fill="FFFFFF"/>
            <w:vAlign w:val="bottom"/>
          </w:tcPr>
          <w:p w14:paraId="21C8B2B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094" w:type="dxa"/>
            <w:tcBorders>
              <w:top w:val="nil"/>
              <w:left w:val="nil"/>
              <w:bottom w:val="single" w:sz="8" w:space="0" w:color="800080"/>
              <w:right w:val="nil"/>
            </w:tcBorders>
            <w:shd w:val="clear" w:color="FFFFFF" w:fill="FFFFFF"/>
            <w:vAlign w:val="bottom"/>
          </w:tcPr>
          <w:p w14:paraId="2B7C86B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c>
          <w:tcPr>
            <w:tcW w:w="1094" w:type="dxa"/>
            <w:tcBorders>
              <w:top w:val="nil"/>
              <w:left w:val="nil"/>
              <w:bottom w:val="single" w:sz="8" w:space="0" w:color="800080"/>
              <w:right w:val="nil"/>
            </w:tcBorders>
            <w:shd w:val="clear" w:color="FFFFFF" w:fill="FFFFFF"/>
            <w:vAlign w:val="bottom"/>
          </w:tcPr>
          <w:p w14:paraId="634A21AE"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$'000</w:t>
            </w:r>
          </w:p>
        </w:tc>
      </w:tr>
      <w:tr w:rsidR="005C6008" w:rsidRPr="00E10730" w14:paraId="15984EDB" w14:textId="77777777">
        <w:trPr>
          <w:trHeight w:val="250"/>
        </w:trPr>
        <w:tc>
          <w:tcPr>
            <w:tcW w:w="4649" w:type="dxa"/>
            <w:tcBorders>
              <w:top w:val="nil"/>
              <w:left w:val="nil"/>
              <w:bottom w:val="nil"/>
              <w:right w:val="nil"/>
            </w:tcBorders>
            <w:shd w:val="clear" w:color="FFFFFF" w:fill="FFFFFF"/>
            <w:vAlign w:val="bottom"/>
          </w:tcPr>
          <w:p w14:paraId="0FEE8F82"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NET COST OF SERVICES</w:t>
            </w:r>
          </w:p>
        </w:tc>
        <w:tc>
          <w:tcPr>
            <w:tcW w:w="1134" w:type="dxa"/>
            <w:tcBorders>
              <w:top w:val="nil"/>
              <w:left w:val="nil"/>
              <w:bottom w:val="nil"/>
              <w:right w:val="nil"/>
            </w:tcBorders>
            <w:shd w:val="clear" w:color="FFFFFF" w:fill="FFFFFF"/>
            <w:vAlign w:val="bottom"/>
          </w:tcPr>
          <w:p w14:paraId="4E0420BA" w14:textId="77777777" w:rsidR="005C6008" w:rsidRPr="00E10730" w:rsidRDefault="005C6008" w:rsidP="00115FA3">
            <w:pPr>
              <w:autoSpaceDE w:val="0"/>
              <w:autoSpaceDN w:val="0"/>
              <w:adjustRightInd w:val="0"/>
              <w:spacing w:after="0" w:line="240" w:lineRule="auto"/>
              <w:jc w:val="center"/>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0F6869BF"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33AD86A0"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2312717B"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79977495" w14:textId="77777777">
        <w:trPr>
          <w:trHeight w:val="250"/>
        </w:trPr>
        <w:tc>
          <w:tcPr>
            <w:tcW w:w="4649" w:type="dxa"/>
            <w:tcBorders>
              <w:top w:val="nil"/>
              <w:left w:val="nil"/>
              <w:bottom w:val="nil"/>
              <w:right w:val="nil"/>
            </w:tcBorders>
            <w:shd w:val="clear" w:color="FFFFFF" w:fill="FFFFFF"/>
            <w:vAlign w:val="bottom"/>
          </w:tcPr>
          <w:p w14:paraId="0F15F2D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Expenses</w:t>
            </w:r>
          </w:p>
        </w:tc>
        <w:tc>
          <w:tcPr>
            <w:tcW w:w="1134" w:type="dxa"/>
            <w:tcBorders>
              <w:top w:val="nil"/>
              <w:left w:val="nil"/>
              <w:bottom w:val="nil"/>
              <w:right w:val="nil"/>
            </w:tcBorders>
            <w:shd w:val="clear" w:color="FFFFFF" w:fill="FFFFFF"/>
            <w:vAlign w:val="bottom"/>
          </w:tcPr>
          <w:p w14:paraId="5812D0D1"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64E1B52B"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41F02B41"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35B84763"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3351F0EA" w14:textId="77777777">
        <w:trPr>
          <w:trHeight w:val="250"/>
        </w:trPr>
        <w:tc>
          <w:tcPr>
            <w:tcW w:w="4649" w:type="dxa"/>
            <w:tcBorders>
              <w:top w:val="nil"/>
              <w:left w:val="nil"/>
              <w:bottom w:val="nil"/>
              <w:right w:val="nil"/>
            </w:tcBorders>
            <w:shd w:val="clear" w:color="FFFFFF" w:fill="FFFFFF"/>
            <w:vAlign w:val="bottom"/>
          </w:tcPr>
          <w:p w14:paraId="42606D3E"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Employee benefits</w:t>
            </w:r>
          </w:p>
        </w:tc>
        <w:tc>
          <w:tcPr>
            <w:tcW w:w="1134" w:type="dxa"/>
            <w:tcBorders>
              <w:top w:val="nil"/>
              <w:left w:val="nil"/>
              <w:bottom w:val="nil"/>
              <w:right w:val="nil"/>
            </w:tcBorders>
            <w:shd w:val="clear" w:color="FFFFFF" w:fill="FFFFFF"/>
            <w:vAlign w:val="bottom"/>
          </w:tcPr>
          <w:p w14:paraId="084BB9C5"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1.1A</w:t>
            </w:r>
          </w:p>
        </w:tc>
        <w:tc>
          <w:tcPr>
            <w:tcW w:w="1094" w:type="dxa"/>
            <w:tcBorders>
              <w:top w:val="nil"/>
              <w:left w:val="nil"/>
              <w:bottom w:val="nil"/>
              <w:right w:val="nil"/>
            </w:tcBorders>
            <w:vAlign w:val="bottom"/>
          </w:tcPr>
          <w:p w14:paraId="5C2270A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1,325,159</w:t>
            </w:r>
          </w:p>
        </w:tc>
        <w:tc>
          <w:tcPr>
            <w:tcW w:w="1094" w:type="dxa"/>
            <w:tcBorders>
              <w:top w:val="nil"/>
              <w:left w:val="nil"/>
              <w:bottom w:val="nil"/>
              <w:right w:val="nil"/>
            </w:tcBorders>
            <w:shd w:val="clear" w:color="FFFFFF" w:fill="FFFFFF"/>
            <w:vAlign w:val="bottom"/>
          </w:tcPr>
          <w:p w14:paraId="3049092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1,066,884</w:t>
            </w:r>
          </w:p>
        </w:tc>
        <w:tc>
          <w:tcPr>
            <w:tcW w:w="1094" w:type="dxa"/>
            <w:tcBorders>
              <w:top w:val="nil"/>
              <w:left w:val="nil"/>
              <w:bottom w:val="nil"/>
              <w:right w:val="nil"/>
            </w:tcBorders>
            <w:shd w:val="clear" w:color="FFFFFF" w:fill="FFFFFF"/>
            <w:vAlign w:val="bottom"/>
          </w:tcPr>
          <w:p w14:paraId="7CF08CA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1,100,606</w:t>
            </w:r>
          </w:p>
        </w:tc>
      </w:tr>
      <w:tr w:rsidR="005C6008" w:rsidRPr="00E10730" w14:paraId="6FB7397B" w14:textId="77777777">
        <w:trPr>
          <w:trHeight w:val="250"/>
        </w:trPr>
        <w:tc>
          <w:tcPr>
            <w:tcW w:w="4649" w:type="dxa"/>
            <w:tcBorders>
              <w:top w:val="nil"/>
              <w:left w:val="nil"/>
              <w:bottom w:val="nil"/>
              <w:right w:val="nil"/>
            </w:tcBorders>
            <w:shd w:val="clear" w:color="FFFFFF" w:fill="FFFFFF"/>
            <w:vAlign w:val="bottom"/>
          </w:tcPr>
          <w:p w14:paraId="699404AA"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Suppliers</w:t>
            </w:r>
          </w:p>
        </w:tc>
        <w:tc>
          <w:tcPr>
            <w:tcW w:w="1134" w:type="dxa"/>
            <w:tcBorders>
              <w:top w:val="nil"/>
              <w:left w:val="nil"/>
              <w:bottom w:val="nil"/>
              <w:right w:val="nil"/>
            </w:tcBorders>
            <w:shd w:val="clear" w:color="FFFFFF" w:fill="FFFFFF"/>
            <w:vAlign w:val="bottom"/>
          </w:tcPr>
          <w:p w14:paraId="6E83EEC8"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1.1B</w:t>
            </w:r>
          </w:p>
        </w:tc>
        <w:tc>
          <w:tcPr>
            <w:tcW w:w="1094" w:type="dxa"/>
            <w:tcBorders>
              <w:top w:val="nil"/>
              <w:left w:val="nil"/>
              <w:bottom w:val="nil"/>
              <w:right w:val="nil"/>
            </w:tcBorders>
            <w:vAlign w:val="bottom"/>
          </w:tcPr>
          <w:p w14:paraId="566C669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870,484</w:t>
            </w:r>
          </w:p>
        </w:tc>
        <w:tc>
          <w:tcPr>
            <w:tcW w:w="1094" w:type="dxa"/>
            <w:tcBorders>
              <w:top w:val="nil"/>
              <w:left w:val="nil"/>
              <w:bottom w:val="nil"/>
              <w:right w:val="nil"/>
            </w:tcBorders>
            <w:shd w:val="clear" w:color="FFFFFF" w:fill="FFFFFF"/>
            <w:vAlign w:val="bottom"/>
          </w:tcPr>
          <w:p w14:paraId="17A98DE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780,612</w:t>
            </w:r>
          </w:p>
        </w:tc>
        <w:tc>
          <w:tcPr>
            <w:tcW w:w="1094" w:type="dxa"/>
            <w:tcBorders>
              <w:top w:val="nil"/>
              <w:left w:val="nil"/>
              <w:bottom w:val="nil"/>
              <w:right w:val="nil"/>
            </w:tcBorders>
            <w:shd w:val="clear" w:color="FFFFFF" w:fill="FFFFFF"/>
            <w:vAlign w:val="bottom"/>
          </w:tcPr>
          <w:p w14:paraId="5EB5638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1,685,544</w:t>
            </w:r>
          </w:p>
        </w:tc>
      </w:tr>
      <w:tr w:rsidR="005C6008" w:rsidRPr="00E10730" w14:paraId="6483CE56" w14:textId="77777777">
        <w:trPr>
          <w:trHeight w:val="250"/>
        </w:trPr>
        <w:tc>
          <w:tcPr>
            <w:tcW w:w="4649" w:type="dxa"/>
            <w:tcBorders>
              <w:top w:val="nil"/>
              <w:left w:val="nil"/>
              <w:bottom w:val="nil"/>
              <w:right w:val="nil"/>
            </w:tcBorders>
            <w:shd w:val="clear" w:color="FFFFFF" w:fill="FFFFFF"/>
            <w:vAlign w:val="bottom"/>
          </w:tcPr>
          <w:p w14:paraId="632519EB"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Community partnership costs</w:t>
            </w:r>
          </w:p>
        </w:tc>
        <w:tc>
          <w:tcPr>
            <w:tcW w:w="1134" w:type="dxa"/>
            <w:tcBorders>
              <w:top w:val="nil"/>
              <w:left w:val="nil"/>
              <w:bottom w:val="nil"/>
              <w:right w:val="nil"/>
            </w:tcBorders>
            <w:shd w:val="clear" w:color="FFFFFF" w:fill="FFFFFF"/>
            <w:vAlign w:val="bottom"/>
          </w:tcPr>
          <w:p w14:paraId="21603E7D"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1.1F</w:t>
            </w:r>
          </w:p>
        </w:tc>
        <w:tc>
          <w:tcPr>
            <w:tcW w:w="1094" w:type="dxa"/>
            <w:tcBorders>
              <w:top w:val="nil"/>
              <w:left w:val="nil"/>
              <w:bottom w:val="nil"/>
              <w:right w:val="nil"/>
            </w:tcBorders>
            <w:vAlign w:val="bottom"/>
          </w:tcPr>
          <w:p w14:paraId="044A0D6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637,221</w:t>
            </w:r>
          </w:p>
        </w:tc>
        <w:tc>
          <w:tcPr>
            <w:tcW w:w="1094" w:type="dxa"/>
            <w:tcBorders>
              <w:top w:val="nil"/>
              <w:left w:val="nil"/>
              <w:bottom w:val="nil"/>
              <w:right w:val="nil"/>
            </w:tcBorders>
            <w:shd w:val="clear" w:color="FFFFFF" w:fill="FFFFFF"/>
            <w:vAlign w:val="bottom"/>
          </w:tcPr>
          <w:p w14:paraId="27F06FD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627,411</w:t>
            </w:r>
          </w:p>
        </w:tc>
        <w:tc>
          <w:tcPr>
            <w:tcW w:w="1094" w:type="dxa"/>
            <w:tcBorders>
              <w:top w:val="nil"/>
              <w:left w:val="nil"/>
              <w:bottom w:val="nil"/>
              <w:right w:val="nil"/>
            </w:tcBorders>
            <w:shd w:val="clear" w:color="FFFFFF" w:fill="FFFFFF"/>
            <w:vAlign w:val="bottom"/>
          </w:tcPr>
          <w:p w14:paraId="4DFFAC5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r>
      <w:tr w:rsidR="005C6008" w:rsidRPr="00E10730" w14:paraId="3864DEFA" w14:textId="77777777">
        <w:trPr>
          <w:trHeight w:val="250"/>
        </w:trPr>
        <w:tc>
          <w:tcPr>
            <w:tcW w:w="4649" w:type="dxa"/>
            <w:tcBorders>
              <w:top w:val="nil"/>
              <w:left w:val="nil"/>
              <w:bottom w:val="nil"/>
              <w:right w:val="nil"/>
            </w:tcBorders>
            <w:shd w:val="clear" w:color="FFFFFF" w:fill="FFFFFF"/>
            <w:vAlign w:val="bottom"/>
          </w:tcPr>
          <w:p w14:paraId="2F8FAAAF"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Grants</w:t>
            </w:r>
          </w:p>
        </w:tc>
        <w:tc>
          <w:tcPr>
            <w:tcW w:w="1134" w:type="dxa"/>
            <w:tcBorders>
              <w:top w:val="nil"/>
              <w:left w:val="nil"/>
              <w:bottom w:val="nil"/>
              <w:right w:val="nil"/>
            </w:tcBorders>
            <w:shd w:val="clear" w:color="FFFFFF" w:fill="FFFFFF"/>
            <w:vAlign w:val="bottom"/>
          </w:tcPr>
          <w:p w14:paraId="3593D590"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1.1C</w:t>
            </w:r>
          </w:p>
        </w:tc>
        <w:tc>
          <w:tcPr>
            <w:tcW w:w="1094" w:type="dxa"/>
            <w:tcBorders>
              <w:top w:val="nil"/>
              <w:left w:val="nil"/>
              <w:bottom w:val="nil"/>
              <w:right w:val="nil"/>
            </w:tcBorders>
            <w:vAlign w:val="bottom"/>
          </w:tcPr>
          <w:p w14:paraId="0374D4E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34,791</w:t>
            </w:r>
          </w:p>
        </w:tc>
        <w:tc>
          <w:tcPr>
            <w:tcW w:w="1094" w:type="dxa"/>
            <w:tcBorders>
              <w:top w:val="nil"/>
              <w:left w:val="nil"/>
              <w:bottom w:val="nil"/>
              <w:right w:val="nil"/>
            </w:tcBorders>
            <w:shd w:val="clear" w:color="FFFFFF" w:fill="FFFFFF"/>
            <w:vAlign w:val="bottom"/>
          </w:tcPr>
          <w:p w14:paraId="341932E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11,916</w:t>
            </w:r>
          </w:p>
        </w:tc>
        <w:tc>
          <w:tcPr>
            <w:tcW w:w="1094" w:type="dxa"/>
            <w:tcBorders>
              <w:top w:val="nil"/>
              <w:left w:val="nil"/>
              <w:bottom w:val="nil"/>
              <w:right w:val="nil"/>
            </w:tcBorders>
            <w:shd w:val="clear" w:color="FFFFFF" w:fill="FFFFFF"/>
            <w:vAlign w:val="bottom"/>
          </w:tcPr>
          <w:p w14:paraId="45C1D71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r>
      <w:tr w:rsidR="005C6008" w:rsidRPr="00E10730" w14:paraId="75302353" w14:textId="77777777">
        <w:trPr>
          <w:trHeight w:val="250"/>
        </w:trPr>
        <w:tc>
          <w:tcPr>
            <w:tcW w:w="4649" w:type="dxa"/>
            <w:tcBorders>
              <w:top w:val="nil"/>
              <w:left w:val="nil"/>
              <w:bottom w:val="nil"/>
              <w:right w:val="nil"/>
            </w:tcBorders>
            <w:shd w:val="clear" w:color="FFFFFF" w:fill="FFFFFF"/>
            <w:vAlign w:val="bottom"/>
          </w:tcPr>
          <w:p w14:paraId="10CAE5F4"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Participant plan expenses</w:t>
            </w:r>
          </w:p>
        </w:tc>
        <w:tc>
          <w:tcPr>
            <w:tcW w:w="1134" w:type="dxa"/>
            <w:tcBorders>
              <w:top w:val="nil"/>
              <w:left w:val="nil"/>
              <w:bottom w:val="nil"/>
              <w:right w:val="nil"/>
            </w:tcBorders>
            <w:shd w:val="clear" w:color="FFFFFF" w:fill="FFFFFF"/>
            <w:vAlign w:val="bottom"/>
          </w:tcPr>
          <w:p w14:paraId="52E47FE8"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1.1G</w:t>
            </w:r>
          </w:p>
        </w:tc>
        <w:tc>
          <w:tcPr>
            <w:tcW w:w="1094" w:type="dxa"/>
            <w:tcBorders>
              <w:top w:val="nil"/>
              <w:left w:val="nil"/>
              <w:bottom w:val="nil"/>
              <w:right w:val="nil"/>
            </w:tcBorders>
            <w:vAlign w:val="bottom"/>
          </w:tcPr>
          <w:p w14:paraId="230BBEF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51,202,604</w:t>
            </w:r>
          </w:p>
        </w:tc>
        <w:tc>
          <w:tcPr>
            <w:tcW w:w="1094" w:type="dxa"/>
            <w:tcBorders>
              <w:top w:val="nil"/>
              <w:left w:val="nil"/>
              <w:bottom w:val="nil"/>
              <w:right w:val="nil"/>
            </w:tcBorders>
            <w:shd w:val="clear" w:color="FFFFFF" w:fill="FFFFFF"/>
            <w:vAlign w:val="bottom"/>
          </w:tcPr>
          <w:p w14:paraId="14A937B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46,352,178</w:t>
            </w:r>
          </w:p>
        </w:tc>
        <w:tc>
          <w:tcPr>
            <w:tcW w:w="1094" w:type="dxa"/>
            <w:tcBorders>
              <w:top w:val="nil"/>
              <w:left w:val="nil"/>
              <w:bottom w:val="nil"/>
              <w:right w:val="nil"/>
            </w:tcBorders>
            <w:shd w:val="clear" w:color="FFFFFF" w:fill="FFFFFF"/>
            <w:vAlign w:val="bottom"/>
          </w:tcPr>
          <w:p w14:paraId="3ACA126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49,828,918</w:t>
            </w:r>
          </w:p>
        </w:tc>
      </w:tr>
      <w:tr w:rsidR="005C6008" w:rsidRPr="00E10730" w14:paraId="4D768DC3" w14:textId="77777777">
        <w:trPr>
          <w:trHeight w:val="250"/>
        </w:trPr>
        <w:tc>
          <w:tcPr>
            <w:tcW w:w="4649" w:type="dxa"/>
            <w:tcBorders>
              <w:top w:val="nil"/>
              <w:left w:val="nil"/>
              <w:bottom w:val="nil"/>
              <w:right w:val="nil"/>
            </w:tcBorders>
            <w:shd w:val="clear" w:color="FFFFFF" w:fill="FFFFFF"/>
            <w:vAlign w:val="bottom"/>
          </w:tcPr>
          <w:p w14:paraId="52C80C4E"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Depreciation and amortisation</w:t>
            </w:r>
          </w:p>
        </w:tc>
        <w:tc>
          <w:tcPr>
            <w:tcW w:w="1134" w:type="dxa"/>
            <w:tcBorders>
              <w:top w:val="nil"/>
              <w:left w:val="nil"/>
              <w:bottom w:val="nil"/>
              <w:right w:val="nil"/>
            </w:tcBorders>
            <w:shd w:val="clear" w:color="FFFFFF" w:fill="FFFFFF"/>
            <w:vAlign w:val="bottom"/>
          </w:tcPr>
          <w:p w14:paraId="5F8CEE91"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2.2A</w:t>
            </w:r>
          </w:p>
        </w:tc>
        <w:tc>
          <w:tcPr>
            <w:tcW w:w="1094" w:type="dxa"/>
            <w:tcBorders>
              <w:top w:val="nil"/>
              <w:left w:val="nil"/>
              <w:bottom w:val="nil"/>
              <w:right w:val="nil"/>
            </w:tcBorders>
            <w:vAlign w:val="bottom"/>
          </w:tcPr>
          <w:p w14:paraId="3CA90F8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70,285</w:t>
            </w:r>
          </w:p>
        </w:tc>
        <w:tc>
          <w:tcPr>
            <w:tcW w:w="1094" w:type="dxa"/>
            <w:tcBorders>
              <w:top w:val="nil"/>
              <w:left w:val="nil"/>
              <w:bottom w:val="nil"/>
              <w:right w:val="nil"/>
            </w:tcBorders>
            <w:shd w:val="clear" w:color="FFFFFF" w:fill="FFFFFF"/>
            <w:vAlign w:val="bottom"/>
          </w:tcPr>
          <w:p w14:paraId="3CC5D2F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61,564</w:t>
            </w:r>
          </w:p>
        </w:tc>
        <w:tc>
          <w:tcPr>
            <w:tcW w:w="1094" w:type="dxa"/>
            <w:tcBorders>
              <w:top w:val="nil"/>
              <w:left w:val="nil"/>
              <w:bottom w:val="nil"/>
              <w:right w:val="nil"/>
            </w:tcBorders>
            <w:shd w:val="clear" w:color="FFFFFF" w:fill="FFFFFF"/>
            <w:vAlign w:val="bottom"/>
          </w:tcPr>
          <w:p w14:paraId="0C3AF93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67,960</w:t>
            </w:r>
          </w:p>
        </w:tc>
      </w:tr>
      <w:tr w:rsidR="005C6008" w:rsidRPr="00E10730" w14:paraId="48195AFB" w14:textId="77777777">
        <w:trPr>
          <w:trHeight w:val="250"/>
        </w:trPr>
        <w:tc>
          <w:tcPr>
            <w:tcW w:w="4649" w:type="dxa"/>
            <w:tcBorders>
              <w:top w:val="nil"/>
              <w:left w:val="nil"/>
              <w:bottom w:val="nil"/>
              <w:right w:val="nil"/>
            </w:tcBorders>
            <w:shd w:val="clear" w:color="FFFFFF" w:fill="FFFFFF"/>
            <w:vAlign w:val="bottom"/>
          </w:tcPr>
          <w:p w14:paraId="58295E2F"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Finance costs</w:t>
            </w:r>
          </w:p>
        </w:tc>
        <w:tc>
          <w:tcPr>
            <w:tcW w:w="1134" w:type="dxa"/>
            <w:tcBorders>
              <w:top w:val="nil"/>
              <w:left w:val="nil"/>
              <w:bottom w:val="nil"/>
              <w:right w:val="nil"/>
            </w:tcBorders>
            <w:shd w:val="clear" w:color="FFFFFF" w:fill="FFFFFF"/>
            <w:vAlign w:val="bottom"/>
          </w:tcPr>
          <w:p w14:paraId="460F23F0"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1.1D</w:t>
            </w:r>
          </w:p>
        </w:tc>
        <w:tc>
          <w:tcPr>
            <w:tcW w:w="1094" w:type="dxa"/>
            <w:tcBorders>
              <w:top w:val="nil"/>
              <w:left w:val="nil"/>
              <w:bottom w:val="nil"/>
              <w:right w:val="nil"/>
            </w:tcBorders>
            <w:vAlign w:val="bottom"/>
          </w:tcPr>
          <w:p w14:paraId="4DE2997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5,133</w:t>
            </w:r>
          </w:p>
        </w:tc>
        <w:tc>
          <w:tcPr>
            <w:tcW w:w="1094" w:type="dxa"/>
            <w:tcBorders>
              <w:top w:val="nil"/>
              <w:left w:val="nil"/>
              <w:bottom w:val="nil"/>
              <w:right w:val="nil"/>
            </w:tcBorders>
            <w:shd w:val="clear" w:color="FFFFFF" w:fill="FFFFFF"/>
            <w:vAlign w:val="bottom"/>
          </w:tcPr>
          <w:p w14:paraId="0927081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5,463</w:t>
            </w:r>
          </w:p>
        </w:tc>
        <w:tc>
          <w:tcPr>
            <w:tcW w:w="1094" w:type="dxa"/>
            <w:tcBorders>
              <w:top w:val="nil"/>
              <w:left w:val="nil"/>
              <w:bottom w:val="nil"/>
              <w:right w:val="nil"/>
            </w:tcBorders>
            <w:shd w:val="clear" w:color="FFFFFF" w:fill="FFFFFF"/>
            <w:vAlign w:val="bottom"/>
          </w:tcPr>
          <w:p w14:paraId="396DE5E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2,611</w:t>
            </w:r>
          </w:p>
        </w:tc>
      </w:tr>
      <w:tr w:rsidR="005C6008" w:rsidRPr="00E10730" w14:paraId="22A5D6A6" w14:textId="77777777">
        <w:trPr>
          <w:trHeight w:val="250"/>
        </w:trPr>
        <w:tc>
          <w:tcPr>
            <w:tcW w:w="4649" w:type="dxa"/>
            <w:tcBorders>
              <w:top w:val="nil"/>
              <w:left w:val="nil"/>
              <w:bottom w:val="nil"/>
              <w:right w:val="nil"/>
            </w:tcBorders>
            <w:shd w:val="clear" w:color="FFFFFF" w:fill="FFFFFF"/>
            <w:vAlign w:val="bottom"/>
          </w:tcPr>
          <w:p w14:paraId="0FC43264"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Write-down and impairment of other assets</w:t>
            </w:r>
          </w:p>
        </w:tc>
        <w:tc>
          <w:tcPr>
            <w:tcW w:w="1134" w:type="dxa"/>
            <w:tcBorders>
              <w:top w:val="nil"/>
              <w:left w:val="nil"/>
              <w:bottom w:val="nil"/>
              <w:right w:val="nil"/>
            </w:tcBorders>
            <w:shd w:val="clear" w:color="FFFFFF" w:fill="FFFFFF"/>
            <w:vAlign w:val="bottom"/>
          </w:tcPr>
          <w:p w14:paraId="74CDECAF"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1.1E</w:t>
            </w:r>
          </w:p>
        </w:tc>
        <w:tc>
          <w:tcPr>
            <w:tcW w:w="1094" w:type="dxa"/>
            <w:tcBorders>
              <w:top w:val="nil"/>
              <w:left w:val="nil"/>
              <w:bottom w:val="nil"/>
              <w:right w:val="nil"/>
            </w:tcBorders>
            <w:vAlign w:val="bottom"/>
          </w:tcPr>
          <w:p w14:paraId="1AFDE4E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4,562</w:t>
            </w:r>
          </w:p>
        </w:tc>
        <w:tc>
          <w:tcPr>
            <w:tcW w:w="1094" w:type="dxa"/>
            <w:tcBorders>
              <w:top w:val="nil"/>
              <w:left w:val="nil"/>
              <w:bottom w:val="nil"/>
              <w:right w:val="nil"/>
            </w:tcBorders>
            <w:shd w:val="clear" w:color="FFFFFF" w:fill="FFFFFF"/>
            <w:vAlign w:val="bottom"/>
          </w:tcPr>
          <w:p w14:paraId="1943E23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70,598</w:t>
            </w:r>
          </w:p>
        </w:tc>
        <w:tc>
          <w:tcPr>
            <w:tcW w:w="1094" w:type="dxa"/>
            <w:tcBorders>
              <w:top w:val="nil"/>
              <w:left w:val="nil"/>
              <w:bottom w:val="nil"/>
              <w:right w:val="nil"/>
            </w:tcBorders>
            <w:shd w:val="clear" w:color="FFFFFF" w:fill="FFFFFF"/>
            <w:vAlign w:val="bottom"/>
          </w:tcPr>
          <w:p w14:paraId="5C4A1F7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r>
      <w:tr w:rsidR="005C6008" w:rsidRPr="00E10730" w14:paraId="0665937A" w14:textId="77777777">
        <w:trPr>
          <w:trHeight w:val="250"/>
        </w:trPr>
        <w:tc>
          <w:tcPr>
            <w:tcW w:w="4649" w:type="dxa"/>
            <w:tcBorders>
              <w:top w:val="nil"/>
              <w:left w:val="nil"/>
              <w:bottom w:val="nil"/>
              <w:right w:val="nil"/>
            </w:tcBorders>
            <w:shd w:val="clear" w:color="FFFFFF" w:fill="FFFFFF"/>
            <w:vAlign w:val="bottom"/>
          </w:tcPr>
          <w:p w14:paraId="4F285D8B"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expenses</w:t>
            </w:r>
          </w:p>
        </w:tc>
        <w:tc>
          <w:tcPr>
            <w:tcW w:w="1134" w:type="dxa"/>
            <w:tcBorders>
              <w:top w:val="nil"/>
              <w:left w:val="nil"/>
              <w:bottom w:val="nil"/>
              <w:right w:val="nil"/>
            </w:tcBorders>
            <w:shd w:val="clear" w:color="FFFFFF" w:fill="FFFFFF"/>
            <w:vAlign w:val="bottom"/>
          </w:tcPr>
          <w:p w14:paraId="5A998306"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single" w:sz="4" w:space="0" w:color="auto"/>
              <w:left w:val="nil"/>
              <w:bottom w:val="single" w:sz="4" w:space="0" w:color="auto"/>
              <w:right w:val="nil"/>
            </w:tcBorders>
            <w:shd w:val="clear" w:color="FFFFFF" w:fill="FFFFFF"/>
            <w:vAlign w:val="bottom"/>
          </w:tcPr>
          <w:p w14:paraId="4E445BB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54,150,239</w:t>
            </w:r>
          </w:p>
        </w:tc>
        <w:tc>
          <w:tcPr>
            <w:tcW w:w="1094" w:type="dxa"/>
            <w:tcBorders>
              <w:top w:val="single" w:sz="4" w:space="0" w:color="auto"/>
              <w:left w:val="nil"/>
              <w:bottom w:val="single" w:sz="4" w:space="0" w:color="auto"/>
              <w:right w:val="nil"/>
            </w:tcBorders>
            <w:shd w:val="clear" w:color="FFFFFF" w:fill="FFFFFF"/>
            <w:vAlign w:val="bottom"/>
          </w:tcPr>
          <w:p w14:paraId="2F80445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48,976,626</w:t>
            </w:r>
          </w:p>
        </w:tc>
        <w:tc>
          <w:tcPr>
            <w:tcW w:w="1094" w:type="dxa"/>
            <w:tcBorders>
              <w:top w:val="single" w:sz="4" w:space="0" w:color="auto"/>
              <w:left w:val="nil"/>
              <w:bottom w:val="single" w:sz="4" w:space="0" w:color="auto"/>
              <w:right w:val="nil"/>
            </w:tcBorders>
            <w:shd w:val="clear" w:color="FFFFFF" w:fill="FFFFFF"/>
            <w:vAlign w:val="bottom"/>
          </w:tcPr>
          <w:p w14:paraId="66CA9FE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52,685,639</w:t>
            </w:r>
          </w:p>
        </w:tc>
      </w:tr>
      <w:tr w:rsidR="005C6008" w:rsidRPr="00E10730" w14:paraId="28A71881" w14:textId="77777777">
        <w:trPr>
          <w:trHeight w:val="227"/>
        </w:trPr>
        <w:tc>
          <w:tcPr>
            <w:tcW w:w="4649" w:type="dxa"/>
            <w:tcBorders>
              <w:top w:val="nil"/>
              <w:left w:val="nil"/>
              <w:bottom w:val="nil"/>
              <w:right w:val="nil"/>
            </w:tcBorders>
            <w:shd w:val="clear" w:color="FFFFFF" w:fill="FFFFFF"/>
            <w:vAlign w:val="bottom"/>
          </w:tcPr>
          <w:p w14:paraId="01D75D08"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nil"/>
              <w:right w:val="nil"/>
            </w:tcBorders>
            <w:shd w:val="clear" w:color="FFFFFF" w:fill="FFFFFF"/>
            <w:vAlign w:val="bottom"/>
          </w:tcPr>
          <w:p w14:paraId="3E18A7BD"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52E7E177"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24C180FA"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2E7DBC21"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0C5F5D58" w14:textId="77777777">
        <w:trPr>
          <w:trHeight w:val="250"/>
        </w:trPr>
        <w:tc>
          <w:tcPr>
            <w:tcW w:w="4649" w:type="dxa"/>
            <w:tcBorders>
              <w:top w:val="nil"/>
              <w:left w:val="nil"/>
              <w:bottom w:val="nil"/>
              <w:right w:val="nil"/>
            </w:tcBorders>
            <w:shd w:val="clear" w:color="FFFFFF" w:fill="FFFFFF"/>
            <w:vAlign w:val="bottom"/>
          </w:tcPr>
          <w:p w14:paraId="2D63D08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OWN-SOURCE INCOME</w:t>
            </w:r>
          </w:p>
        </w:tc>
        <w:tc>
          <w:tcPr>
            <w:tcW w:w="1134" w:type="dxa"/>
            <w:tcBorders>
              <w:top w:val="nil"/>
              <w:left w:val="nil"/>
              <w:bottom w:val="nil"/>
              <w:right w:val="nil"/>
            </w:tcBorders>
            <w:shd w:val="clear" w:color="FFFFFF" w:fill="FFFFFF"/>
            <w:vAlign w:val="bottom"/>
          </w:tcPr>
          <w:p w14:paraId="69437F57"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5D792490"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0B7CA11A"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473D0E6E"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7B974174" w14:textId="77777777">
        <w:trPr>
          <w:trHeight w:val="250"/>
        </w:trPr>
        <w:tc>
          <w:tcPr>
            <w:tcW w:w="4649" w:type="dxa"/>
            <w:tcBorders>
              <w:top w:val="nil"/>
              <w:left w:val="nil"/>
              <w:bottom w:val="nil"/>
              <w:right w:val="nil"/>
            </w:tcBorders>
            <w:shd w:val="clear" w:color="FFFFFF" w:fill="FFFFFF"/>
            <w:vAlign w:val="bottom"/>
          </w:tcPr>
          <w:p w14:paraId="418CA21B"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Own-source revenue</w:t>
            </w:r>
          </w:p>
        </w:tc>
        <w:tc>
          <w:tcPr>
            <w:tcW w:w="1134" w:type="dxa"/>
            <w:tcBorders>
              <w:top w:val="nil"/>
              <w:left w:val="nil"/>
              <w:bottom w:val="nil"/>
              <w:right w:val="nil"/>
            </w:tcBorders>
            <w:shd w:val="clear" w:color="FFFFFF" w:fill="FFFFFF"/>
            <w:vAlign w:val="bottom"/>
          </w:tcPr>
          <w:p w14:paraId="4B33B4EF"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19B10779"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37786DD9"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221ADCD9"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6C9BA76E" w14:textId="77777777">
        <w:trPr>
          <w:trHeight w:val="250"/>
        </w:trPr>
        <w:tc>
          <w:tcPr>
            <w:tcW w:w="4649" w:type="dxa"/>
            <w:tcBorders>
              <w:top w:val="nil"/>
              <w:left w:val="nil"/>
              <w:bottom w:val="nil"/>
              <w:right w:val="nil"/>
            </w:tcBorders>
            <w:shd w:val="clear" w:color="FFFFFF" w:fill="FFFFFF"/>
            <w:vAlign w:val="bottom"/>
          </w:tcPr>
          <w:p w14:paraId="74B6EA0F"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Rendering of services</w:t>
            </w:r>
          </w:p>
        </w:tc>
        <w:tc>
          <w:tcPr>
            <w:tcW w:w="1134" w:type="dxa"/>
            <w:tcBorders>
              <w:top w:val="nil"/>
              <w:left w:val="nil"/>
              <w:bottom w:val="nil"/>
              <w:right w:val="nil"/>
            </w:tcBorders>
            <w:shd w:val="clear" w:color="FFFFFF" w:fill="FFFFFF"/>
            <w:vAlign w:val="bottom"/>
          </w:tcPr>
          <w:p w14:paraId="283E4972"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1.2A</w:t>
            </w:r>
          </w:p>
        </w:tc>
        <w:tc>
          <w:tcPr>
            <w:tcW w:w="1094" w:type="dxa"/>
            <w:tcBorders>
              <w:top w:val="nil"/>
              <w:left w:val="nil"/>
              <w:bottom w:val="nil"/>
              <w:right w:val="nil"/>
            </w:tcBorders>
            <w:shd w:val="clear" w:color="FFFFFF" w:fill="FFFFFF"/>
            <w:vAlign w:val="bottom"/>
          </w:tcPr>
          <w:p w14:paraId="789467F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50,308,151</w:t>
            </w:r>
          </w:p>
        </w:tc>
        <w:tc>
          <w:tcPr>
            <w:tcW w:w="1094" w:type="dxa"/>
            <w:tcBorders>
              <w:top w:val="nil"/>
              <w:left w:val="nil"/>
              <w:bottom w:val="nil"/>
              <w:right w:val="nil"/>
            </w:tcBorders>
            <w:shd w:val="clear" w:color="FFFFFF" w:fill="FFFFFF"/>
            <w:vAlign w:val="bottom"/>
          </w:tcPr>
          <w:p w14:paraId="7065487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45,217,958</w:t>
            </w:r>
          </w:p>
        </w:tc>
        <w:tc>
          <w:tcPr>
            <w:tcW w:w="1094" w:type="dxa"/>
            <w:tcBorders>
              <w:top w:val="nil"/>
              <w:left w:val="nil"/>
              <w:bottom w:val="nil"/>
              <w:right w:val="nil"/>
            </w:tcBorders>
            <w:shd w:val="clear" w:color="FFFFFF" w:fill="FFFFFF"/>
            <w:vAlign w:val="bottom"/>
          </w:tcPr>
          <w:p w14:paraId="789AFAF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48,961,638</w:t>
            </w:r>
          </w:p>
        </w:tc>
      </w:tr>
      <w:tr w:rsidR="005C6008" w:rsidRPr="00E10730" w14:paraId="4398E6B9" w14:textId="77777777">
        <w:trPr>
          <w:trHeight w:val="250"/>
        </w:trPr>
        <w:tc>
          <w:tcPr>
            <w:tcW w:w="4649" w:type="dxa"/>
            <w:tcBorders>
              <w:top w:val="nil"/>
              <w:left w:val="nil"/>
              <w:bottom w:val="nil"/>
              <w:right w:val="nil"/>
            </w:tcBorders>
            <w:shd w:val="clear" w:color="FFFFFF" w:fill="FFFFFF"/>
            <w:vAlign w:val="bottom"/>
          </w:tcPr>
          <w:p w14:paraId="2A7319FA"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Interest</w:t>
            </w:r>
          </w:p>
        </w:tc>
        <w:tc>
          <w:tcPr>
            <w:tcW w:w="1134" w:type="dxa"/>
            <w:tcBorders>
              <w:top w:val="nil"/>
              <w:left w:val="nil"/>
              <w:bottom w:val="nil"/>
              <w:right w:val="nil"/>
            </w:tcBorders>
            <w:shd w:val="clear" w:color="FFFFFF" w:fill="FFFFFF"/>
            <w:vAlign w:val="bottom"/>
          </w:tcPr>
          <w:p w14:paraId="1CB85EC5"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681861F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488,166</w:t>
            </w:r>
          </w:p>
        </w:tc>
        <w:tc>
          <w:tcPr>
            <w:tcW w:w="1094" w:type="dxa"/>
            <w:tcBorders>
              <w:top w:val="nil"/>
              <w:left w:val="nil"/>
              <w:bottom w:val="nil"/>
              <w:right w:val="nil"/>
            </w:tcBorders>
            <w:shd w:val="clear" w:color="FFFFFF" w:fill="FFFFFF"/>
            <w:vAlign w:val="bottom"/>
          </w:tcPr>
          <w:p w14:paraId="0A7315A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503,159</w:t>
            </w:r>
          </w:p>
        </w:tc>
        <w:tc>
          <w:tcPr>
            <w:tcW w:w="1094" w:type="dxa"/>
            <w:tcBorders>
              <w:top w:val="nil"/>
              <w:left w:val="nil"/>
              <w:bottom w:val="nil"/>
              <w:right w:val="nil"/>
            </w:tcBorders>
            <w:shd w:val="clear" w:color="FFFFFF" w:fill="FFFFFF"/>
            <w:vAlign w:val="bottom"/>
          </w:tcPr>
          <w:p w14:paraId="7C116D3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428,038</w:t>
            </w:r>
          </w:p>
        </w:tc>
      </w:tr>
      <w:tr w:rsidR="005C6008" w:rsidRPr="00E10730" w14:paraId="0A0EAE7F" w14:textId="77777777">
        <w:trPr>
          <w:trHeight w:val="250"/>
        </w:trPr>
        <w:tc>
          <w:tcPr>
            <w:tcW w:w="4649" w:type="dxa"/>
            <w:tcBorders>
              <w:top w:val="nil"/>
              <w:left w:val="nil"/>
              <w:bottom w:val="nil"/>
              <w:right w:val="nil"/>
            </w:tcBorders>
            <w:shd w:val="clear" w:color="FFFFFF" w:fill="FFFFFF"/>
            <w:vAlign w:val="bottom"/>
          </w:tcPr>
          <w:p w14:paraId="5BD82325"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Rental income</w:t>
            </w:r>
          </w:p>
        </w:tc>
        <w:tc>
          <w:tcPr>
            <w:tcW w:w="1134" w:type="dxa"/>
            <w:tcBorders>
              <w:top w:val="nil"/>
              <w:left w:val="nil"/>
              <w:bottom w:val="nil"/>
              <w:right w:val="nil"/>
            </w:tcBorders>
            <w:shd w:val="clear" w:color="FFFFFF" w:fill="FFFFFF"/>
            <w:vAlign w:val="bottom"/>
          </w:tcPr>
          <w:p w14:paraId="0DC9176A"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1.2B</w:t>
            </w:r>
          </w:p>
        </w:tc>
        <w:tc>
          <w:tcPr>
            <w:tcW w:w="1094" w:type="dxa"/>
            <w:tcBorders>
              <w:top w:val="nil"/>
              <w:left w:val="nil"/>
              <w:bottom w:val="nil"/>
              <w:right w:val="nil"/>
            </w:tcBorders>
            <w:shd w:val="clear" w:color="FFFFFF" w:fill="FFFFFF"/>
            <w:vAlign w:val="bottom"/>
          </w:tcPr>
          <w:p w14:paraId="7693F03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618</w:t>
            </w:r>
          </w:p>
        </w:tc>
        <w:tc>
          <w:tcPr>
            <w:tcW w:w="1094" w:type="dxa"/>
            <w:tcBorders>
              <w:top w:val="nil"/>
              <w:left w:val="nil"/>
              <w:bottom w:val="nil"/>
              <w:right w:val="nil"/>
            </w:tcBorders>
            <w:shd w:val="clear" w:color="FFFFFF" w:fill="FFFFFF"/>
            <w:vAlign w:val="bottom"/>
          </w:tcPr>
          <w:p w14:paraId="2474068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468</w:t>
            </w:r>
          </w:p>
        </w:tc>
        <w:tc>
          <w:tcPr>
            <w:tcW w:w="1094" w:type="dxa"/>
            <w:tcBorders>
              <w:top w:val="nil"/>
              <w:left w:val="nil"/>
              <w:bottom w:val="nil"/>
              <w:right w:val="nil"/>
            </w:tcBorders>
            <w:shd w:val="clear" w:color="FFFFFF" w:fill="FFFFFF"/>
            <w:vAlign w:val="bottom"/>
          </w:tcPr>
          <w:p w14:paraId="122AABD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r>
      <w:tr w:rsidR="005C6008" w:rsidRPr="00E10730" w14:paraId="38AEA2F8" w14:textId="77777777">
        <w:trPr>
          <w:trHeight w:val="250"/>
        </w:trPr>
        <w:tc>
          <w:tcPr>
            <w:tcW w:w="4649" w:type="dxa"/>
            <w:tcBorders>
              <w:top w:val="nil"/>
              <w:left w:val="nil"/>
              <w:bottom w:val="nil"/>
              <w:right w:val="nil"/>
            </w:tcBorders>
            <w:shd w:val="clear" w:color="FFFFFF" w:fill="FFFFFF"/>
            <w:vAlign w:val="bottom"/>
          </w:tcPr>
          <w:p w14:paraId="704906BD"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Other revenue</w:t>
            </w:r>
          </w:p>
        </w:tc>
        <w:tc>
          <w:tcPr>
            <w:tcW w:w="1134" w:type="dxa"/>
            <w:tcBorders>
              <w:top w:val="nil"/>
              <w:left w:val="nil"/>
              <w:bottom w:val="nil"/>
              <w:right w:val="nil"/>
            </w:tcBorders>
            <w:shd w:val="clear" w:color="FFFFFF" w:fill="FFFFFF"/>
            <w:vAlign w:val="bottom"/>
          </w:tcPr>
          <w:p w14:paraId="3C94813D"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1.2C</w:t>
            </w:r>
          </w:p>
        </w:tc>
        <w:tc>
          <w:tcPr>
            <w:tcW w:w="1094" w:type="dxa"/>
            <w:tcBorders>
              <w:top w:val="nil"/>
              <w:left w:val="nil"/>
              <w:bottom w:val="nil"/>
              <w:right w:val="nil"/>
            </w:tcBorders>
            <w:shd w:val="clear" w:color="FFFFFF" w:fill="FFFFFF"/>
            <w:vAlign w:val="bottom"/>
          </w:tcPr>
          <w:p w14:paraId="282ECF5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1,060,961</w:t>
            </w:r>
          </w:p>
        </w:tc>
        <w:tc>
          <w:tcPr>
            <w:tcW w:w="1094" w:type="dxa"/>
            <w:tcBorders>
              <w:top w:val="nil"/>
              <w:left w:val="nil"/>
              <w:bottom w:val="nil"/>
              <w:right w:val="nil"/>
            </w:tcBorders>
            <w:shd w:val="clear" w:color="FFFFFF" w:fill="FFFFFF"/>
            <w:vAlign w:val="bottom"/>
          </w:tcPr>
          <w:p w14:paraId="26D3F4D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997,556</w:t>
            </w:r>
          </w:p>
        </w:tc>
        <w:tc>
          <w:tcPr>
            <w:tcW w:w="1094" w:type="dxa"/>
            <w:tcBorders>
              <w:top w:val="nil"/>
              <w:left w:val="nil"/>
              <w:bottom w:val="nil"/>
              <w:right w:val="nil"/>
            </w:tcBorders>
            <w:shd w:val="clear" w:color="FFFFFF" w:fill="FFFFFF"/>
            <w:vAlign w:val="bottom"/>
          </w:tcPr>
          <w:p w14:paraId="2C64F8E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30,000</w:t>
            </w:r>
          </w:p>
        </w:tc>
      </w:tr>
      <w:tr w:rsidR="005C6008" w:rsidRPr="00E10730" w14:paraId="6E16A982" w14:textId="77777777">
        <w:trPr>
          <w:trHeight w:val="250"/>
        </w:trPr>
        <w:tc>
          <w:tcPr>
            <w:tcW w:w="4649" w:type="dxa"/>
            <w:tcBorders>
              <w:top w:val="nil"/>
              <w:left w:val="nil"/>
              <w:bottom w:val="nil"/>
              <w:right w:val="nil"/>
            </w:tcBorders>
            <w:shd w:val="clear" w:color="FFFFFF" w:fill="FFFFFF"/>
            <w:vAlign w:val="bottom"/>
          </w:tcPr>
          <w:p w14:paraId="1EAEDC23"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own-source revenue</w:t>
            </w:r>
          </w:p>
        </w:tc>
        <w:tc>
          <w:tcPr>
            <w:tcW w:w="1134" w:type="dxa"/>
            <w:tcBorders>
              <w:top w:val="nil"/>
              <w:left w:val="nil"/>
              <w:bottom w:val="nil"/>
              <w:right w:val="nil"/>
            </w:tcBorders>
            <w:shd w:val="clear" w:color="FFFFFF" w:fill="FFFFFF"/>
            <w:vAlign w:val="bottom"/>
          </w:tcPr>
          <w:p w14:paraId="353FEE9A"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single" w:sz="4" w:space="0" w:color="auto"/>
              <w:left w:val="nil"/>
              <w:bottom w:val="single" w:sz="4" w:space="0" w:color="auto"/>
              <w:right w:val="nil"/>
            </w:tcBorders>
            <w:shd w:val="clear" w:color="FFFFFF" w:fill="FFFFFF"/>
            <w:vAlign w:val="bottom"/>
          </w:tcPr>
          <w:p w14:paraId="70B1532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51,857,896</w:t>
            </w:r>
          </w:p>
        </w:tc>
        <w:tc>
          <w:tcPr>
            <w:tcW w:w="1094" w:type="dxa"/>
            <w:tcBorders>
              <w:top w:val="single" w:sz="4" w:space="0" w:color="auto"/>
              <w:left w:val="nil"/>
              <w:bottom w:val="single" w:sz="4" w:space="0" w:color="auto"/>
              <w:right w:val="nil"/>
            </w:tcBorders>
            <w:shd w:val="clear" w:color="FFFFFF" w:fill="FFFFFF"/>
            <w:vAlign w:val="bottom"/>
          </w:tcPr>
          <w:p w14:paraId="5DCFC46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46,719,141</w:t>
            </w:r>
          </w:p>
        </w:tc>
        <w:tc>
          <w:tcPr>
            <w:tcW w:w="1094" w:type="dxa"/>
            <w:tcBorders>
              <w:top w:val="single" w:sz="4" w:space="0" w:color="auto"/>
              <w:left w:val="nil"/>
              <w:bottom w:val="single" w:sz="4" w:space="0" w:color="auto"/>
              <w:right w:val="nil"/>
            </w:tcBorders>
            <w:shd w:val="clear" w:color="FFFFFF" w:fill="FFFFFF"/>
            <w:vAlign w:val="bottom"/>
          </w:tcPr>
          <w:p w14:paraId="06AE76F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49,419,676</w:t>
            </w:r>
          </w:p>
        </w:tc>
      </w:tr>
      <w:tr w:rsidR="005C6008" w:rsidRPr="00E10730" w14:paraId="5AB03BDA" w14:textId="77777777">
        <w:trPr>
          <w:trHeight w:val="250"/>
        </w:trPr>
        <w:tc>
          <w:tcPr>
            <w:tcW w:w="4649" w:type="dxa"/>
            <w:tcBorders>
              <w:top w:val="nil"/>
              <w:left w:val="nil"/>
              <w:bottom w:val="nil"/>
              <w:right w:val="nil"/>
            </w:tcBorders>
            <w:shd w:val="clear" w:color="FFFFFF" w:fill="FFFFFF"/>
            <w:vAlign w:val="bottom"/>
          </w:tcPr>
          <w:p w14:paraId="7671E0E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nil"/>
              <w:right w:val="nil"/>
            </w:tcBorders>
            <w:shd w:val="clear" w:color="FFFFFF" w:fill="FFFFFF"/>
            <w:vAlign w:val="bottom"/>
          </w:tcPr>
          <w:p w14:paraId="09CCECEF"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15AA5489"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4279B8BA"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52B090CF"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4C4E1AA2" w14:textId="77777777">
        <w:trPr>
          <w:trHeight w:val="250"/>
        </w:trPr>
        <w:tc>
          <w:tcPr>
            <w:tcW w:w="4649" w:type="dxa"/>
            <w:tcBorders>
              <w:top w:val="nil"/>
              <w:left w:val="nil"/>
              <w:bottom w:val="nil"/>
              <w:right w:val="nil"/>
            </w:tcBorders>
            <w:shd w:val="clear" w:color="FFFFFF" w:fill="FFFFFF"/>
            <w:vAlign w:val="bottom"/>
          </w:tcPr>
          <w:p w14:paraId="35F4EE31"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Gains</w:t>
            </w:r>
          </w:p>
        </w:tc>
        <w:tc>
          <w:tcPr>
            <w:tcW w:w="1134" w:type="dxa"/>
            <w:tcBorders>
              <w:top w:val="nil"/>
              <w:left w:val="nil"/>
              <w:bottom w:val="nil"/>
              <w:right w:val="nil"/>
            </w:tcBorders>
            <w:shd w:val="clear" w:color="FFFFFF" w:fill="FFFFFF"/>
            <w:vAlign w:val="bottom"/>
          </w:tcPr>
          <w:p w14:paraId="10629908"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31958978"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50C797F6"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141D8A44"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185CF734" w14:textId="77777777">
        <w:trPr>
          <w:trHeight w:val="250"/>
        </w:trPr>
        <w:tc>
          <w:tcPr>
            <w:tcW w:w="4649" w:type="dxa"/>
            <w:tcBorders>
              <w:top w:val="nil"/>
              <w:left w:val="nil"/>
              <w:bottom w:val="nil"/>
              <w:right w:val="nil"/>
            </w:tcBorders>
            <w:shd w:val="clear" w:color="FFFFFF" w:fill="FFFFFF"/>
            <w:vAlign w:val="bottom"/>
          </w:tcPr>
          <w:p w14:paraId="6B60A113"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Other gains</w:t>
            </w:r>
          </w:p>
        </w:tc>
        <w:tc>
          <w:tcPr>
            <w:tcW w:w="1134" w:type="dxa"/>
            <w:tcBorders>
              <w:top w:val="nil"/>
              <w:left w:val="nil"/>
              <w:bottom w:val="nil"/>
              <w:right w:val="nil"/>
            </w:tcBorders>
            <w:shd w:val="clear" w:color="FFFFFF" w:fill="FFFFFF"/>
            <w:vAlign w:val="bottom"/>
          </w:tcPr>
          <w:p w14:paraId="75104924"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1.2D</w:t>
            </w:r>
          </w:p>
        </w:tc>
        <w:tc>
          <w:tcPr>
            <w:tcW w:w="1094" w:type="dxa"/>
            <w:tcBorders>
              <w:top w:val="nil"/>
              <w:left w:val="nil"/>
              <w:bottom w:val="nil"/>
              <w:right w:val="nil"/>
            </w:tcBorders>
            <w:shd w:val="clear" w:color="FFFFFF" w:fill="FFFFFF"/>
            <w:vAlign w:val="bottom"/>
          </w:tcPr>
          <w:p w14:paraId="0CD2D20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88,674</w:t>
            </w:r>
          </w:p>
        </w:tc>
        <w:tc>
          <w:tcPr>
            <w:tcW w:w="1094" w:type="dxa"/>
            <w:tcBorders>
              <w:top w:val="nil"/>
              <w:left w:val="nil"/>
              <w:bottom w:val="nil"/>
              <w:right w:val="nil"/>
            </w:tcBorders>
            <w:shd w:val="clear" w:color="FFFFFF" w:fill="FFFFFF"/>
            <w:vAlign w:val="bottom"/>
          </w:tcPr>
          <w:p w14:paraId="0ECF47C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107,043</w:t>
            </w:r>
          </w:p>
        </w:tc>
        <w:tc>
          <w:tcPr>
            <w:tcW w:w="1094" w:type="dxa"/>
            <w:tcBorders>
              <w:top w:val="nil"/>
              <w:left w:val="nil"/>
              <w:bottom w:val="nil"/>
              <w:right w:val="nil"/>
            </w:tcBorders>
            <w:shd w:val="clear" w:color="FFFFFF" w:fill="FFFFFF"/>
            <w:vAlign w:val="bottom"/>
          </w:tcPr>
          <w:p w14:paraId="410282B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867,280</w:t>
            </w:r>
          </w:p>
        </w:tc>
      </w:tr>
      <w:tr w:rsidR="005C6008" w:rsidRPr="00E10730" w14:paraId="317B9599" w14:textId="77777777">
        <w:trPr>
          <w:trHeight w:val="250"/>
        </w:trPr>
        <w:tc>
          <w:tcPr>
            <w:tcW w:w="4649" w:type="dxa"/>
            <w:tcBorders>
              <w:top w:val="nil"/>
              <w:left w:val="nil"/>
              <w:bottom w:val="nil"/>
              <w:right w:val="nil"/>
            </w:tcBorders>
            <w:shd w:val="clear" w:color="FFFFFF" w:fill="FFFFFF"/>
            <w:vAlign w:val="bottom"/>
          </w:tcPr>
          <w:p w14:paraId="41844821"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gains</w:t>
            </w:r>
          </w:p>
        </w:tc>
        <w:tc>
          <w:tcPr>
            <w:tcW w:w="1134" w:type="dxa"/>
            <w:tcBorders>
              <w:top w:val="nil"/>
              <w:left w:val="nil"/>
              <w:bottom w:val="nil"/>
              <w:right w:val="nil"/>
            </w:tcBorders>
            <w:shd w:val="clear" w:color="FFFFFF" w:fill="FFFFFF"/>
            <w:vAlign w:val="bottom"/>
          </w:tcPr>
          <w:p w14:paraId="0ACFE359"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single" w:sz="4" w:space="0" w:color="auto"/>
              <w:left w:val="nil"/>
              <w:bottom w:val="single" w:sz="4" w:space="0" w:color="auto"/>
              <w:right w:val="nil"/>
            </w:tcBorders>
            <w:shd w:val="clear" w:color="FFFFFF" w:fill="FFFFFF"/>
            <w:vAlign w:val="bottom"/>
          </w:tcPr>
          <w:p w14:paraId="64517A2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88,674</w:t>
            </w:r>
          </w:p>
        </w:tc>
        <w:tc>
          <w:tcPr>
            <w:tcW w:w="1094" w:type="dxa"/>
            <w:tcBorders>
              <w:top w:val="single" w:sz="4" w:space="0" w:color="auto"/>
              <w:left w:val="nil"/>
              <w:bottom w:val="single" w:sz="4" w:space="0" w:color="auto"/>
              <w:right w:val="nil"/>
            </w:tcBorders>
            <w:shd w:val="clear" w:color="FFFFFF" w:fill="FFFFFF"/>
            <w:vAlign w:val="bottom"/>
          </w:tcPr>
          <w:p w14:paraId="24C7826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107,043</w:t>
            </w:r>
          </w:p>
        </w:tc>
        <w:tc>
          <w:tcPr>
            <w:tcW w:w="1094" w:type="dxa"/>
            <w:tcBorders>
              <w:top w:val="single" w:sz="4" w:space="0" w:color="auto"/>
              <w:left w:val="nil"/>
              <w:bottom w:val="single" w:sz="4" w:space="0" w:color="auto"/>
              <w:right w:val="nil"/>
            </w:tcBorders>
            <w:shd w:val="clear" w:color="FFFFFF" w:fill="FFFFFF"/>
            <w:vAlign w:val="bottom"/>
          </w:tcPr>
          <w:p w14:paraId="14E1B22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867,280</w:t>
            </w:r>
          </w:p>
        </w:tc>
      </w:tr>
      <w:tr w:rsidR="005C6008" w:rsidRPr="00E10730" w14:paraId="556C5BA4" w14:textId="77777777">
        <w:trPr>
          <w:trHeight w:val="250"/>
        </w:trPr>
        <w:tc>
          <w:tcPr>
            <w:tcW w:w="4649" w:type="dxa"/>
            <w:tcBorders>
              <w:top w:val="nil"/>
              <w:left w:val="nil"/>
              <w:bottom w:val="nil"/>
              <w:right w:val="nil"/>
            </w:tcBorders>
            <w:shd w:val="clear" w:color="FFFFFF" w:fill="FFFFFF"/>
            <w:vAlign w:val="bottom"/>
          </w:tcPr>
          <w:p w14:paraId="6D26E0DA" w14:textId="77777777" w:rsidR="005C6008" w:rsidRPr="00E10730" w:rsidRDefault="005C6008" w:rsidP="00115FA3">
            <w:pPr>
              <w:autoSpaceDE w:val="0"/>
              <w:autoSpaceDN w:val="0"/>
              <w:adjustRightInd w:val="0"/>
              <w:spacing w:after="0" w:line="240" w:lineRule="auto"/>
              <w:ind w:left="220"/>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nil"/>
              <w:right w:val="nil"/>
            </w:tcBorders>
            <w:shd w:val="clear" w:color="FFFFFF" w:fill="FFFFFF"/>
            <w:vAlign w:val="bottom"/>
          </w:tcPr>
          <w:p w14:paraId="078CF5F9"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45C4FECA"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316F611A"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18ECF47F"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4CA39048" w14:textId="77777777">
        <w:trPr>
          <w:trHeight w:val="250"/>
        </w:trPr>
        <w:tc>
          <w:tcPr>
            <w:tcW w:w="4649" w:type="dxa"/>
            <w:tcBorders>
              <w:top w:val="nil"/>
              <w:left w:val="nil"/>
              <w:bottom w:val="nil"/>
              <w:right w:val="nil"/>
            </w:tcBorders>
            <w:shd w:val="clear" w:color="FFFFFF" w:fill="FFFFFF"/>
            <w:vAlign w:val="bottom"/>
          </w:tcPr>
          <w:p w14:paraId="39048290"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own-source income</w:t>
            </w:r>
          </w:p>
        </w:tc>
        <w:tc>
          <w:tcPr>
            <w:tcW w:w="1134" w:type="dxa"/>
            <w:tcBorders>
              <w:top w:val="nil"/>
              <w:left w:val="nil"/>
              <w:bottom w:val="nil"/>
              <w:right w:val="nil"/>
            </w:tcBorders>
            <w:shd w:val="clear" w:color="FFFFFF" w:fill="FFFFFF"/>
            <w:vAlign w:val="bottom"/>
          </w:tcPr>
          <w:p w14:paraId="7D119BEF"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single" w:sz="4" w:space="0" w:color="auto"/>
              <w:left w:val="nil"/>
              <w:bottom w:val="single" w:sz="4" w:space="0" w:color="auto"/>
              <w:right w:val="nil"/>
            </w:tcBorders>
            <w:shd w:val="clear" w:color="FFFFFF" w:fill="FFFFFF"/>
            <w:vAlign w:val="bottom"/>
          </w:tcPr>
          <w:p w14:paraId="279826E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51,946,570</w:t>
            </w:r>
          </w:p>
        </w:tc>
        <w:tc>
          <w:tcPr>
            <w:tcW w:w="1094" w:type="dxa"/>
            <w:tcBorders>
              <w:top w:val="single" w:sz="4" w:space="0" w:color="auto"/>
              <w:left w:val="nil"/>
              <w:bottom w:val="single" w:sz="4" w:space="0" w:color="auto"/>
              <w:right w:val="nil"/>
            </w:tcBorders>
            <w:shd w:val="clear" w:color="FFFFFF" w:fill="FFFFFF"/>
            <w:vAlign w:val="bottom"/>
          </w:tcPr>
          <w:p w14:paraId="1319F26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46,826,184</w:t>
            </w:r>
          </w:p>
        </w:tc>
        <w:tc>
          <w:tcPr>
            <w:tcW w:w="1094" w:type="dxa"/>
            <w:tcBorders>
              <w:top w:val="single" w:sz="4" w:space="0" w:color="auto"/>
              <w:left w:val="nil"/>
              <w:bottom w:val="single" w:sz="4" w:space="0" w:color="auto"/>
              <w:right w:val="nil"/>
            </w:tcBorders>
            <w:shd w:val="clear" w:color="FFFFFF" w:fill="FFFFFF"/>
            <w:vAlign w:val="bottom"/>
          </w:tcPr>
          <w:p w14:paraId="6574CB2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50,286,956</w:t>
            </w:r>
          </w:p>
        </w:tc>
      </w:tr>
      <w:tr w:rsidR="005C6008" w:rsidRPr="00E10730" w14:paraId="465181A1" w14:textId="77777777">
        <w:trPr>
          <w:trHeight w:val="250"/>
        </w:trPr>
        <w:tc>
          <w:tcPr>
            <w:tcW w:w="4649" w:type="dxa"/>
            <w:tcBorders>
              <w:top w:val="nil"/>
              <w:left w:val="nil"/>
              <w:bottom w:val="nil"/>
              <w:right w:val="nil"/>
            </w:tcBorders>
            <w:shd w:val="clear" w:color="FFFFFF" w:fill="FFFFFF"/>
            <w:vAlign w:val="bottom"/>
          </w:tcPr>
          <w:p w14:paraId="39E2FB9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nil"/>
              <w:right w:val="nil"/>
            </w:tcBorders>
            <w:shd w:val="clear" w:color="FFFFFF" w:fill="FFFFFF"/>
            <w:vAlign w:val="bottom"/>
          </w:tcPr>
          <w:p w14:paraId="53D9A23F"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5F322A0B"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2283DC10"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379E1327"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6ADC693F" w14:textId="77777777">
        <w:trPr>
          <w:trHeight w:val="250"/>
        </w:trPr>
        <w:tc>
          <w:tcPr>
            <w:tcW w:w="4649" w:type="dxa"/>
            <w:tcBorders>
              <w:top w:val="nil"/>
              <w:left w:val="nil"/>
              <w:bottom w:val="nil"/>
              <w:right w:val="nil"/>
            </w:tcBorders>
            <w:shd w:val="clear" w:color="FFFFFF" w:fill="FFFFFF"/>
            <w:vAlign w:val="bottom"/>
          </w:tcPr>
          <w:p w14:paraId="3FE6DBC0"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Net (cost of)/contribution by services</w:t>
            </w:r>
          </w:p>
        </w:tc>
        <w:tc>
          <w:tcPr>
            <w:tcW w:w="1134" w:type="dxa"/>
            <w:tcBorders>
              <w:top w:val="nil"/>
              <w:left w:val="nil"/>
              <w:bottom w:val="nil"/>
              <w:right w:val="nil"/>
            </w:tcBorders>
            <w:shd w:val="clear" w:color="FFFFFF" w:fill="FFFFFF"/>
            <w:vAlign w:val="bottom"/>
          </w:tcPr>
          <w:p w14:paraId="16891B8F"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single" w:sz="4" w:space="0" w:color="auto"/>
              <w:left w:val="nil"/>
              <w:bottom w:val="single" w:sz="4" w:space="0" w:color="auto"/>
              <w:right w:val="nil"/>
            </w:tcBorders>
            <w:shd w:val="clear" w:color="FFFFFF" w:fill="FFFFFF"/>
            <w:vAlign w:val="bottom"/>
          </w:tcPr>
          <w:p w14:paraId="24F3096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(2,203,669)</w:t>
            </w:r>
          </w:p>
        </w:tc>
        <w:tc>
          <w:tcPr>
            <w:tcW w:w="1094" w:type="dxa"/>
            <w:tcBorders>
              <w:top w:val="single" w:sz="4" w:space="0" w:color="auto"/>
              <w:left w:val="nil"/>
              <w:bottom w:val="single" w:sz="4" w:space="0" w:color="auto"/>
              <w:right w:val="nil"/>
            </w:tcBorders>
            <w:shd w:val="clear" w:color="FFFFFF" w:fill="FFFFFF"/>
            <w:vAlign w:val="bottom"/>
          </w:tcPr>
          <w:p w14:paraId="1ABB8C3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(2,150,442)</w:t>
            </w:r>
          </w:p>
        </w:tc>
        <w:tc>
          <w:tcPr>
            <w:tcW w:w="1094" w:type="dxa"/>
            <w:tcBorders>
              <w:top w:val="single" w:sz="4" w:space="0" w:color="auto"/>
              <w:left w:val="nil"/>
              <w:bottom w:val="single" w:sz="4" w:space="0" w:color="auto"/>
              <w:right w:val="nil"/>
            </w:tcBorders>
            <w:shd w:val="clear" w:color="FFFFFF" w:fill="FFFFFF"/>
            <w:vAlign w:val="bottom"/>
          </w:tcPr>
          <w:p w14:paraId="27FE890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(2,398,683)</w:t>
            </w:r>
          </w:p>
        </w:tc>
      </w:tr>
      <w:tr w:rsidR="005C6008" w:rsidRPr="00E10730" w14:paraId="07D66C37" w14:textId="77777777">
        <w:trPr>
          <w:trHeight w:val="250"/>
        </w:trPr>
        <w:tc>
          <w:tcPr>
            <w:tcW w:w="4649" w:type="dxa"/>
            <w:tcBorders>
              <w:top w:val="nil"/>
              <w:left w:val="nil"/>
              <w:bottom w:val="nil"/>
              <w:right w:val="nil"/>
            </w:tcBorders>
            <w:shd w:val="clear" w:color="FFFFFF" w:fill="FFFFFF"/>
            <w:vAlign w:val="bottom"/>
          </w:tcPr>
          <w:p w14:paraId="24BE989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nil"/>
              <w:right w:val="nil"/>
            </w:tcBorders>
            <w:shd w:val="clear" w:color="FFFFFF" w:fill="FFFFFF"/>
            <w:vAlign w:val="bottom"/>
          </w:tcPr>
          <w:p w14:paraId="3EEF9DC3"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09840654"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28F378BE"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1F6BDBA8"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09596505" w14:textId="77777777">
        <w:trPr>
          <w:trHeight w:val="250"/>
        </w:trPr>
        <w:tc>
          <w:tcPr>
            <w:tcW w:w="4649" w:type="dxa"/>
            <w:tcBorders>
              <w:top w:val="nil"/>
              <w:left w:val="nil"/>
              <w:bottom w:val="nil"/>
              <w:right w:val="nil"/>
            </w:tcBorders>
            <w:shd w:val="clear" w:color="FFFFFF" w:fill="FFFFFF"/>
            <w:vAlign w:val="bottom"/>
          </w:tcPr>
          <w:p w14:paraId="48022597"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Revenue from Government</w:t>
            </w:r>
          </w:p>
        </w:tc>
        <w:tc>
          <w:tcPr>
            <w:tcW w:w="1134" w:type="dxa"/>
            <w:tcBorders>
              <w:top w:val="nil"/>
              <w:left w:val="nil"/>
              <w:bottom w:val="nil"/>
              <w:right w:val="nil"/>
            </w:tcBorders>
            <w:shd w:val="clear" w:color="FFFFFF" w:fill="FFFFFF"/>
            <w:vAlign w:val="bottom"/>
          </w:tcPr>
          <w:p w14:paraId="1568E0C2"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7383303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2,390,498</w:t>
            </w:r>
          </w:p>
        </w:tc>
        <w:tc>
          <w:tcPr>
            <w:tcW w:w="1094" w:type="dxa"/>
            <w:tcBorders>
              <w:top w:val="nil"/>
              <w:left w:val="nil"/>
              <w:bottom w:val="nil"/>
              <w:right w:val="nil"/>
            </w:tcBorders>
            <w:shd w:val="clear" w:color="FFFFFF" w:fill="FFFFFF"/>
            <w:vAlign w:val="bottom"/>
          </w:tcPr>
          <w:p w14:paraId="0ADDA19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2,252,660</w:t>
            </w:r>
          </w:p>
        </w:tc>
        <w:tc>
          <w:tcPr>
            <w:tcW w:w="1094" w:type="dxa"/>
            <w:tcBorders>
              <w:top w:val="nil"/>
              <w:left w:val="nil"/>
              <w:bottom w:val="nil"/>
              <w:right w:val="nil"/>
            </w:tcBorders>
            <w:shd w:val="clear" w:color="FFFFFF" w:fill="FFFFFF"/>
            <w:vAlign w:val="bottom"/>
          </w:tcPr>
          <w:p w14:paraId="738D288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2,428,247</w:t>
            </w:r>
          </w:p>
        </w:tc>
      </w:tr>
      <w:tr w:rsidR="005C6008" w:rsidRPr="00E10730" w14:paraId="6CA95CAE" w14:textId="77777777">
        <w:trPr>
          <w:trHeight w:val="250"/>
        </w:trPr>
        <w:tc>
          <w:tcPr>
            <w:tcW w:w="4649" w:type="dxa"/>
            <w:tcBorders>
              <w:top w:val="nil"/>
              <w:left w:val="nil"/>
              <w:bottom w:val="nil"/>
              <w:right w:val="nil"/>
            </w:tcBorders>
            <w:shd w:val="clear" w:color="FFFFFF" w:fill="FFFFFF"/>
            <w:vAlign w:val="bottom"/>
          </w:tcPr>
          <w:p w14:paraId="4585227E"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 xml:space="preserve">Surplus/(Deficit) </w:t>
            </w:r>
          </w:p>
        </w:tc>
        <w:tc>
          <w:tcPr>
            <w:tcW w:w="1134" w:type="dxa"/>
            <w:tcBorders>
              <w:top w:val="nil"/>
              <w:left w:val="nil"/>
              <w:bottom w:val="nil"/>
              <w:right w:val="nil"/>
            </w:tcBorders>
            <w:shd w:val="clear" w:color="FFFFFF" w:fill="FFFFFF"/>
            <w:vAlign w:val="bottom"/>
          </w:tcPr>
          <w:p w14:paraId="1F892606"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single" w:sz="4" w:space="0" w:color="auto"/>
              <w:left w:val="nil"/>
              <w:bottom w:val="single" w:sz="4" w:space="0" w:color="auto"/>
              <w:right w:val="nil"/>
            </w:tcBorders>
            <w:shd w:val="clear" w:color="FFFFFF" w:fill="FFFFFF"/>
            <w:vAlign w:val="bottom"/>
          </w:tcPr>
          <w:p w14:paraId="6B847D6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186,829</w:t>
            </w:r>
          </w:p>
        </w:tc>
        <w:tc>
          <w:tcPr>
            <w:tcW w:w="1094" w:type="dxa"/>
            <w:tcBorders>
              <w:top w:val="single" w:sz="4" w:space="0" w:color="auto"/>
              <w:left w:val="nil"/>
              <w:bottom w:val="single" w:sz="4" w:space="0" w:color="auto"/>
              <w:right w:val="nil"/>
            </w:tcBorders>
            <w:shd w:val="clear" w:color="FFFFFF" w:fill="FFFFFF"/>
            <w:vAlign w:val="bottom"/>
          </w:tcPr>
          <w:p w14:paraId="54CB043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102,218</w:t>
            </w:r>
          </w:p>
        </w:tc>
        <w:tc>
          <w:tcPr>
            <w:tcW w:w="1094" w:type="dxa"/>
            <w:tcBorders>
              <w:top w:val="single" w:sz="4" w:space="0" w:color="auto"/>
              <w:left w:val="nil"/>
              <w:bottom w:val="single" w:sz="4" w:space="0" w:color="auto"/>
              <w:right w:val="nil"/>
            </w:tcBorders>
            <w:shd w:val="clear" w:color="FFFFFF" w:fill="FFFFFF"/>
            <w:vAlign w:val="bottom"/>
          </w:tcPr>
          <w:p w14:paraId="0B6CEC1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29,564</w:t>
            </w:r>
          </w:p>
        </w:tc>
      </w:tr>
      <w:tr w:rsidR="005C6008" w:rsidRPr="00E10730" w14:paraId="0B272AF3" w14:textId="77777777">
        <w:trPr>
          <w:trHeight w:val="250"/>
        </w:trPr>
        <w:tc>
          <w:tcPr>
            <w:tcW w:w="4649" w:type="dxa"/>
            <w:tcBorders>
              <w:top w:val="nil"/>
              <w:left w:val="nil"/>
              <w:bottom w:val="nil"/>
              <w:right w:val="nil"/>
            </w:tcBorders>
            <w:shd w:val="clear" w:color="FFFFFF" w:fill="FFFFFF"/>
            <w:vAlign w:val="bottom"/>
          </w:tcPr>
          <w:p w14:paraId="38557FDD"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nil"/>
              <w:right w:val="nil"/>
            </w:tcBorders>
            <w:shd w:val="clear" w:color="FFFFFF" w:fill="FFFFFF"/>
            <w:vAlign w:val="bottom"/>
          </w:tcPr>
          <w:p w14:paraId="4317167B"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67C63450"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39D1D3C7"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41B656A7"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4FBF4C86" w14:textId="77777777">
        <w:trPr>
          <w:trHeight w:val="250"/>
        </w:trPr>
        <w:tc>
          <w:tcPr>
            <w:tcW w:w="4649" w:type="dxa"/>
            <w:tcBorders>
              <w:top w:val="nil"/>
              <w:left w:val="nil"/>
              <w:bottom w:val="nil"/>
              <w:right w:val="nil"/>
            </w:tcBorders>
            <w:shd w:val="clear" w:color="FFFFFF" w:fill="FFFFFF"/>
            <w:vAlign w:val="bottom"/>
          </w:tcPr>
          <w:p w14:paraId="78A75D6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OTHER COMPREHENSIVE INCOME</w:t>
            </w:r>
          </w:p>
        </w:tc>
        <w:tc>
          <w:tcPr>
            <w:tcW w:w="1134" w:type="dxa"/>
            <w:tcBorders>
              <w:top w:val="nil"/>
              <w:left w:val="nil"/>
              <w:bottom w:val="nil"/>
              <w:right w:val="nil"/>
            </w:tcBorders>
            <w:shd w:val="clear" w:color="FFFFFF" w:fill="FFFFFF"/>
            <w:vAlign w:val="bottom"/>
          </w:tcPr>
          <w:p w14:paraId="47B824CB"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7E6865DF"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06190BF5"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09EC77DF"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5B237ABB" w14:textId="77777777">
        <w:trPr>
          <w:trHeight w:val="460"/>
        </w:trPr>
        <w:tc>
          <w:tcPr>
            <w:tcW w:w="4649" w:type="dxa"/>
            <w:tcBorders>
              <w:top w:val="nil"/>
              <w:left w:val="nil"/>
              <w:bottom w:val="nil"/>
              <w:right w:val="nil"/>
            </w:tcBorders>
            <w:shd w:val="clear" w:color="FFFFFF" w:fill="FFFFFF"/>
            <w:vAlign w:val="bottom"/>
          </w:tcPr>
          <w:p w14:paraId="78E79874"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Items not subject to subsequent reclassification to net cost of services</w:t>
            </w:r>
          </w:p>
        </w:tc>
        <w:tc>
          <w:tcPr>
            <w:tcW w:w="1134" w:type="dxa"/>
            <w:tcBorders>
              <w:top w:val="nil"/>
              <w:left w:val="nil"/>
              <w:bottom w:val="nil"/>
              <w:right w:val="nil"/>
            </w:tcBorders>
            <w:shd w:val="clear" w:color="FFFFFF" w:fill="FFFFFF"/>
            <w:vAlign w:val="bottom"/>
          </w:tcPr>
          <w:p w14:paraId="67D089EE"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46486FF7"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63FC1DE9"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5A1462E9"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7D9F9CFD" w14:textId="77777777">
        <w:trPr>
          <w:trHeight w:val="250"/>
        </w:trPr>
        <w:tc>
          <w:tcPr>
            <w:tcW w:w="4649" w:type="dxa"/>
            <w:tcBorders>
              <w:top w:val="nil"/>
              <w:left w:val="nil"/>
              <w:bottom w:val="nil"/>
              <w:right w:val="nil"/>
            </w:tcBorders>
            <w:shd w:val="clear" w:color="FFFFFF" w:fill="FFFFFF"/>
            <w:vAlign w:val="bottom"/>
          </w:tcPr>
          <w:p w14:paraId="7B283BF6"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Changes in asset revaluation reserve</w:t>
            </w:r>
          </w:p>
        </w:tc>
        <w:tc>
          <w:tcPr>
            <w:tcW w:w="1134" w:type="dxa"/>
            <w:tcBorders>
              <w:top w:val="nil"/>
              <w:left w:val="nil"/>
              <w:bottom w:val="nil"/>
              <w:right w:val="nil"/>
            </w:tcBorders>
            <w:shd w:val="clear" w:color="FFFFFF" w:fill="FFFFFF"/>
            <w:vAlign w:val="bottom"/>
          </w:tcPr>
          <w:p w14:paraId="51913903"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4B45109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14,093</w:t>
            </w:r>
          </w:p>
        </w:tc>
        <w:tc>
          <w:tcPr>
            <w:tcW w:w="1094" w:type="dxa"/>
            <w:tcBorders>
              <w:top w:val="nil"/>
              <w:left w:val="nil"/>
              <w:bottom w:val="nil"/>
              <w:right w:val="nil"/>
            </w:tcBorders>
            <w:shd w:val="clear" w:color="FFFFFF" w:fill="FFFFFF"/>
            <w:vAlign w:val="bottom"/>
          </w:tcPr>
          <w:p w14:paraId="339B3FC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10,486</w:t>
            </w:r>
          </w:p>
        </w:tc>
        <w:tc>
          <w:tcPr>
            <w:tcW w:w="1094" w:type="dxa"/>
            <w:tcBorders>
              <w:top w:val="nil"/>
              <w:left w:val="nil"/>
              <w:bottom w:val="nil"/>
              <w:right w:val="nil"/>
            </w:tcBorders>
            <w:shd w:val="clear" w:color="FFFFFF" w:fill="FFFFFF"/>
            <w:vAlign w:val="bottom"/>
          </w:tcPr>
          <w:p w14:paraId="65EAD94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r>
      <w:tr w:rsidR="005C6008" w:rsidRPr="00E10730" w14:paraId="6BEB0A61" w14:textId="77777777">
        <w:trPr>
          <w:trHeight w:val="250"/>
        </w:trPr>
        <w:tc>
          <w:tcPr>
            <w:tcW w:w="4649" w:type="dxa"/>
            <w:tcBorders>
              <w:top w:val="nil"/>
              <w:left w:val="nil"/>
              <w:bottom w:val="nil"/>
              <w:right w:val="nil"/>
            </w:tcBorders>
            <w:shd w:val="clear" w:color="FFFFFF" w:fill="FFFFFF"/>
            <w:vAlign w:val="bottom"/>
          </w:tcPr>
          <w:p w14:paraId="6F568853"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other comprehensive income</w:t>
            </w:r>
          </w:p>
        </w:tc>
        <w:tc>
          <w:tcPr>
            <w:tcW w:w="1134" w:type="dxa"/>
            <w:tcBorders>
              <w:top w:val="nil"/>
              <w:left w:val="nil"/>
              <w:bottom w:val="nil"/>
              <w:right w:val="nil"/>
            </w:tcBorders>
            <w:shd w:val="clear" w:color="FFFFFF" w:fill="FFFFFF"/>
            <w:vAlign w:val="bottom"/>
          </w:tcPr>
          <w:p w14:paraId="65B8C013"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single" w:sz="4" w:space="0" w:color="auto"/>
              <w:left w:val="nil"/>
              <w:bottom w:val="single" w:sz="4" w:space="0" w:color="auto"/>
              <w:right w:val="nil"/>
            </w:tcBorders>
            <w:shd w:val="clear" w:color="FFFFFF" w:fill="FFFFFF"/>
            <w:vAlign w:val="bottom"/>
          </w:tcPr>
          <w:p w14:paraId="7BAD96B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14,093</w:t>
            </w:r>
          </w:p>
        </w:tc>
        <w:tc>
          <w:tcPr>
            <w:tcW w:w="1094" w:type="dxa"/>
            <w:tcBorders>
              <w:top w:val="single" w:sz="4" w:space="0" w:color="auto"/>
              <w:left w:val="nil"/>
              <w:bottom w:val="single" w:sz="4" w:space="0" w:color="auto"/>
              <w:right w:val="nil"/>
            </w:tcBorders>
            <w:shd w:val="clear" w:color="FFFFFF" w:fill="FFFFFF"/>
            <w:vAlign w:val="bottom"/>
          </w:tcPr>
          <w:p w14:paraId="4D7B769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10,486</w:t>
            </w:r>
          </w:p>
        </w:tc>
        <w:tc>
          <w:tcPr>
            <w:tcW w:w="1094" w:type="dxa"/>
            <w:tcBorders>
              <w:top w:val="single" w:sz="4" w:space="0" w:color="auto"/>
              <w:left w:val="nil"/>
              <w:bottom w:val="single" w:sz="4" w:space="0" w:color="auto"/>
              <w:right w:val="nil"/>
            </w:tcBorders>
            <w:shd w:val="clear" w:color="FFFFFF" w:fill="FFFFFF"/>
            <w:vAlign w:val="bottom"/>
          </w:tcPr>
          <w:p w14:paraId="148275B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r>
      <w:tr w:rsidR="005C6008" w:rsidRPr="00E10730" w14:paraId="3179C0DD" w14:textId="77777777">
        <w:trPr>
          <w:trHeight w:val="250"/>
        </w:trPr>
        <w:tc>
          <w:tcPr>
            <w:tcW w:w="4649" w:type="dxa"/>
            <w:tcBorders>
              <w:top w:val="nil"/>
              <w:left w:val="nil"/>
              <w:bottom w:val="nil"/>
              <w:right w:val="nil"/>
            </w:tcBorders>
            <w:shd w:val="clear" w:color="FFFFFF" w:fill="FFFFFF"/>
            <w:vAlign w:val="bottom"/>
          </w:tcPr>
          <w:p w14:paraId="32FA12B7"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nil"/>
              <w:right w:val="nil"/>
            </w:tcBorders>
            <w:shd w:val="clear" w:color="FFFFFF" w:fill="FFFFFF"/>
            <w:vAlign w:val="bottom"/>
          </w:tcPr>
          <w:p w14:paraId="3EACCA7A"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05E0758D"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4" w:type="dxa"/>
            <w:tcBorders>
              <w:top w:val="nil"/>
              <w:left w:val="nil"/>
              <w:bottom w:val="nil"/>
              <w:right w:val="nil"/>
            </w:tcBorders>
            <w:shd w:val="clear" w:color="FFFFFF" w:fill="FFFFFF"/>
            <w:vAlign w:val="bottom"/>
          </w:tcPr>
          <w:p w14:paraId="0F0A63CA"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4" w:type="dxa"/>
            <w:tcBorders>
              <w:top w:val="nil"/>
              <w:left w:val="nil"/>
              <w:bottom w:val="nil"/>
              <w:right w:val="nil"/>
            </w:tcBorders>
            <w:shd w:val="clear" w:color="FFFFFF" w:fill="FFFFFF"/>
            <w:vAlign w:val="bottom"/>
          </w:tcPr>
          <w:p w14:paraId="1CA2ED63"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784D73FD" w14:textId="77777777">
        <w:trPr>
          <w:trHeight w:val="250"/>
        </w:trPr>
        <w:tc>
          <w:tcPr>
            <w:tcW w:w="4649" w:type="dxa"/>
            <w:tcBorders>
              <w:top w:val="nil"/>
              <w:left w:val="nil"/>
              <w:bottom w:val="nil"/>
              <w:right w:val="nil"/>
            </w:tcBorders>
            <w:shd w:val="clear" w:color="FFFFFF" w:fill="FFFFFF"/>
            <w:vAlign w:val="bottom"/>
          </w:tcPr>
          <w:p w14:paraId="26E8A638"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comprehensive income/(loss)</w:t>
            </w:r>
          </w:p>
        </w:tc>
        <w:tc>
          <w:tcPr>
            <w:tcW w:w="1134" w:type="dxa"/>
            <w:tcBorders>
              <w:top w:val="nil"/>
              <w:left w:val="nil"/>
              <w:bottom w:val="nil"/>
              <w:right w:val="nil"/>
            </w:tcBorders>
            <w:shd w:val="clear" w:color="FFFFFF" w:fill="FFFFFF"/>
            <w:vAlign w:val="bottom"/>
          </w:tcPr>
          <w:p w14:paraId="463D7435"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4" w:type="dxa"/>
            <w:tcBorders>
              <w:top w:val="single" w:sz="4" w:space="0" w:color="auto"/>
              <w:left w:val="nil"/>
              <w:bottom w:val="single" w:sz="4" w:space="0" w:color="auto"/>
              <w:right w:val="nil"/>
            </w:tcBorders>
            <w:shd w:val="clear" w:color="FFFFFF" w:fill="FFFFFF"/>
            <w:vAlign w:val="bottom"/>
          </w:tcPr>
          <w:p w14:paraId="3E9FE22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200,922</w:t>
            </w:r>
          </w:p>
        </w:tc>
        <w:tc>
          <w:tcPr>
            <w:tcW w:w="1094" w:type="dxa"/>
            <w:tcBorders>
              <w:top w:val="single" w:sz="4" w:space="0" w:color="auto"/>
              <w:left w:val="nil"/>
              <w:bottom w:val="single" w:sz="4" w:space="0" w:color="auto"/>
              <w:right w:val="nil"/>
            </w:tcBorders>
            <w:shd w:val="clear" w:color="FFFFFF" w:fill="FFFFFF"/>
            <w:vAlign w:val="bottom"/>
          </w:tcPr>
          <w:p w14:paraId="16B2F3C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112,704</w:t>
            </w:r>
          </w:p>
        </w:tc>
        <w:tc>
          <w:tcPr>
            <w:tcW w:w="1094" w:type="dxa"/>
            <w:tcBorders>
              <w:top w:val="single" w:sz="4" w:space="0" w:color="auto"/>
              <w:left w:val="nil"/>
              <w:bottom w:val="single" w:sz="4" w:space="0" w:color="auto"/>
              <w:right w:val="nil"/>
            </w:tcBorders>
            <w:shd w:val="clear" w:color="FFFFFF" w:fill="FFFFFF"/>
            <w:vAlign w:val="bottom"/>
          </w:tcPr>
          <w:p w14:paraId="6A3E6FA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29,564</w:t>
            </w:r>
          </w:p>
        </w:tc>
      </w:tr>
    </w:tbl>
    <w:p w14:paraId="4E679E74" w14:textId="77777777" w:rsidR="005C6008" w:rsidRPr="00E10730" w:rsidRDefault="005C6008" w:rsidP="00D517E2">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The above statement should be read in conjunction with the accompanying notes.</w:t>
      </w:r>
    </w:p>
    <w:p w14:paraId="7836B78E" w14:textId="142B316D" w:rsidR="005C6008" w:rsidRPr="00E10730" w:rsidRDefault="005C6008" w:rsidP="00D517E2">
      <w:pPr>
        <w:autoSpaceDE w:val="0"/>
        <w:autoSpaceDN w:val="0"/>
        <w:adjustRightInd w:val="0"/>
        <w:spacing w:before="120" w:after="0" w:line="240" w:lineRule="auto"/>
        <w:rPr>
          <w:rFonts w:eastAsia="Calibri" w:cs="Arial"/>
          <w:sz w:val="18"/>
          <w:szCs w:val="18"/>
        </w:rPr>
      </w:pPr>
      <w:r w:rsidRPr="00E10730">
        <w:rPr>
          <w:rFonts w:eastAsia="Calibri" w:cs="Arial"/>
          <w:sz w:val="18"/>
          <w:szCs w:val="18"/>
          <w:vertAlign w:val="superscript"/>
        </w:rPr>
        <w:t xml:space="preserve">1 </w:t>
      </w:r>
      <w:r w:rsidRPr="00E10730">
        <w:rPr>
          <w:rFonts w:eastAsia="Calibri" w:cs="Arial"/>
          <w:sz w:val="18"/>
          <w:szCs w:val="18"/>
        </w:rPr>
        <w:t>Original Budget refers to the figures published in the 2025</w:t>
      </w:r>
      <w:r w:rsidR="007D5171" w:rsidRPr="00E10730">
        <w:rPr>
          <w:rFonts w:eastAsia="Calibri" w:cs="Arial"/>
          <w:sz w:val="18"/>
          <w:szCs w:val="18"/>
        </w:rPr>
        <w:t>–</w:t>
      </w:r>
      <w:r w:rsidRPr="00E10730">
        <w:rPr>
          <w:rFonts w:eastAsia="Calibri" w:cs="Arial"/>
          <w:sz w:val="18"/>
          <w:szCs w:val="18"/>
        </w:rPr>
        <w:t>26 Portfolio Budget Statements</w:t>
      </w:r>
      <w:r w:rsidR="00786ABE">
        <w:rPr>
          <w:rFonts w:eastAsia="Calibri" w:cs="Arial"/>
          <w:sz w:val="18"/>
          <w:szCs w:val="18"/>
        </w:rPr>
        <w:t>.</w:t>
      </w:r>
      <w:r w:rsidRPr="00E10730">
        <w:rPr>
          <w:rFonts w:eastAsia="Calibri" w:cs="Arial"/>
          <w:sz w:val="22"/>
          <w:szCs w:val="22"/>
        </w:rPr>
        <w:br w:type="page"/>
      </w:r>
    </w:p>
    <w:p w14:paraId="662CC69C" w14:textId="77777777" w:rsidR="005C6008" w:rsidRPr="00D1066F" w:rsidRDefault="005C6008" w:rsidP="00115FA3">
      <w:pPr>
        <w:autoSpaceDE w:val="0"/>
        <w:autoSpaceDN w:val="0"/>
        <w:adjustRightInd w:val="0"/>
        <w:spacing w:after="0" w:line="240" w:lineRule="auto"/>
        <w:rPr>
          <w:rStyle w:val="Strong"/>
        </w:rPr>
      </w:pPr>
      <w:r w:rsidRPr="00D1066F">
        <w:rPr>
          <w:rStyle w:val="Strong"/>
        </w:rPr>
        <w:t>National Disability Insurance Agency</w:t>
      </w:r>
    </w:p>
    <w:p w14:paraId="5ECC2A9B" w14:textId="77777777" w:rsidR="005C6008" w:rsidRPr="00D1066F" w:rsidRDefault="005C6008" w:rsidP="00115FA3">
      <w:pPr>
        <w:autoSpaceDE w:val="0"/>
        <w:autoSpaceDN w:val="0"/>
        <w:adjustRightInd w:val="0"/>
        <w:spacing w:after="0" w:line="240" w:lineRule="auto"/>
        <w:rPr>
          <w:rStyle w:val="Strong"/>
        </w:rPr>
      </w:pPr>
      <w:r w:rsidRPr="00D1066F">
        <w:rPr>
          <w:rStyle w:val="Strong"/>
        </w:rPr>
        <w:t>STATEMENT OF COMPREHENSIVE INCOME</w:t>
      </w:r>
    </w:p>
    <w:p w14:paraId="598B77A4" w14:textId="77777777" w:rsidR="005C6008" w:rsidRPr="00E10730" w:rsidRDefault="005C6008" w:rsidP="00115FA3">
      <w:pPr>
        <w:pBdr>
          <w:bottom w:val="single" w:sz="4" w:space="1" w:color="auto"/>
        </w:pBdr>
        <w:autoSpaceDE w:val="0"/>
        <w:autoSpaceDN w:val="0"/>
        <w:adjustRightInd w:val="0"/>
        <w:spacing w:after="0" w:line="240" w:lineRule="auto"/>
        <w:rPr>
          <w:rFonts w:eastAsia="Calibri" w:cs="Arial"/>
          <w:i/>
          <w:iCs/>
        </w:rPr>
      </w:pPr>
      <w:r w:rsidRPr="00E10730">
        <w:rPr>
          <w:rFonts w:eastAsia="Calibri" w:cs="Arial"/>
          <w:i/>
          <w:iCs/>
        </w:rPr>
        <w:t>for the year ended 30 June 2026</w:t>
      </w:r>
    </w:p>
    <w:p w14:paraId="5679A7AB" w14:textId="77777777" w:rsidR="005C6008" w:rsidRPr="00D1066F" w:rsidRDefault="005C6008" w:rsidP="00115FA3">
      <w:pPr>
        <w:autoSpaceDE w:val="0"/>
        <w:autoSpaceDN w:val="0"/>
        <w:adjustRightInd w:val="0"/>
        <w:spacing w:before="240" w:line="240" w:lineRule="auto"/>
        <w:rPr>
          <w:rStyle w:val="Strong"/>
          <w:sz w:val="18"/>
          <w:szCs w:val="18"/>
        </w:rPr>
      </w:pPr>
      <w:r w:rsidRPr="00D1066F">
        <w:rPr>
          <w:rStyle w:val="Strong"/>
          <w:sz w:val="18"/>
          <w:szCs w:val="18"/>
        </w:rPr>
        <w:t>Budget Variances Commentary</w:t>
      </w:r>
    </w:p>
    <w:p w14:paraId="142223D7" w14:textId="77777777" w:rsidR="005C6008" w:rsidRPr="00D1066F" w:rsidRDefault="005C6008" w:rsidP="00115FA3">
      <w:pPr>
        <w:autoSpaceDE w:val="0"/>
        <w:autoSpaceDN w:val="0"/>
        <w:adjustRightInd w:val="0"/>
        <w:spacing w:line="240" w:lineRule="auto"/>
        <w:rPr>
          <w:rStyle w:val="Strong"/>
          <w:sz w:val="18"/>
          <w:szCs w:val="18"/>
        </w:rPr>
      </w:pPr>
      <w:r w:rsidRPr="00D1066F">
        <w:rPr>
          <w:rStyle w:val="Strong"/>
          <w:sz w:val="18"/>
          <w:szCs w:val="18"/>
        </w:rPr>
        <w:t>Statement of Comprehensive Income</w:t>
      </w:r>
    </w:p>
    <w:p w14:paraId="7CC5A4FA" w14:textId="16E9F1E7" w:rsidR="005C6008" w:rsidRPr="00E10730" w:rsidRDefault="005C6008" w:rsidP="00115FA3">
      <w:pPr>
        <w:autoSpaceDE w:val="0"/>
        <w:autoSpaceDN w:val="0"/>
        <w:adjustRightInd w:val="0"/>
        <w:spacing w:before="100" w:line="240" w:lineRule="auto"/>
        <w:rPr>
          <w:rFonts w:eastAsia="Calibri" w:cs="Arial"/>
          <w:sz w:val="18"/>
          <w:szCs w:val="18"/>
        </w:rPr>
      </w:pPr>
      <w:r w:rsidRPr="00E10730">
        <w:rPr>
          <w:rFonts w:eastAsia="Calibri" w:cs="Arial"/>
          <w:sz w:val="18"/>
          <w:szCs w:val="18"/>
        </w:rPr>
        <w:t>The following major variance explanations between the Original Budget as presented in the 2025</w:t>
      </w:r>
      <w:r w:rsidR="007D5171" w:rsidRPr="00E10730">
        <w:rPr>
          <w:rFonts w:eastAsia="Calibri" w:cs="Arial"/>
          <w:sz w:val="18"/>
          <w:szCs w:val="18"/>
        </w:rPr>
        <w:t>–</w:t>
      </w:r>
      <w:r w:rsidRPr="00E10730">
        <w:rPr>
          <w:rFonts w:eastAsia="Calibri" w:cs="Arial"/>
          <w:sz w:val="18"/>
          <w:szCs w:val="18"/>
        </w:rPr>
        <w:t>26 Portfolio Budget Statements and the 2025</w:t>
      </w:r>
      <w:r w:rsidR="007D5171" w:rsidRPr="00E10730">
        <w:rPr>
          <w:rFonts w:eastAsia="Calibri" w:cs="Arial"/>
          <w:sz w:val="18"/>
          <w:szCs w:val="18"/>
        </w:rPr>
        <w:t>–</w:t>
      </w:r>
      <w:r w:rsidRPr="00E10730">
        <w:rPr>
          <w:rFonts w:eastAsia="Calibri" w:cs="Arial"/>
          <w:sz w:val="18"/>
          <w:szCs w:val="18"/>
        </w:rPr>
        <w:t>26 financial statements are presented in accordance with Australian Accounting Standards. The 2025</w:t>
      </w:r>
      <w:r w:rsidR="007D5171" w:rsidRPr="00E10730">
        <w:rPr>
          <w:rFonts w:eastAsia="Calibri" w:cs="Arial"/>
          <w:sz w:val="18"/>
          <w:szCs w:val="18"/>
        </w:rPr>
        <w:t>–</w:t>
      </w:r>
      <w:r w:rsidRPr="00E10730">
        <w:rPr>
          <w:rFonts w:eastAsia="Calibri" w:cs="Arial"/>
          <w:sz w:val="18"/>
          <w:szCs w:val="18"/>
        </w:rPr>
        <w:t>26 Portfolio Budget Statements contain the original financial statements’ budget estimates presented to Parliament in respect of the 2025</w:t>
      </w:r>
      <w:r w:rsidR="007D5171" w:rsidRPr="00E10730">
        <w:rPr>
          <w:rFonts w:eastAsia="Calibri" w:cs="Arial"/>
          <w:sz w:val="18"/>
          <w:szCs w:val="18"/>
        </w:rPr>
        <w:t>–</w:t>
      </w:r>
      <w:r w:rsidRPr="00E10730">
        <w:rPr>
          <w:rFonts w:eastAsia="Calibri" w:cs="Arial"/>
          <w:sz w:val="18"/>
          <w:szCs w:val="18"/>
        </w:rPr>
        <w:t>26 financial year. The information presented below should be read in the context of the following:</w:t>
      </w:r>
    </w:p>
    <w:p w14:paraId="4556FBAA" w14:textId="77777777" w:rsidR="005C6008" w:rsidRPr="00E10730" w:rsidRDefault="005C6008" w:rsidP="00196876">
      <w:pPr>
        <w:pStyle w:val="Fiancialbullet"/>
      </w:pPr>
      <w:r w:rsidRPr="00E10730">
        <w:t>major variances are determined in accordance with Department of Finance guidelines; and</w:t>
      </w:r>
    </w:p>
    <w:p w14:paraId="35017184" w14:textId="77777777" w:rsidR="005C6008" w:rsidRPr="00E10730" w:rsidRDefault="005C6008" w:rsidP="00196876">
      <w:pPr>
        <w:pStyle w:val="Fiancialbullet"/>
      </w:pPr>
      <w:r w:rsidRPr="00E10730">
        <w:t>the Budget is not audited.</w:t>
      </w:r>
    </w:p>
    <w:tbl>
      <w:tblPr>
        <w:tblW w:w="9204" w:type="dxa"/>
        <w:tblLayout w:type="fixed"/>
        <w:tblLook w:val="0000" w:firstRow="0" w:lastRow="0" w:firstColumn="0" w:lastColumn="0" w:noHBand="0" w:noVBand="0"/>
      </w:tblPr>
      <w:tblGrid>
        <w:gridCol w:w="3648"/>
        <w:gridCol w:w="5556"/>
      </w:tblGrid>
      <w:tr w:rsidR="005C6008" w:rsidRPr="00E10730" w14:paraId="6D5FE25B" w14:textId="77777777" w:rsidTr="00AE5103">
        <w:trPr>
          <w:cantSplit/>
          <w:trHeight w:val="340"/>
          <w:tblHeader/>
        </w:trPr>
        <w:tc>
          <w:tcPr>
            <w:tcW w:w="3648" w:type="dxa"/>
            <w:tcBorders>
              <w:top w:val="single" w:sz="8" w:space="0" w:color="auto"/>
              <w:left w:val="single" w:sz="8" w:space="0" w:color="auto"/>
              <w:bottom w:val="single" w:sz="8" w:space="0" w:color="auto"/>
              <w:right w:val="single" w:sz="8" w:space="0" w:color="auto"/>
            </w:tcBorders>
            <w:shd w:val="clear" w:color="000000" w:fill="FFFFFF"/>
            <w:vAlign w:val="center"/>
          </w:tcPr>
          <w:p w14:paraId="136C96BE" w14:textId="77777777" w:rsidR="005C6008" w:rsidRPr="00E10730" w:rsidRDefault="005C6008" w:rsidP="00115FA3">
            <w:pPr>
              <w:autoSpaceDE w:val="0"/>
              <w:autoSpaceDN w:val="0"/>
              <w:adjustRightInd w:val="0"/>
              <w:spacing w:before="80" w:after="80" w:line="240" w:lineRule="auto"/>
              <w:rPr>
                <w:rFonts w:eastAsia="Calibri" w:cs="Arial"/>
                <w:b/>
                <w:bCs/>
                <w:sz w:val="18"/>
                <w:szCs w:val="18"/>
              </w:rPr>
            </w:pPr>
            <w:r w:rsidRPr="00E10730">
              <w:rPr>
                <w:rFonts w:eastAsia="Calibri" w:cs="Arial"/>
                <w:b/>
                <w:bCs/>
                <w:sz w:val="18"/>
                <w:szCs w:val="18"/>
              </w:rPr>
              <w:t>Affected line items</w:t>
            </w:r>
          </w:p>
        </w:tc>
        <w:tc>
          <w:tcPr>
            <w:tcW w:w="5556" w:type="dxa"/>
            <w:tcBorders>
              <w:top w:val="single" w:sz="8" w:space="0" w:color="auto"/>
              <w:left w:val="nil"/>
              <w:bottom w:val="single" w:sz="8" w:space="0" w:color="auto"/>
              <w:right w:val="single" w:sz="8" w:space="0" w:color="auto"/>
            </w:tcBorders>
            <w:shd w:val="clear" w:color="000000" w:fill="FFFFFF"/>
            <w:vAlign w:val="center"/>
          </w:tcPr>
          <w:p w14:paraId="47DFBCEE" w14:textId="77777777" w:rsidR="005C6008" w:rsidRPr="00E10730" w:rsidRDefault="005C6008" w:rsidP="00115FA3">
            <w:pPr>
              <w:autoSpaceDE w:val="0"/>
              <w:autoSpaceDN w:val="0"/>
              <w:adjustRightInd w:val="0"/>
              <w:spacing w:before="80" w:after="80" w:line="240" w:lineRule="auto"/>
              <w:rPr>
                <w:rFonts w:eastAsia="Calibri" w:cs="Arial"/>
                <w:b/>
                <w:bCs/>
                <w:sz w:val="18"/>
                <w:szCs w:val="18"/>
              </w:rPr>
            </w:pPr>
            <w:r w:rsidRPr="00E10730">
              <w:rPr>
                <w:rFonts w:eastAsia="Calibri" w:cs="Arial"/>
                <w:b/>
                <w:bCs/>
                <w:sz w:val="18"/>
                <w:szCs w:val="18"/>
              </w:rPr>
              <w:t>Explanations of major variances</w:t>
            </w:r>
          </w:p>
        </w:tc>
      </w:tr>
      <w:tr w:rsidR="005C6008" w:rsidRPr="00E10730" w14:paraId="0C2D8262" w14:textId="77777777" w:rsidTr="00AE5103">
        <w:trPr>
          <w:cantSplit/>
          <w:trHeight w:val="283"/>
        </w:trPr>
        <w:tc>
          <w:tcPr>
            <w:tcW w:w="3648" w:type="dxa"/>
            <w:tcBorders>
              <w:top w:val="single" w:sz="8" w:space="0" w:color="auto"/>
              <w:left w:val="single" w:sz="8" w:space="0" w:color="auto"/>
              <w:bottom w:val="single" w:sz="4" w:space="0" w:color="auto"/>
              <w:right w:val="single" w:sz="8" w:space="0" w:color="auto"/>
            </w:tcBorders>
          </w:tcPr>
          <w:p w14:paraId="127BAC7B"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Expenses</w:t>
            </w:r>
          </w:p>
          <w:p w14:paraId="2D94A20F"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Employee benefits</w:t>
            </w:r>
          </w:p>
        </w:tc>
        <w:tc>
          <w:tcPr>
            <w:tcW w:w="5556" w:type="dxa"/>
            <w:tcBorders>
              <w:top w:val="nil"/>
              <w:left w:val="single" w:sz="8" w:space="0" w:color="auto"/>
              <w:bottom w:val="single" w:sz="8" w:space="0" w:color="000000"/>
              <w:right w:val="single" w:sz="8" w:space="0" w:color="auto"/>
            </w:tcBorders>
            <w:vAlign w:val="center"/>
          </w:tcPr>
          <w:p w14:paraId="3A19D5D8"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increase is attributable to the average staffing levels for employees increasing during the year more than estimated in the Original Budget. The NDIS Act requires all decisions of the Agency that impact on participants may only be made by APS staff. The variance to Original Budget has arisen as the Agency has sought to prioritise its recruitment activity towards APS employees under the Government’s Strategic Commissioning Framework.</w:t>
            </w:r>
          </w:p>
        </w:tc>
      </w:tr>
      <w:tr w:rsidR="005C6008" w:rsidRPr="00E10730" w14:paraId="375BD248" w14:textId="77777777" w:rsidTr="00AE5103">
        <w:trPr>
          <w:cantSplit/>
          <w:trHeight w:val="283"/>
        </w:trPr>
        <w:tc>
          <w:tcPr>
            <w:tcW w:w="3648" w:type="dxa"/>
            <w:tcBorders>
              <w:top w:val="single" w:sz="4" w:space="0" w:color="auto"/>
              <w:left w:val="single" w:sz="8" w:space="0" w:color="auto"/>
              <w:bottom w:val="single" w:sz="8" w:space="0" w:color="auto"/>
              <w:right w:val="single" w:sz="8" w:space="0" w:color="auto"/>
            </w:tcBorders>
          </w:tcPr>
          <w:p w14:paraId="48EFA4F2"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Expenses</w:t>
            </w:r>
          </w:p>
          <w:p w14:paraId="2C97AC5C"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Suppliers, Community partnership costs, and Grants</w:t>
            </w:r>
          </w:p>
        </w:tc>
        <w:tc>
          <w:tcPr>
            <w:tcW w:w="5556" w:type="dxa"/>
            <w:tcBorders>
              <w:top w:val="nil"/>
              <w:left w:val="single" w:sz="8" w:space="0" w:color="auto"/>
              <w:bottom w:val="single" w:sz="8" w:space="0" w:color="000000"/>
              <w:right w:val="single" w:sz="8" w:space="0" w:color="auto"/>
            </w:tcBorders>
            <w:vAlign w:val="center"/>
          </w:tcPr>
          <w:p w14:paraId="51BC1419"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Commonwealth Budget process does not allow for the separate reporting of community partnership costs, supplier expenses and grants. As a result, these are budgeted together against the line item ‘Supplier’ expenses. For actuals purposes, the Agency has separated out community partnership costs, and grants, to provide greater clarity for users. The resulting variance reflects an underspend in ‘Supplier’ related Labour Hire Expenses following APS staffing conversions.</w:t>
            </w:r>
          </w:p>
        </w:tc>
      </w:tr>
      <w:tr w:rsidR="005C6008" w:rsidRPr="00E10730" w14:paraId="4E7F28F9" w14:textId="77777777" w:rsidTr="00AE5103">
        <w:trPr>
          <w:cantSplit/>
          <w:trHeight w:val="283"/>
        </w:trPr>
        <w:tc>
          <w:tcPr>
            <w:tcW w:w="3648" w:type="dxa"/>
            <w:tcBorders>
              <w:top w:val="nil"/>
              <w:left w:val="single" w:sz="8" w:space="0" w:color="auto"/>
              <w:bottom w:val="single" w:sz="8" w:space="0" w:color="auto"/>
              <w:right w:val="single" w:sz="8" w:space="0" w:color="auto"/>
            </w:tcBorders>
          </w:tcPr>
          <w:p w14:paraId="589EEDC5"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Expenses</w:t>
            </w:r>
          </w:p>
          <w:p w14:paraId="641481B2"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Participant plan expenses</w:t>
            </w:r>
          </w:p>
        </w:tc>
        <w:tc>
          <w:tcPr>
            <w:tcW w:w="5556" w:type="dxa"/>
            <w:tcBorders>
              <w:top w:val="nil"/>
              <w:left w:val="single" w:sz="8" w:space="0" w:color="auto"/>
              <w:bottom w:val="single" w:sz="8" w:space="0" w:color="000000"/>
              <w:right w:val="single" w:sz="8" w:space="0" w:color="auto"/>
            </w:tcBorders>
            <w:vAlign w:val="center"/>
          </w:tcPr>
          <w:p w14:paraId="01C06F6C"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Participant plan expenses for the year have tracked higher than the Original Budget. This is primarily due to higher than budgeted  average package costs.</w:t>
            </w:r>
          </w:p>
        </w:tc>
      </w:tr>
      <w:tr w:rsidR="005C6008" w:rsidRPr="00E10730" w14:paraId="5E3319BA" w14:textId="77777777" w:rsidTr="00AE5103">
        <w:trPr>
          <w:cantSplit/>
          <w:trHeight w:val="283"/>
        </w:trPr>
        <w:tc>
          <w:tcPr>
            <w:tcW w:w="3648" w:type="dxa"/>
            <w:tcBorders>
              <w:top w:val="nil"/>
              <w:left w:val="single" w:sz="8" w:space="0" w:color="auto"/>
              <w:bottom w:val="single" w:sz="8" w:space="0" w:color="auto"/>
              <w:right w:val="single" w:sz="8" w:space="0" w:color="auto"/>
            </w:tcBorders>
          </w:tcPr>
          <w:p w14:paraId="7F53AEC6"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Expenses</w:t>
            </w:r>
          </w:p>
          <w:p w14:paraId="4864DC5D"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Finance Costs</w:t>
            </w:r>
          </w:p>
        </w:tc>
        <w:tc>
          <w:tcPr>
            <w:tcW w:w="5556" w:type="dxa"/>
            <w:tcBorders>
              <w:top w:val="nil"/>
              <w:left w:val="single" w:sz="8" w:space="0" w:color="auto"/>
              <w:bottom w:val="single" w:sz="8" w:space="0" w:color="000000"/>
              <w:right w:val="single" w:sz="8" w:space="0" w:color="auto"/>
            </w:tcBorders>
            <w:vAlign w:val="center"/>
          </w:tcPr>
          <w:p w14:paraId="6066AE21" w14:textId="74463CE2"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variance to Original Budget is predominately driven by higher than expected Interest expenses for leased assets, impacted by changes to lease terms and rental amounts during the year, and the unwinding of restoration provision liability amounts. Additionally, expensing of interest payable for Historical Scheme Debt liability provision amounts as at 30 June 2026 was accounted for in 2025</w:t>
            </w:r>
            <w:r w:rsidR="00B06E06" w:rsidRPr="00E10730">
              <w:rPr>
                <w:rFonts w:eastAsia="Calibri" w:cs="Arial"/>
                <w:sz w:val="18"/>
                <w:szCs w:val="18"/>
              </w:rPr>
              <w:t>–</w:t>
            </w:r>
            <w:r w:rsidRPr="00E10730">
              <w:rPr>
                <w:rFonts w:eastAsia="Calibri" w:cs="Arial"/>
                <w:sz w:val="18"/>
                <w:szCs w:val="18"/>
              </w:rPr>
              <w:t>26 and did not form part of the Original Budget.</w:t>
            </w:r>
          </w:p>
        </w:tc>
      </w:tr>
      <w:tr w:rsidR="005C6008" w:rsidRPr="00E10730" w14:paraId="54A1777C" w14:textId="77777777" w:rsidTr="00AE5103">
        <w:trPr>
          <w:cantSplit/>
          <w:trHeight w:val="283"/>
        </w:trPr>
        <w:tc>
          <w:tcPr>
            <w:tcW w:w="3648" w:type="dxa"/>
            <w:tcBorders>
              <w:top w:val="nil"/>
              <w:left w:val="single" w:sz="8" w:space="0" w:color="auto"/>
              <w:bottom w:val="single" w:sz="8" w:space="0" w:color="auto"/>
              <w:right w:val="single" w:sz="8" w:space="0" w:color="auto"/>
            </w:tcBorders>
          </w:tcPr>
          <w:p w14:paraId="696EEA6E"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Expenses</w:t>
            </w:r>
          </w:p>
          <w:p w14:paraId="5F247372"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Write-down and impairment of other assets</w:t>
            </w:r>
          </w:p>
        </w:tc>
        <w:tc>
          <w:tcPr>
            <w:tcW w:w="5556" w:type="dxa"/>
            <w:tcBorders>
              <w:top w:val="nil"/>
              <w:left w:val="single" w:sz="8" w:space="0" w:color="auto"/>
              <w:bottom w:val="single" w:sz="8" w:space="0" w:color="000000"/>
              <w:right w:val="single" w:sz="8" w:space="0" w:color="auto"/>
            </w:tcBorders>
            <w:vAlign w:val="center"/>
          </w:tcPr>
          <w:p w14:paraId="146DD56D" w14:textId="56AD04E0"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Original Budget did not anticipate the write-down and impairment of other assets in 2025</w:t>
            </w:r>
            <w:r w:rsidR="00B06E06" w:rsidRPr="00E10730">
              <w:rPr>
                <w:rFonts w:eastAsia="Calibri" w:cs="Arial"/>
                <w:sz w:val="18"/>
                <w:szCs w:val="18"/>
              </w:rPr>
              <w:t>–</w:t>
            </w:r>
            <w:r w:rsidRPr="00E10730">
              <w:rPr>
                <w:rFonts w:eastAsia="Calibri" w:cs="Arial"/>
                <w:sz w:val="18"/>
                <w:szCs w:val="18"/>
              </w:rPr>
              <w:t>26.</w:t>
            </w:r>
          </w:p>
        </w:tc>
      </w:tr>
      <w:tr w:rsidR="005C6008" w:rsidRPr="00E10730" w14:paraId="60202442" w14:textId="77777777" w:rsidTr="00AE5103">
        <w:trPr>
          <w:cantSplit/>
          <w:trHeight w:val="283"/>
        </w:trPr>
        <w:tc>
          <w:tcPr>
            <w:tcW w:w="3648" w:type="dxa"/>
            <w:tcBorders>
              <w:top w:val="nil"/>
              <w:left w:val="single" w:sz="8" w:space="0" w:color="auto"/>
              <w:bottom w:val="single" w:sz="8" w:space="0" w:color="auto"/>
              <w:right w:val="single" w:sz="8" w:space="0" w:color="auto"/>
            </w:tcBorders>
          </w:tcPr>
          <w:p w14:paraId="5171B56D"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Own-source revenue</w:t>
            </w:r>
          </w:p>
          <w:p w14:paraId="1249E739"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Rendering of Services</w:t>
            </w:r>
          </w:p>
        </w:tc>
        <w:tc>
          <w:tcPr>
            <w:tcW w:w="5556" w:type="dxa"/>
            <w:tcBorders>
              <w:top w:val="nil"/>
              <w:left w:val="single" w:sz="8" w:space="0" w:color="auto"/>
              <w:bottom w:val="single" w:sz="8" w:space="0" w:color="000000"/>
              <w:right w:val="single" w:sz="8" w:space="0" w:color="auto"/>
            </w:tcBorders>
          </w:tcPr>
          <w:p w14:paraId="38383A44" w14:textId="20F5FDDD"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 xml:space="preserve">This variance is </w:t>
            </w:r>
            <w:r w:rsidR="00F6430C" w:rsidRPr="00E10730">
              <w:rPr>
                <w:rFonts w:eastAsia="Calibri" w:cs="Arial"/>
                <w:sz w:val="18"/>
                <w:szCs w:val="18"/>
              </w:rPr>
              <w:t xml:space="preserve">as </w:t>
            </w:r>
            <w:r w:rsidRPr="00E10730">
              <w:rPr>
                <w:rFonts w:eastAsia="Calibri" w:cs="Arial"/>
                <w:sz w:val="18"/>
                <w:szCs w:val="18"/>
              </w:rPr>
              <w:t xml:space="preserve">a result of additional funding from Government to meet the increased costs of the Scheme due to higher than budgeted anticipated average package costs. </w:t>
            </w:r>
          </w:p>
        </w:tc>
      </w:tr>
      <w:tr w:rsidR="005C6008" w:rsidRPr="00E10730" w14:paraId="0F9E3030" w14:textId="77777777" w:rsidTr="00AE5103">
        <w:trPr>
          <w:cantSplit/>
          <w:trHeight w:val="283"/>
        </w:trPr>
        <w:tc>
          <w:tcPr>
            <w:tcW w:w="3648" w:type="dxa"/>
            <w:tcBorders>
              <w:top w:val="nil"/>
              <w:left w:val="single" w:sz="8" w:space="0" w:color="auto"/>
              <w:bottom w:val="single" w:sz="8" w:space="0" w:color="auto"/>
              <w:right w:val="single" w:sz="8" w:space="0" w:color="auto"/>
            </w:tcBorders>
          </w:tcPr>
          <w:p w14:paraId="4C1BE4D9"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Own-source revenue</w:t>
            </w:r>
          </w:p>
          <w:p w14:paraId="65272FBF"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Other revenue</w:t>
            </w:r>
          </w:p>
        </w:tc>
        <w:tc>
          <w:tcPr>
            <w:tcW w:w="5556" w:type="dxa"/>
            <w:tcBorders>
              <w:top w:val="nil"/>
              <w:left w:val="single" w:sz="8" w:space="0" w:color="auto"/>
              <w:bottom w:val="single" w:sz="8" w:space="0" w:color="000000"/>
              <w:right w:val="single" w:sz="8" w:space="0" w:color="auto"/>
            </w:tcBorders>
            <w:vAlign w:val="center"/>
          </w:tcPr>
          <w:p w14:paraId="2B5FA734" w14:textId="71D2769F"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actual result includes compensation receipts which were not budgeted for as well as In-Kind Contributions from State and Territory governments reclassified as Other Revenue for both the 2025</w:t>
            </w:r>
            <w:r w:rsidR="00B06E06" w:rsidRPr="00E10730">
              <w:rPr>
                <w:rFonts w:eastAsia="Calibri" w:cs="Arial"/>
                <w:sz w:val="18"/>
                <w:szCs w:val="18"/>
              </w:rPr>
              <w:t>–</w:t>
            </w:r>
            <w:r w:rsidRPr="00E10730">
              <w:rPr>
                <w:rFonts w:eastAsia="Calibri" w:cs="Arial"/>
                <w:sz w:val="18"/>
                <w:szCs w:val="18"/>
              </w:rPr>
              <w:t>26 and comparative year 2024</w:t>
            </w:r>
            <w:r w:rsidR="00B06E06" w:rsidRPr="00E10730">
              <w:rPr>
                <w:rFonts w:eastAsia="Calibri" w:cs="Arial"/>
                <w:sz w:val="18"/>
                <w:szCs w:val="18"/>
              </w:rPr>
              <w:t>–</w:t>
            </w:r>
            <w:r w:rsidRPr="00E10730">
              <w:rPr>
                <w:rFonts w:eastAsia="Calibri" w:cs="Arial"/>
                <w:sz w:val="18"/>
                <w:szCs w:val="18"/>
              </w:rPr>
              <w:t>25. The Original Budget for In-kind revenue was classified as Other Gains.</w:t>
            </w:r>
          </w:p>
        </w:tc>
      </w:tr>
      <w:tr w:rsidR="005C6008" w:rsidRPr="00E10730" w14:paraId="09057506" w14:textId="77777777" w:rsidTr="00AE5103">
        <w:trPr>
          <w:cantSplit/>
          <w:trHeight w:val="283"/>
        </w:trPr>
        <w:tc>
          <w:tcPr>
            <w:tcW w:w="3648" w:type="dxa"/>
            <w:tcBorders>
              <w:top w:val="nil"/>
              <w:left w:val="single" w:sz="8" w:space="0" w:color="auto"/>
              <w:bottom w:val="single" w:sz="8" w:space="0" w:color="auto"/>
              <w:right w:val="single" w:sz="8" w:space="0" w:color="auto"/>
            </w:tcBorders>
          </w:tcPr>
          <w:p w14:paraId="42AB610D"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Own-source revenue</w:t>
            </w:r>
          </w:p>
          <w:p w14:paraId="43B711BB"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Interest</w:t>
            </w:r>
          </w:p>
        </w:tc>
        <w:tc>
          <w:tcPr>
            <w:tcW w:w="5556" w:type="dxa"/>
            <w:tcBorders>
              <w:top w:val="nil"/>
              <w:left w:val="single" w:sz="8" w:space="0" w:color="auto"/>
              <w:bottom w:val="single" w:sz="8" w:space="0" w:color="000000"/>
              <w:right w:val="single" w:sz="8" w:space="0" w:color="auto"/>
            </w:tcBorders>
            <w:vAlign w:val="center"/>
          </w:tcPr>
          <w:p w14:paraId="612FFCE3"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increase in interest revenue compared to the Original Budget reflects higher than anticipated interest rates and a subsequent increase in earnings from investments.</w:t>
            </w:r>
          </w:p>
        </w:tc>
      </w:tr>
    </w:tbl>
    <w:p w14:paraId="492FCCF7" w14:textId="77777777" w:rsidR="003C330A" w:rsidRDefault="003C330A">
      <w:pPr>
        <w:spacing w:before="120" w:line="288" w:lineRule="auto"/>
      </w:pPr>
      <w:r>
        <w:br w:type="page"/>
      </w:r>
    </w:p>
    <w:p w14:paraId="7C3FEB18" w14:textId="77777777" w:rsidR="003C330A" w:rsidRPr="00D1066F" w:rsidRDefault="003C330A" w:rsidP="003C330A">
      <w:pPr>
        <w:autoSpaceDE w:val="0"/>
        <w:autoSpaceDN w:val="0"/>
        <w:adjustRightInd w:val="0"/>
        <w:spacing w:after="0" w:line="240" w:lineRule="auto"/>
        <w:rPr>
          <w:rStyle w:val="Strong"/>
        </w:rPr>
      </w:pPr>
      <w:r w:rsidRPr="00D1066F">
        <w:rPr>
          <w:rStyle w:val="Strong"/>
        </w:rPr>
        <w:t>National Disability Insurance Agency</w:t>
      </w:r>
    </w:p>
    <w:p w14:paraId="3B2B02F0" w14:textId="77777777" w:rsidR="003C330A" w:rsidRPr="00D1066F" w:rsidRDefault="003C330A" w:rsidP="003C330A">
      <w:pPr>
        <w:autoSpaceDE w:val="0"/>
        <w:autoSpaceDN w:val="0"/>
        <w:adjustRightInd w:val="0"/>
        <w:spacing w:after="0" w:line="240" w:lineRule="auto"/>
        <w:rPr>
          <w:rStyle w:val="Strong"/>
        </w:rPr>
      </w:pPr>
      <w:r w:rsidRPr="00D1066F">
        <w:rPr>
          <w:rStyle w:val="Strong"/>
        </w:rPr>
        <w:t>STATEMENT OF COMPREHENSIVE INCOME</w:t>
      </w:r>
    </w:p>
    <w:p w14:paraId="7C1C778B" w14:textId="77777777" w:rsidR="003C330A" w:rsidRPr="00E10730" w:rsidRDefault="003C330A" w:rsidP="003C330A">
      <w:pPr>
        <w:pBdr>
          <w:bottom w:val="single" w:sz="4" w:space="1" w:color="auto"/>
        </w:pBdr>
        <w:autoSpaceDE w:val="0"/>
        <w:autoSpaceDN w:val="0"/>
        <w:adjustRightInd w:val="0"/>
        <w:spacing w:after="0" w:line="240" w:lineRule="auto"/>
        <w:rPr>
          <w:rFonts w:eastAsia="Calibri" w:cs="Arial"/>
          <w:i/>
          <w:iCs/>
        </w:rPr>
      </w:pPr>
      <w:r w:rsidRPr="00E10730">
        <w:rPr>
          <w:rFonts w:eastAsia="Calibri" w:cs="Arial"/>
          <w:i/>
          <w:iCs/>
        </w:rPr>
        <w:t>for the year ended 30 June 2026</w:t>
      </w:r>
    </w:p>
    <w:p w14:paraId="341A629A" w14:textId="77777777" w:rsidR="00AE5103" w:rsidRDefault="00AE5103" w:rsidP="003C330A">
      <w:pPr>
        <w:spacing w:after="0"/>
      </w:pPr>
    </w:p>
    <w:tbl>
      <w:tblPr>
        <w:tblW w:w="9204" w:type="dxa"/>
        <w:tblLayout w:type="fixed"/>
        <w:tblLook w:val="0000" w:firstRow="0" w:lastRow="0" w:firstColumn="0" w:lastColumn="0" w:noHBand="0" w:noVBand="0"/>
      </w:tblPr>
      <w:tblGrid>
        <w:gridCol w:w="3648"/>
        <w:gridCol w:w="5556"/>
      </w:tblGrid>
      <w:tr w:rsidR="003C330A" w:rsidRPr="00E10730" w14:paraId="3A9B80EB" w14:textId="77777777" w:rsidTr="003C330A">
        <w:trPr>
          <w:cantSplit/>
          <w:trHeight w:val="340"/>
          <w:tblHeader/>
        </w:trPr>
        <w:tc>
          <w:tcPr>
            <w:tcW w:w="3648" w:type="dxa"/>
            <w:tcBorders>
              <w:top w:val="single" w:sz="8" w:space="0" w:color="auto"/>
              <w:left w:val="single" w:sz="8" w:space="0" w:color="auto"/>
              <w:bottom w:val="single" w:sz="8" w:space="0" w:color="auto"/>
              <w:right w:val="single" w:sz="8" w:space="0" w:color="auto"/>
            </w:tcBorders>
            <w:shd w:val="clear" w:color="000000" w:fill="FFFFFF"/>
            <w:vAlign w:val="center"/>
          </w:tcPr>
          <w:p w14:paraId="47E8EA3E" w14:textId="77777777" w:rsidR="003C330A" w:rsidRPr="00E10730" w:rsidRDefault="003C330A" w:rsidP="009A028B">
            <w:pPr>
              <w:autoSpaceDE w:val="0"/>
              <w:autoSpaceDN w:val="0"/>
              <w:adjustRightInd w:val="0"/>
              <w:spacing w:before="80" w:after="80" w:line="240" w:lineRule="auto"/>
              <w:rPr>
                <w:rFonts w:eastAsia="Calibri" w:cs="Arial"/>
                <w:b/>
                <w:bCs/>
                <w:sz w:val="18"/>
                <w:szCs w:val="18"/>
              </w:rPr>
            </w:pPr>
            <w:r w:rsidRPr="00E10730">
              <w:rPr>
                <w:rFonts w:eastAsia="Calibri" w:cs="Arial"/>
                <w:b/>
                <w:bCs/>
                <w:sz w:val="18"/>
                <w:szCs w:val="18"/>
              </w:rPr>
              <w:t>Affected line items</w:t>
            </w:r>
          </w:p>
        </w:tc>
        <w:tc>
          <w:tcPr>
            <w:tcW w:w="5556" w:type="dxa"/>
            <w:tcBorders>
              <w:top w:val="single" w:sz="8" w:space="0" w:color="auto"/>
              <w:left w:val="nil"/>
              <w:bottom w:val="single" w:sz="8" w:space="0" w:color="auto"/>
              <w:right w:val="single" w:sz="8" w:space="0" w:color="auto"/>
            </w:tcBorders>
            <w:shd w:val="clear" w:color="000000" w:fill="FFFFFF"/>
            <w:vAlign w:val="center"/>
          </w:tcPr>
          <w:p w14:paraId="4D6F1C3F" w14:textId="77777777" w:rsidR="003C330A" w:rsidRPr="00E10730" w:rsidRDefault="003C330A" w:rsidP="009A028B">
            <w:pPr>
              <w:autoSpaceDE w:val="0"/>
              <w:autoSpaceDN w:val="0"/>
              <w:adjustRightInd w:val="0"/>
              <w:spacing w:before="80" w:after="80" w:line="240" w:lineRule="auto"/>
              <w:rPr>
                <w:rFonts w:eastAsia="Calibri" w:cs="Arial"/>
                <w:b/>
                <w:bCs/>
                <w:sz w:val="18"/>
                <w:szCs w:val="18"/>
              </w:rPr>
            </w:pPr>
            <w:r w:rsidRPr="00E10730">
              <w:rPr>
                <w:rFonts w:eastAsia="Calibri" w:cs="Arial"/>
                <w:b/>
                <w:bCs/>
                <w:sz w:val="18"/>
                <w:szCs w:val="18"/>
              </w:rPr>
              <w:t>Explanations of major variances</w:t>
            </w:r>
          </w:p>
        </w:tc>
      </w:tr>
      <w:tr w:rsidR="005C6008" w:rsidRPr="00E10730" w14:paraId="201DC825" w14:textId="77777777" w:rsidTr="003C330A">
        <w:trPr>
          <w:cantSplit/>
          <w:trHeight w:val="283"/>
        </w:trPr>
        <w:tc>
          <w:tcPr>
            <w:tcW w:w="3648" w:type="dxa"/>
            <w:tcBorders>
              <w:top w:val="nil"/>
              <w:left w:val="single" w:sz="8" w:space="0" w:color="auto"/>
              <w:bottom w:val="single" w:sz="8" w:space="0" w:color="auto"/>
              <w:right w:val="single" w:sz="8" w:space="0" w:color="auto"/>
            </w:tcBorders>
          </w:tcPr>
          <w:p w14:paraId="31671184" w14:textId="77777777" w:rsidR="005C6008" w:rsidRPr="00E10730" w:rsidRDefault="005C6008" w:rsidP="002B432C">
            <w:pPr>
              <w:autoSpaceDE w:val="0"/>
              <w:autoSpaceDN w:val="0"/>
              <w:adjustRightInd w:val="0"/>
              <w:spacing w:before="80" w:after="80" w:line="240" w:lineRule="auto"/>
              <w:rPr>
                <w:rFonts w:eastAsia="Calibri" w:cs="Arial"/>
                <w:i/>
                <w:iCs/>
                <w:sz w:val="18"/>
                <w:szCs w:val="18"/>
              </w:rPr>
            </w:pPr>
            <w:r w:rsidRPr="00E10730">
              <w:rPr>
                <w:rFonts w:eastAsia="Calibri" w:cs="Arial"/>
                <w:sz w:val="18"/>
                <w:szCs w:val="18"/>
              </w:rPr>
              <w:t>Gains</w:t>
            </w:r>
          </w:p>
          <w:p w14:paraId="5A17C07B" w14:textId="77777777" w:rsidR="005C6008" w:rsidRPr="00E10730" w:rsidRDefault="005C6008" w:rsidP="002B432C">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Other gains</w:t>
            </w:r>
          </w:p>
        </w:tc>
        <w:tc>
          <w:tcPr>
            <w:tcW w:w="5556" w:type="dxa"/>
            <w:tcBorders>
              <w:top w:val="nil"/>
              <w:left w:val="single" w:sz="8" w:space="0" w:color="auto"/>
              <w:bottom w:val="single" w:sz="8" w:space="0" w:color="000000"/>
              <w:right w:val="single" w:sz="8" w:space="0" w:color="auto"/>
            </w:tcBorders>
          </w:tcPr>
          <w:p w14:paraId="5C400C1E" w14:textId="06A957DD" w:rsidR="005C6008" w:rsidRPr="00E10730" w:rsidRDefault="005C6008" w:rsidP="002B432C">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 xml:space="preserve">The original budget for Other </w:t>
            </w:r>
            <w:r w:rsidR="008664F7" w:rsidRPr="00E10730">
              <w:rPr>
                <w:rFonts w:eastAsia="Calibri" w:cs="Arial"/>
                <w:sz w:val="18"/>
                <w:szCs w:val="18"/>
              </w:rPr>
              <w:t>g</w:t>
            </w:r>
            <w:r w:rsidRPr="00E10730">
              <w:rPr>
                <w:rFonts w:eastAsia="Calibri" w:cs="Arial"/>
                <w:sz w:val="18"/>
                <w:szCs w:val="18"/>
              </w:rPr>
              <w:t xml:space="preserve">ains included In-Kind Contributions made to the Scheme by State and Territory governments. This has been reclassified into Other </w:t>
            </w:r>
            <w:r w:rsidR="002A46F9" w:rsidRPr="00E10730">
              <w:rPr>
                <w:rFonts w:eastAsia="Calibri" w:cs="Arial"/>
                <w:sz w:val="18"/>
                <w:szCs w:val="18"/>
              </w:rPr>
              <w:t>r</w:t>
            </w:r>
            <w:r w:rsidRPr="00E10730">
              <w:rPr>
                <w:rFonts w:eastAsia="Calibri" w:cs="Arial"/>
                <w:sz w:val="18"/>
                <w:szCs w:val="18"/>
              </w:rPr>
              <w:t>evenue for both the 2025</w:t>
            </w:r>
            <w:r w:rsidR="00B06E06" w:rsidRPr="00E10730">
              <w:rPr>
                <w:rFonts w:eastAsia="Calibri" w:cs="Arial"/>
                <w:sz w:val="18"/>
                <w:szCs w:val="18"/>
              </w:rPr>
              <w:t>–</w:t>
            </w:r>
            <w:r w:rsidRPr="00E10730">
              <w:rPr>
                <w:rFonts w:eastAsia="Calibri" w:cs="Arial"/>
                <w:sz w:val="18"/>
                <w:szCs w:val="18"/>
              </w:rPr>
              <w:t>26 and comparative year 2024</w:t>
            </w:r>
            <w:r w:rsidR="00B06E06" w:rsidRPr="00E10730">
              <w:rPr>
                <w:rFonts w:eastAsia="Calibri" w:cs="Arial"/>
                <w:sz w:val="18"/>
                <w:szCs w:val="18"/>
              </w:rPr>
              <w:t>–</w:t>
            </w:r>
            <w:r w:rsidRPr="00E10730">
              <w:rPr>
                <w:rFonts w:eastAsia="Calibri" w:cs="Arial"/>
                <w:sz w:val="18"/>
                <w:szCs w:val="18"/>
              </w:rPr>
              <w:t>25.</w:t>
            </w:r>
          </w:p>
        </w:tc>
      </w:tr>
      <w:tr w:rsidR="005C6008" w:rsidRPr="00E10730" w14:paraId="2F26CC92" w14:textId="77777777" w:rsidTr="003C330A">
        <w:trPr>
          <w:cantSplit/>
          <w:trHeight w:val="283"/>
        </w:trPr>
        <w:tc>
          <w:tcPr>
            <w:tcW w:w="3648" w:type="dxa"/>
            <w:tcBorders>
              <w:top w:val="nil"/>
              <w:left w:val="single" w:sz="8" w:space="0" w:color="auto"/>
              <w:bottom w:val="single" w:sz="8" w:space="0" w:color="auto"/>
              <w:right w:val="single" w:sz="8" w:space="0" w:color="auto"/>
            </w:tcBorders>
          </w:tcPr>
          <w:p w14:paraId="319406D6"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Revenue from Government</w:t>
            </w:r>
          </w:p>
          <w:p w14:paraId="16D71FF4"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Revenue from Government</w:t>
            </w:r>
          </w:p>
        </w:tc>
        <w:tc>
          <w:tcPr>
            <w:tcW w:w="5556" w:type="dxa"/>
            <w:tcBorders>
              <w:top w:val="nil"/>
              <w:left w:val="single" w:sz="8" w:space="0" w:color="auto"/>
              <w:bottom w:val="single" w:sz="8" w:space="0" w:color="000000"/>
              <w:right w:val="single" w:sz="8" w:space="0" w:color="auto"/>
            </w:tcBorders>
            <w:vAlign w:val="center"/>
          </w:tcPr>
          <w:p w14:paraId="55F18FCF" w14:textId="71C01E1A"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Revenue from Government is in-line with the Agency's Original Budget and subsequent net budget reduction for the Agency's operations approved in the 2025</w:t>
            </w:r>
            <w:r w:rsidR="00B06E06" w:rsidRPr="00E10730">
              <w:rPr>
                <w:rFonts w:eastAsia="Calibri" w:cs="Arial"/>
                <w:sz w:val="18"/>
                <w:szCs w:val="18"/>
              </w:rPr>
              <w:t>–</w:t>
            </w:r>
            <w:r w:rsidRPr="00E10730">
              <w:rPr>
                <w:rFonts w:eastAsia="Calibri" w:cs="Arial"/>
                <w:sz w:val="18"/>
                <w:szCs w:val="18"/>
              </w:rPr>
              <w:t>26 MYEFO Budget.</w:t>
            </w:r>
          </w:p>
        </w:tc>
      </w:tr>
      <w:tr w:rsidR="005C6008" w:rsidRPr="00E10730" w14:paraId="0FEA6501" w14:textId="77777777" w:rsidTr="003C330A">
        <w:trPr>
          <w:cantSplit/>
          <w:trHeight w:val="283"/>
        </w:trPr>
        <w:tc>
          <w:tcPr>
            <w:tcW w:w="3648" w:type="dxa"/>
            <w:tcBorders>
              <w:top w:val="nil"/>
              <w:left w:val="single" w:sz="8" w:space="0" w:color="auto"/>
              <w:bottom w:val="single" w:sz="8" w:space="0" w:color="auto"/>
              <w:right w:val="single" w:sz="8" w:space="0" w:color="auto"/>
            </w:tcBorders>
          </w:tcPr>
          <w:p w14:paraId="7E82C4BE"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Other Comprehensive Income</w:t>
            </w:r>
          </w:p>
          <w:p w14:paraId="79C2A6B4"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Changes in asset revaluation reserve</w:t>
            </w:r>
          </w:p>
        </w:tc>
        <w:tc>
          <w:tcPr>
            <w:tcW w:w="5556" w:type="dxa"/>
            <w:tcBorders>
              <w:top w:val="nil"/>
              <w:left w:val="single" w:sz="8" w:space="0" w:color="auto"/>
              <w:bottom w:val="single" w:sz="8" w:space="0" w:color="auto"/>
              <w:right w:val="single" w:sz="8" w:space="0" w:color="auto"/>
            </w:tcBorders>
            <w:vAlign w:val="center"/>
          </w:tcPr>
          <w:p w14:paraId="3B8246FE" w14:textId="0092F6AA"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external revaluation of the Agency's leasehold improvements resulted in a revaluation increment of $14.</w:t>
            </w:r>
            <w:r w:rsidR="0036686F" w:rsidRPr="00E10730">
              <w:rPr>
                <w:rFonts w:eastAsia="Calibri" w:cs="Arial"/>
                <w:sz w:val="18"/>
                <w:szCs w:val="18"/>
              </w:rPr>
              <w:t>09</w:t>
            </w:r>
            <w:r w:rsidRPr="00E10730">
              <w:rPr>
                <w:rFonts w:eastAsia="Calibri" w:cs="Arial"/>
                <w:sz w:val="18"/>
                <w:szCs w:val="18"/>
              </w:rPr>
              <w:t>m during the year, which was not budgeted for.</w:t>
            </w:r>
          </w:p>
        </w:tc>
      </w:tr>
    </w:tbl>
    <w:p w14:paraId="2E318BF7" w14:textId="77777777" w:rsidR="005C6008" w:rsidRPr="00E10730" w:rsidRDefault="005C6008" w:rsidP="00115FA3">
      <w:pPr>
        <w:spacing w:after="160" w:line="240" w:lineRule="auto"/>
        <w:rPr>
          <w:rFonts w:eastAsia="Calibri" w:cs="Arial"/>
          <w:b/>
          <w:bCs/>
        </w:rPr>
      </w:pPr>
      <w:r w:rsidRPr="00E10730">
        <w:rPr>
          <w:rFonts w:eastAsia="Calibri" w:cs="Arial"/>
          <w:b/>
          <w:bCs/>
        </w:rPr>
        <w:br w:type="page"/>
      </w:r>
    </w:p>
    <w:p w14:paraId="3DD349D6" w14:textId="77777777" w:rsidR="005C6008" w:rsidRPr="00D1066F" w:rsidRDefault="005C6008" w:rsidP="00115FA3">
      <w:pPr>
        <w:autoSpaceDE w:val="0"/>
        <w:autoSpaceDN w:val="0"/>
        <w:adjustRightInd w:val="0"/>
        <w:spacing w:after="0" w:line="240" w:lineRule="auto"/>
        <w:rPr>
          <w:rStyle w:val="Strong"/>
        </w:rPr>
      </w:pPr>
      <w:r w:rsidRPr="00D1066F">
        <w:rPr>
          <w:rStyle w:val="Strong"/>
        </w:rPr>
        <w:t>National Disability Insurance Agency</w:t>
      </w:r>
    </w:p>
    <w:p w14:paraId="6DC47F0A" w14:textId="77777777" w:rsidR="005C6008" w:rsidRPr="00D1066F" w:rsidRDefault="005C6008" w:rsidP="00115FA3">
      <w:pPr>
        <w:autoSpaceDE w:val="0"/>
        <w:autoSpaceDN w:val="0"/>
        <w:adjustRightInd w:val="0"/>
        <w:spacing w:after="0" w:line="240" w:lineRule="auto"/>
        <w:rPr>
          <w:rStyle w:val="Strong"/>
        </w:rPr>
      </w:pPr>
      <w:r w:rsidRPr="00D1066F">
        <w:rPr>
          <w:rStyle w:val="Strong"/>
        </w:rPr>
        <w:t>STATEMENT OF FINANCIAL POSITION</w:t>
      </w:r>
    </w:p>
    <w:p w14:paraId="264A9CD8" w14:textId="77777777" w:rsidR="005C6008" w:rsidRPr="00E10730" w:rsidRDefault="005C6008" w:rsidP="00115FA3">
      <w:pPr>
        <w:pBdr>
          <w:bottom w:val="single" w:sz="4" w:space="1" w:color="auto"/>
        </w:pBdr>
        <w:autoSpaceDE w:val="0"/>
        <w:autoSpaceDN w:val="0"/>
        <w:adjustRightInd w:val="0"/>
        <w:spacing w:after="0" w:line="240" w:lineRule="auto"/>
        <w:rPr>
          <w:rFonts w:eastAsia="Calibri" w:cs="Arial"/>
          <w:i/>
          <w:iCs/>
        </w:rPr>
      </w:pPr>
      <w:r w:rsidRPr="00E10730">
        <w:rPr>
          <w:rFonts w:eastAsia="Calibri" w:cs="Arial"/>
          <w:i/>
          <w:iCs/>
        </w:rPr>
        <w:t>as at 30 June 2026</w:t>
      </w:r>
    </w:p>
    <w:p w14:paraId="176FC7D6" w14:textId="77777777" w:rsidR="005C6008" w:rsidRPr="00E10730" w:rsidRDefault="005C6008" w:rsidP="00115FA3">
      <w:pPr>
        <w:autoSpaceDE w:val="0"/>
        <w:autoSpaceDN w:val="0"/>
        <w:adjustRightInd w:val="0"/>
        <w:spacing w:after="0" w:line="240" w:lineRule="auto"/>
        <w:rPr>
          <w:rFonts w:eastAsia="Calibri" w:cs="Arial"/>
          <w:sz w:val="12"/>
          <w:szCs w:val="12"/>
        </w:rPr>
      </w:pPr>
    </w:p>
    <w:tbl>
      <w:tblPr>
        <w:tblW w:w="9074" w:type="dxa"/>
        <w:tblLayout w:type="fixed"/>
        <w:tblCellMar>
          <w:left w:w="57" w:type="dxa"/>
          <w:right w:w="57" w:type="dxa"/>
        </w:tblCellMar>
        <w:tblLook w:val="0000" w:firstRow="0" w:lastRow="0" w:firstColumn="0" w:lastColumn="0" w:noHBand="0" w:noVBand="0"/>
      </w:tblPr>
      <w:tblGrid>
        <w:gridCol w:w="4649"/>
        <w:gridCol w:w="1134"/>
        <w:gridCol w:w="1097"/>
        <w:gridCol w:w="1097"/>
        <w:gridCol w:w="1097"/>
      </w:tblGrid>
      <w:tr w:rsidR="005C6008" w:rsidRPr="00E10730" w14:paraId="3D7E4944" w14:textId="77777777">
        <w:trPr>
          <w:trHeight w:val="500"/>
        </w:trPr>
        <w:tc>
          <w:tcPr>
            <w:tcW w:w="4649" w:type="dxa"/>
            <w:tcBorders>
              <w:top w:val="single" w:sz="8" w:space="0" w:color="800080"/>
              <w:left w:val="nil"/>
              <w:bottom w:val="nil"/>
              <w:right w:val="nil"/>
            </w:tcBorders>
            <w:shd w:val="clear" w:color="FFFFFF" w:fill="FFFFFF"/>
            <w:vAlign w:val="bottom"/>
          </w:tcPr>
          <w:p w14:paraId="36522D84"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single" w:sz="8" w:space="0" w:color="800080"/>
              <w:left w:val="nil"/>
              <w:bottom w:val="nil"/>
              <w:right w:val="nil"/>
            </w:tcBorders>
            <w:shd w:val="clear" w:color="FFFFFF" w:fill="FFFFFF"/>
            <w:vAlign w:val="bottom"/>
          </w:tcPr>
          <w:p w14:paraId="09A8F374"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single" w:sz="8" w:space="0" w:color="800080"/>
              <w:left w:val="nil"/>
              <w:bottom w:val="nil"/>
              <w:right w:val="nil"/>
            </w:tcBorders>
            <w:shd w:val="clear" w:color="FFFFFF" w:fill="FFFFFF"/>
            <w:vAlign w:val="bottom"/>
          </w:tcPr>
          <w:p w14:paraId="31905C18"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7" w:type="dxa"/>
            <w:tcBorders>
              <w:top w:val="single" w:sz="8" w:space="0" w:color="800080"/>
              <w:left w:val="nil"/>
              <w:bottom w:val="nil"/>
              <w:right w:val="nil"/>
            </w:tcBorders>
            <w:shd w:val="clear" w:color="FFFFFF" w:fill="FFFFFF"/>
            <w:vAlign w:val="bottom"/>
          </w:tcPr>
          <w:p w14:paraId="0A29CBFB"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7" w:type="dxa"/>
            <w:tcBorders>
              <w:top w:val="single" w:sz="8" w:space="0" w:color="800080"/>
              <w:left w:val="nil"/>
              <w:bottom w:val="nil"/>
              <w:right w:val="nil"/>
            </w:tcBorders>
            <w:shd w:val="clear" w:color="FFFFFF" w:fill="FFFFFF"/>
            <w:vAlign w:val="bottom"/>
          </w:tcPr>
          <w:p w14:paraId="008305B3"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Original</w:t>
            </w:r>
            <w:r w:rsidRPr="00E10730">
              <w:rPr>
                <w:rFonts w:eastAsia="Calibri" w:cs="Arial"/>
                <w:color w:val="800080"/>
                <w:sz w:val="18"/>
                <w:szCs w:val="18"/>
              </w:rPr>
              <w:br/>
              <w:t>Budget</w:t>
            </w:r>
            <w:r w:rsidRPr="00E10730">
              <w:rPr>
                <w:rFonts w:eastAsia="Calibri" w:cs="Arial"/>
                <w:color w:val="800080"/>
                <w:sz w:val="18"/>
                <w:szCs w:val="18"/>
                <w:vertAlign w:val="superscript"/>
              </w:rPr>
              <w:t>1</w:t>
            </w:r>
          </w:p>
        </w:tc>
      </w:tr>
      <w:tr w:rsidR="005C6008" w:rsidRPr="00E10730" w14:paraId="33073DC5" w14:textId="77777777">
        <w:trPr>
          <w:trHeight w:val="260"/>
        </w:trPr>
        <w:tc>
          <w:tcPr>
            <w:tcW w:w="4649" w:type="dxa"/>
            <w:tcBorders>
              <w:top w:val="nil"/>
              <w:left w:val="nil"/>
              <w:bottom w:val="nil"/>
              <w:right w:val="nil"/>
            </w:tcBorders>
            <w:shd w:val="clear" w:color="FFFFFF" w:fill="FFFFFF"/>
            <w:vAlign w:val="bottom"/>
          </w:tcPr>
          <w:p w14:paraId="30CD9A1C"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nil"/>
              <w:right w:val="nil"/>
            </w:tcBorders>
            <w:shd w:val="clear" w:color="FFFFFF" w:fill="FFFFFF"/>
            <w:vAlign w:val="bottom"/>
          </w:tcPr>
          <w:p w14:paraId="5A9DF265"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7868FEC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097" w:type="dxa"/>
            <w:tcBorders>
              <w:top w:val="nil"/>
              <w:left w:val="nil"/>
              <w:bottom w:val="nil"/>
              <w:right w:val="nil"/>
            </w:tcBorders>
            <w:shd w:val="clear" w:color="FFFFFF" w:fill="FFFFFF"/>
            <w:vAlign w:val="bottom"/>
          </w:tcPr>
          <w:p w14:paraId="6F04172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c>
          <w:tcPr>
            <w:tcW w:w="1097" w:type="dxa"/>
            <w:tcBorders>
              <w:top w:val="nil"/>
              <w:left w:val="nil"/>
              <w:bottom w:val="nil"/>
              <w:right w:val="nil"/>
            </w:tcBorders>
            <w:shd w:val="clear" w:color="FFFFFF" w:fill="FFFFFF"/>
            <w:vAlign w:val="bottom"/>
          </w:tcPr>
          <w:p w14:paraId="0AF9FA62"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2026</w:t>
            </w:r>
          </w:p>
        </w:tc>
      </w:tr>
      <w:tr w:rsidR="005C6008" w:rsidRPr="00E10730" w14:paraId="4B72891E" w14:textId="77777777">
        <w:trPr>
          <w:trHeight w:val="270"/>
        </w:trPr>
        <w:tc>
          <w:tcPr>
            <w:tcW w:w="4649" w:type="dxa"/>
            <w:tcBorders>
              <w:top w:val="nil"/>
              <w:left w:val="nil"/>
              <w:bottom w:val="single" w:sz="8" w:space="0" w:color="800080"/>
              <w:right w:val="nil"/>
            </w:tcBorders>
            <w:shd w:val="clear" w:color="FFFFFF" w:fill="FFFFFF"/>
            <w:vAlign w:val="bottom"/>
          </w:tcPr>
          <w:p w14:paraId="37D982F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single" w:sz="8" w:space="0" w:color="800080"/>
              <w:right w:val="nil"/>
            </w:tcBorders>
            <w:shd w:val="clear" w:color="FFFFFF" w:fill="FFFFFF"/>
            <w:vAlign w:val="bottom"/>
          </w:tcPr>
          <w:p w14:paraId="2E80F8E5" w14:textId="77777777" w:rsidR="005C6008" w:rsidRPr="00E10730" w:rsidRDefault="005C6008" w:rsidP="00115FA3">
            <w:pPr>
              <w:autoSpaceDE w:val="0"/>
              <w:autoSpaceDN w:val="0"/>
              <w:adjustRightInd w:val="0"/>
              <w:spacing w:after="0" w:line="240" w:lineRule="auto"/>
              <w:jc w:val="center"/>
              <w:rPr>
                <w:rFonts w:eastAsia="Calibri" w:cs="Arial"/>
                <w:b/>
                <w:bCs/>
                <w:sz w:val="18"/>
                <w:szCs w:val="18"/>
              </w:rPr>
            </w:pPr>
            <w:r w:rsidRPr="00E10730">
              <w:rPr>
                <w:rFonts w:eastAsia="Calibri" w:cs="Arial"/>
                <w:b/>
                <w:bCs/>
                <w:sz w:val="18"/>
                <w:szCs w:val="18"/>
              </w:rPr>
              <w:t>Notes</w:t>
            </w:r>
          </w:p>
        </w:tc>
        <w:tc>
          <w:tcPr>
            <w:tcW w:w="1097" w:type="dxa"/>
            <w:tcBorders>
              <w:top w:val="nil"/>
              <w:left w:val="nil"/>
              <w:bottom w:val="single" w:sz="8" w:space="0" w:color="800080"/>
              <w:right w:val="nil"/>
            </w:tcBorders>
            <w:shd w:val="clear" w:color="FFFFFF" w:fill="FFFFFF"/>
            <w:vAlign w:val="bottom"/>
          </w:tcPr>
          <w:p w14:paraId="24D93C8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097" w:type="dxa"/>
            <w:tcBorders>
              <w:top w:val="nil"/>
              <w:left w:val="nil"/>
              <w:bottom w:val="single" w:sz="8" w:space="0" w:color="800080"/>
              <w:right w:val="nil"/>
            </w:tcBorders>
            <w:shd w:val="clear" w:color="FFFFFF" w:fill="FFFFFF"/>
            <w:vAlign w:val="bottom"/>
          </w:tcPr>
          <w:p w14:paraId="3CF346D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c>
          <w:tcPr>
            <w:tcW w:w="1097" w:type="dxa"/>
            <w:tcBorders>
              <w:top w:val="nil"/>
              <w:left w:val="nil"/>
              <w:bottom w:val="single" w:sz="8" w:space="0" w:color="800080"/>
              <w:right w:val="nil"/>
            </w:tcBorders>
            <w:shd w:val="clear" w:color="FFFFFF" w:fill="FFFFFF"/>
            <w:vAlign w:val="bottom"/>
          </w:tcPr>
          <w:p w14:paraId="5BF119AA"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$'000</w:t>
            </w:r>
          </w:p>
        </w:tc>
      </w:tr>
      <w:tr w:rsidR="005C6008" w:rsidRPr="00E10730" w14:paraId="6BA65238" w14:textId="77777777">
        <w:trPr>
          <w:trHeight w:val="250"/>
        </w:trPr>
        <w:tc>
          <w:tcPr>
            <w:tcW w:w="4649" w:type="dxa"/>
            <w:tcBorders>
              <w:top w:val="nil"/>
              <w:left w:val="nil"/>
              <w:bottom w:val="nil"/>
              <w:right w:val="nil"/>
            </w:tcBorders>
            <w:shd w:val="clear" w:color="FFFFFF" w:fill="FFFFFF"/>
            <w:vAlign w:val="bottom"/>
          </w:tcPr>
          <w:p w14:paraId="04030F21"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ASSETS</w:t>
            </w:r>
          </w:p>
        </w:tc>
        <w:tc>
          <w:tcPr>
            <w:tcW w:w="1134" w:type="dxa"/>
            <w:tcBorders>
              <w:top w:val="nil"/>
              <w:left w:val="nil"/>
              <w:bottom w:val="nil"/>
              <w:right w:val="nil"/>
            </w:tcBorders>
            <w:shd w:val="clear" w:color="FFFFFF" w:fill="FFFFFF"/>
            <w:vAlign w:val="bottom"/>
          </w:tcPr>
          <w:p w14:paraId="0468268E"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2A9BC697"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351E60C1"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6972940B"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692D5489" w14:textId="77777777">
        <w:trPr>
          <w:trHeight w:val="250"/>
        </w:trPr>
        <w:tc>
          <w:tcPr>
            <w:tcW w:w="4649" w:type="dxa"/>
            <w:tcBorders>
              <w:top w:val="nil"/>
              <w:left w:val="nil"/>
              <w:bottom w:val="nil"/>
              <w:right w:val="nil"/>
            </w:tcBorders>
            <w:shd w:val="clear" w:color="FFFFFF" w:fill="FFFFFF"/>
            <w:vAlign w:val="bottom"/>
          </w:tcPr>
          <w:p w14:paraId="66AD2195"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Financial assets</w:t>
            </w:r>
          </w:p>
        </w:tc>
        <w:tc>
          <w:tcPr>
            <w:tcW w:w="1134" w:type="dxa"/>
            <w:tcBorders>
              <w:top w:val="nil"/>
              <w:left w:val="nil"/>
              <w:bottom w:val="nil"/>
              <w:right w:val="nil"/>
            </w:tcBorders>
            <w:shd w:val="clear" w:color="FFFFFF" w:fill="FFFFFF"/>
            <w:vAlign w:val="bottom"/>
          </w:tcPr>
          <w:p w14:paraId="1AEE390F"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400FA574"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334B250A"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64D8B89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1011AFB7" w14:textId="77777777">
        <w:trPr>
          <w:trHeight w:val="250"/>
        </w:trPr>
        <w:tc>
          <w:tcPr>
            <w:tcW w:w="4649" w:type="dxa"/>
            <w:tcBorders>
              <w:top w:val="nil"/>
              <w:left w:val="nil"/>
              <w:bottom w:val="nil"/>
              <w:right w:val="nil"/>
            </w:tcBorders>
            <w:shd w:val="clear" w:color="FFFFFF" w:fill="FFFFFF"/>
            <w:vAlign w:val="bottom"/>
          </w:tcPr>
          <w:p w14:paraId="0B10FF03"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Cash and cash equivalents</w:t>
            </w:r>
          </w:p>
        </w:tc>
        <w:tc>
          <w:tcPr>
            <w:tcW w:w="1134" w:type="dxa"/>
            <w:tcBorders>
              <w:top w:val="nil"/>
              <w:left w:val="nil"/>
              <w:bottom w:val="nil"/>
              <w:right w:val="nil"/>
            </w:tcBorders>
            <w:vAlign w:val="bottom"/>
          </w:tcPr>
          <w:p w14:paraId="2613D781"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2.1A</w:t>
            </w:r>
          </w:p>
        </w:tc>
        <w:tc>
          <w:tcPr>
            <w:tcW w:w="1097" w:type="dxa"/>
            <w:tcBorders>
              <w:top w:val="nil"/>
              <w:left w:val="nil"/>
              <w:bottom w:val="nil"/>
              <w:right w:val="nil"/>
            </w:tcBorders>
            <w:vAlign w:val="bottom"/>
          </w:tcPr>
          <w:p w14:paraId="623F394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6,055,806</w:t>
            </w:r>
          </w:p>
        </w:tc>
        <w:tc>
          <w:tcPr>
            <w:tcW w:w="1097" w:type="dxa"/>
            <w:tcBorders>
              <w:top w:val="nil"/>
              <w:left w:val="nil"/>
              <w:bottom w:val="nil"/>
              <w:right w:val="nil"/>
            </w:tcBorders>
            <w:vAlign w:val="bottom"/>
          </w:tcPr>
          <w:p w14:paraId="2E85CC6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6,228,958</w:t>
            </w:r>
          </w:p>
        </w:tc>
        <w:tc>
          <w:tcPr>
            <w:tcW w:w="1097" w:type="dxa"/>
            <w:tcBorders>
              <w:top w:val="nil"/>
              <w:left w:val="nil"/>
              <w:bottom w:val="nil"/>
              <w:right w:val="nil"/>
            </w:tcBorders>
            <w:shd w:val="clear" w:color="FFFFFF" w:fill="FFFFFF"/>
            <w:vAlign w:val="bottom"/>
          </w:tcPr>
          <w:p w14:paraId="5DFEB92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6,320,571</w:t>
            </w:r>
          </w:p>
        </w:tc>
      </w:tr>
      <w:tr w:rsidR="005C6008" w:rsidRPr="00E10730" w14:paraId="137C4574" w14:textId="77777777">
        <w:trPr>
          <w:trHeight w:val="250"/>
        </w:trPr>
        <w:tc>
          <w:tcPr>
            <w:tcW w:w="4649" w:type="dxa"/>
            <w:tcBorders>
              <w:top w:val="nil"/>
              <w:left w:val="nil"/>
              <w:bottom w:val="nil"/>
              <w:right w:val="nil"/>
            </w:tcBorders>
            <w:shd w:val="clear" w:color="FFFFFF" w:fill="FFFFFF"/>
            <w:vAlign w:val="bottom"/>
          </w:tcPr>
          <w:p w14:paraId="118EA8D8"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Trade and other receivables</w:t>
            </w:r>
          </w:p>
        </w:tc>
        <w:tc>
          <w:tcPr>
            <w:tcW w:w="1134" w:type="dxa"/>
            <w:tcBorders>
              <w:top w:val="nil"/>
              <w:left w:val="nil"/>
              <w:bottom w:val="nil"/>
              <w:right w:val="nil"/>
            </w:tcBorders>
            <w:vAlign w:val="bottom"/>
          </w:tcPr>
          <w:p w14:paraId="28F02423"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2.1B</w:t>
            </w:r>
          </w:p>
        </w:tc>
        <w:tc>
          <w:tcPr>
            <w:tcW w:w="1097" w:type="dxa"/>
            <w:tcBorders>
              <w:top w:val="nil"/>
              <w:left w:val="nil"/>
              <w:bottom w:val="nil"/>
              <w:right w:val="nil"/>
            </w:tcBorders>
            <w:vAlign w:val="bottom"/>
          </w:tcPr>
          <w:p w14:paraId="1FA7190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86,336</w:t>
            </w:r>
          </w:p>
        </w:tc>
        <w:tc>
          <w:tcPr>
            <w:tcW w:w="1097" w:type="dxa"/>
            <w:tcBorders>
              <w:top w:val="nil"/>
              <w:left w:val="nil"/>
              <w:bottom w:val="nil"/>
              <w:right w:val="nil"/>
            </w:tcBorders>
            <w:vAlign w:val="bottom"/>
          </w:tcPr>
          <w:p w14:paraId="6876D70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108,527</w:t>
            </w:r>
          </w:p>
        </w:tc>
        <w:tc>
          <w:tcPr>
            <w:tcW w:w="1097" w:type="dxa"/>
            <w:tcBorders>
              <w:top w:val="nil"/>
              <w:left w:val="nil"/>
              <w:bottom w:val="nil"/>
              <w:right w:val="nil"/>
            </w:tcBorders>
            <w:shd w:val="clear" w:color="FFFFFF" w:fill="FFFFFF"/>
            <w:vAlign w:val="bottom"/>
          </w:tcPr>
          <w:p w14:paraId="322368E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75,043</w:t>
            </w:r>
          </w:p>
        </w:tc>
      </w:tr>
      <w:tr w:rsidR="005C6008" w:rsidRPr="00E10730" w14:paraId="48B5EDEE" w14:textId="77777777" w:rsidTr="00E10730">
        <w:trPr>
          <w:trHeight w:val="250"/>
        </w:trPr>
        <w:tc>
          <w:tcPr>
            <w:tcW w:w="4649" w:type="dxa"/>
            <w:tcBorders>
              <w:top w:val="nil"/>
              <w:left w:val="nil"/>
              <w:bottom w:val="nil"/>
              <w:right w:val="nil"/>
            </w:tcBorders>
            <w:vAlign w:val="bottom"/>
          </w:tcPr>
          <w:p w14:paraId="21813D52"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Other financial assets</w:t>
            </w:r>
          </w:p>
        </w:tc>
        <w:tc>
          <w:tcPr>
            <w:tcW w:w="1134" w:type="dxa"/>
            <w:tcBorders>
              <w:top w:val="nil"/>
              <w:left w:val="nil"/>
              <w:bottom w:val="nil"/>
              <w:right w:val="nil"/>
            </w:tcBorders>
            <w:vAlign w:val="bottom"/>
          </w:tcPr>
          <w:p w14:paraId="761A45E2" w14:textId="1CE96CAD"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 </w:t>
            </w:r>
          </w:p>
        </w:tc>
        <w:tc>
          <w:tcPr>
            <w:tcW w:w="1097" w:type="dxa"/>
            <w:tcBorders>
              <w:top w:val="nil"/>
              <w:left w:val="nil"/>
              <w:bottom w:val="nil"/>
              <w:right w:val="nil"/>
            </w:tcBorders>
            <w:vAlign w:val="bottom"/>
          </w:tcPr>
          <w:p w14:paraId="68F7D9C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097" w:type="dxa"/>
            <w:tcBorders>
              <w:top w:val="nil"/>
              <w:left w:val="nil"/>
              <w:bottom w:val="nil"/>
              <w:right w:val="nil"/>
            </w:tcBorders>
            <w:vAlign w:val="bottom"/>
          </w:tcPr>
          <w:p w14:paraId="076B5A2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c>
          <w:tcPr>
            <w:tcW w:w="1097" w:type="dxa"/>
            <w:tcBorders>
              <w:top w:val="nil"/>
              <w:left w:val="nil"/>
              <w:bottom w:val="nil"/>
              <w:right w:val="nil"/>
            </w:tcBorders>
            <w:shd w:val="clear" w:color="FFFFFF" w:fill="FFFFFF"/>
            <w:vAlign w:val="bottom"/>
          </w:tcPr>
          <w:p w14:paraId="3C6D507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21,520</w:t>
            </w:r>
          </w:p>
        </w:tc>
      </w:tr>
      <w:tr w:rsidR="005C6008" w:rsidRPr="00E10730" w14:paraId="12B44152" w14:textId="77777777" w:rsidTr="00E10730">
        <w:trPr>
          <w:trHeight w:val="250"/>
        </w:trPr>
        <w:tc>
          <w:tcPr>
            <w:tcW w:w="4649" w:type="dxa"/>
            <w:tcBorders>
              <w:top w:val="nil"/>
              <w:left w:val="nil"/>
              <w:bottom w:val="nil"/>
              <w:right w:val="nil"/>
            </w:tcBorders>
            <w:vAlign w:val="bottom"/>
          </w:tcPr>
          <w:p w14:paraId="06759C7B"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financial assets</w:t>
            </w:r>
          </w:p>
        </w:tc>
        <w:tc>
          <w:tcPr>
            <w:tcW w:w="1134" w:type="dxa"/>
            <w:tcBorders>
              <w:top w:val="nil"/>
              <w:left w:val="nil"/>
              <w:bottom w:val="nil"/>
              <w:right w:val="nil"/>
            </w:tcBorders>
            <w:vAlign w:val="bottom"/>
          </w:tcPr>
          <w:p w14:paraId="6900C611"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shd w:val="clear" w:color="FFFFFF" w:fill="FFFFFF"/>
            <w:vAlign w:val="bottom"/>
          </w:tcPr>
          <w:p w14:paraId="5DBB5A8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6,142,142</w:t>
            </w:r>
          </w:p>
        </w:tc>
        <w:tc>
          <w:tcPr>
            <w:tcW w:w="1097" w:type="dxa"/>
            <w:tcBorders>
              <w:top w:val="single" w:sz="4" w:space="0" w:color="auto"/>
              <w:left w:val="nil"/>
              <w:bottom w:val="single" w:sz="4" w:space="0" w:color="auto"/>
              <w:right w:val="nil"/>
            </w:tcBorders>
            <w:shd w:val="clear" w:color="FFFFFF" w:fill="FFFFFF"/>
            <w:vAlign w:val="bottom"/>
          </w:tcPr>
          <w:p w14:paraId="778D03D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6,337,485</w:t>
            </w:r>
          </w:p>
        </w:tc>
        <w:tc>
          <w:tcPr>
            <w:tcW w:w="1097" w:type="dxa"/>
            <w:tcBorders>
              <w:top w:val="single" w:sz="4" w:space="0" w:color="auto"/>
              <w:left w:val="nil"/>
              <w:bottom w:val="single" w:sz="4" w:space="0" w:color="auto"/>
              <w:right w:val="nil"/>
            </w:tcBorders>
            <w:shd w:val="clear" w:color="FFFFFF" w:fill="FFFFFF"/>
            <w:vAlign w:val="bottom"/>
          </w:tcPr>
          <w:p w14:paraId="77DA748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6,417,134</w:t>
            </w:r>
          </w:p>
        </w:tc>
      </w:tr>
      <w:tr w:rsidR="005C6008" w:rsidRPr="00E10730" w14:paraId="1603E4CA" w14:textId="77777777" w:rsidTr="00E10730">
        <w:trPr>
          <w:trHeight w:val="227"/>
        </w:trPr>
        <w:tc>
          <w:tcPr>
            <w:tcW w:w="4649" w:type="dxa"/>
            <w:tcBorders>
              <w:top w:val="nil"/>
              <w:left w:val="nil"/>
              <w:bottom w:val="nil"/>
              <w:right w:val="nil"/>
            </w:tcBorders>
            <w:vAlign w:val="bottom"/>
          </w:tcPr>
          <w:p w14:paraId="283AB325"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nil"/>
              <w:right w:val="nil"/>
            </w:tcBorders>
            <w:vAlign w:val="bottom"/>
          </w:tcPr>
          <w:p w14:paraId="6EF74970"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1FC933F8"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04DB6253"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6F57CA97"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2B258938" w14:textId="77777777" w:rsidTr="00E10730">
        <w:trPr>
          <w:trHeight w:val="250"/>
        </w:trPr>
        <w:tc>
          <w:tcPr>
            <w:tcW w:w="4649" w:type="dxa"/>
            <w:tcBorders>
              <w:top w:val="nil"/>
              <w:left w:val="nil"/>
              <w:bottom w:val="nil"/>
              <w:right w:val="nil"/>
            </w:tcBorders>
            <w:vAlign w:val="bottom"/>
          </w:tcPr>
          <w:p w14:paraId="2E6CDC72"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Non-financial assets</w:t>
            </w:r>
            <w:r w:rsidRPr="00E10730">
              <w:rPr>
                <w:rFonts w:eastAsia="Calibri" w:cs="Arial"/>
                <w:b/>
                <w:bCs/>
                <w:sz w:val="18"/>
                <w:szCs w:val="18"/>
                <w:vertAlign w:val="superscript"/>
              </w:rPr>
              <w:t>2</w:t>
            </w:r>
          </w:p>
        </w:tc>
        <w:tc>
          <w:tcPr>
            <w:tcW w:w="1134" w:type="dxa"/>
            <w:tcBorders>
              <w:top w:val="nil"/>
              <w:left w:val="nil"/>
              <w:bottom w:val="nil"/>
              <w:right w:val="nil"/>
            </w:tcBorders>
            <w:vAlign w:val="bottom"/>
          </w:tcPr>
          <w:p w14:paraId="2151CAB2"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59D9DADD"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15AE4613"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59C30F0F"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08991525" w14:textId="77777777" w:rsidTr="00E10730">
        <w:trPr>
          <w:trHeight w:val="250"/>
        </w:trPr>
        <w:tc>
          <w:tcPr>
            <w:tcW w:w="4649" w:type="dxa"/>
            <w:tcBorders>
              <w:top w:val="nil"/>
              <w:left w:val="nil"/>
              <w:bottom w:val="nil"/>
              <w:right w:val="nil"/>
            </w:tcBorders>
            <w:vAlign w:val="bottom"/>
          </w:tcPr>
          <w:p w14:paraId="5A0DE9DB"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Buildings</w:t>
            </w:r>
          </w:p>
        </w:tc>
        <w:tc>
          <w:tcPr>
            <w:tcW w:w="1134" w:type="dxa"/>
            <w:tcBorders>
              <w:top w:val="nil"/>
              <w:left w:val="nil"/>
              <w:bottom w:val="nil"/>
              <w:right w:val="nil"/>
            </w:tcBorders>
            <w:vAlign w:val="bottom"/>
          </w:tcPr>
          <w:p w14:paraId="62D15F75"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2.2A</w:t>
            </w:r>
          </w:p>
        </w:tc>
        <w:tc>
          <w:tcPr>
            <w:tcW w:w="1097" w:type="dxa"/>
            <w:tcBorders>
              <w:top w:val="nil"/>
              <w:left w:val="nil"/>
              <w:bottom w:val="nil"/>
              <w:right w:val="nil"/>
            </w:tcBorders>
            <w:shd w:val="clear" w:color="FFFFFF" w:fill="FFFFFF"/>
            <w:vAlign w:val="bottom"/>
          </w:tcPr>
          <w:p w14:paraId="1547F0B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281,398</w:t>
            </w:r>
          </w:p>
        </w:tc>
        <w:tc>
          <w:tcPr>
            <w:tcW w:w="1097" w:type="dxa"/>
            <w:tcBorders>
              <w:top w:val="nil"/>
              <w:left w:val="nil"/>
              <w:bottom w:val="nil"/>
              <w:right w:val="nil"/>
            </w:tcBorders>
            <w:shd w:val="clear" w:color="FFFFFF" w:fill="FFFFFF"/>
            <w:vAlign w:val="bottom"/>
          </w:tcPr>
          <w:p w14:paraId="03EB1EF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211,949</w:t>
            </w:r>
          </w:p>
        </w:tc>
        <w:tc>
          <w:tcPr>
            <w:tcW w:w="1097" w:type="dxa"/>
            <w:tcBorders>
              <w:top w:val="nil"/>
              <w:left w:val="nil"/>
              <w:bottom w:val="nil"/>
              <w:right w:val="nil"/>
            </w:tcBorders>
            <w:shd w:val="clear" w:color="FFFFFF" w:fill="FFFFFF"/>
            <w:vAlign w:val="bottom"/>
          </w:tcPr>
          <w:p w14:paraId="6E10765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322,038</w:t>
            </w:r>
          </w:p>
        </w:tc>
      </w:tr>
      <w:tr w:rsidR="005C6008" w:rsidRPr="00E10730" w14:paraId="08479951" w14:textId="77777777" w:rsidTr="00E10730">
        <w:trPr>
          <w:trHeight w:val="250"/>
        </w:trPr>
        <w:tc>
          <w:tcPr>
            <w:tcW w:w="4649" w:type="dxa"/>
            <w:tcBorders>
              <w:top w:val="nil"/>
              <w:left w:val="nil"/>
              <w:bottom w:val="nil"/>
              <w:right w:val="nil"/>
            </w:tcBorders>
            <w:vAlign w:val="bottom"/>
          </w:tcPr>
          <w:p w14:paraId="73CCD3A0"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Plant and equipment</w:t>
            </w:r>
          </w:p>
        </w:tc>
        <w:tc>
          <w:tcPr>
            <w:tcW w:w="1134" w:type="dxa"/>
            <w:tcBorders>
              <w:top w:val="nil"/>
              <w:left w:val="nil"/>
              <w:bottom w:val="nil"/>
              <w:right w:val="nil"/>
            </w:tcBorders>
            <w:vAlign w:val="bottom"/>
          </w:tcPr>
          <w:p w14:paraId="13DFA141"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2.2A</w:t>
            </w:r>
          </w:p>
        </w:tc>
        <w:tc>
          <w:tcPr>
            <w:tcW w:w="1097" w:type="dxa"/>
            <w:tcBorders>
              <w:top w:val="nil"/>
              <w:left w:val="nil"/>
              <w:bottom w:val="nil"/>
              <w:right w:val="nil"/>
            </w:tcBorders>
            <w:shd w:val="clear" w:color="FFFFFF" w:fill="FFFFFF"/>
            <w:vAlign w:val="bottom"/>
          </w:tcPr>
          <w:p w14:paraId="053A057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14,766</w:t>
            </w:r>
          </w:p>
        </w:tc>
        <w:tc>
          <w:tcPr>
            <w:tcW w:w="1097" w:type="dxa"/>
            <w:tcBorders>
              <w:top w:val="nil"/>
              <w:left w:val="nil"/>
              <w:bottom w:val="nil"/>
              <w:right w:val="nil"/>
            </w:tcBorders>
            <w:shd w:val="clear" w:color="FFFFFF" w:fill="FFFFFF"/>
            <w:vAlign w:val="bottom"/>
          </w:tcPr>
          <w:p w14:paraId="1DF091A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16,452</w:t>
            </w:r>
          </w:p>
        </w:tc>
        <w:tc>
          <w:tcPr>
            <w:tcW w:w="1097" w:type="dxa"/>
            <w:tcBorders>
              <w:top w:val="nil"/>
              <w:left w:val="nil"/>
              <w:bottom w:val="nil"/>
              <w:right w:val="nil"/>
            </w:tcBorders>
            <w:shd w:val="clear" w:color="FFFFFF" w:fill="FFFFFF"/>
            <w:vAlign w:val="bottom"/>
          </w:tcPr>
          <w:p w14:paraId="311185D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17,377</w:t>
            </w:r>
          </w:p>
        </w:tc>
      </w:tr>
      <w:tr w:rsidR="005C6008" w:rsidRPr="00E10730" w14:paraId="3FE3723C" w14:textId="77777777" w:rsidTr="00E10730">
        <w:trPr>
          <w:trHeight w:val="250"/>
        </w:trPr>
        <w:tc>
          <w:tcPr>
            <w:tcW w:w="4649" w:type="dxa"/>
            <w:tcBorders>
              <w:top w:val="nil"/>
              <w:left w:val="nil"/>
              <w:bottom w:val="nil"/>
              <w:right w:val="nil"/>
            </w:tcBorders>
            <w:vAlign w:val="bottom"/>
          </w:tcPr>
          <w:p w14:paraId="3DD16B9A" w14:textId="549498DE"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 xml:space="preserve">Computer </w:t>
            </w:r>
            <w:r w:rsidR="000002C3" w:rsidRPr="00E10730">
              <w:rPr>
                <w:rFonts w:eastAsia="Calibri" w:cs="Arial"/>
                <w:sz w:val="18"/>
                <w:szCs w:val="18"/>
              </w:rPr>
              <w:t>s</w:t>
            </w:r>
            <w:r w:rsidRPr="00E10730">
              <w:rPr>
                <w:rFonts w:eastAsia="Calibri" w:cs="Arial"/>
                <w:sz w:val="18"/>
                <w:szCs w:val="18"/>
              </w:rPr>
              <w:t>oftware</w:t>
            </w:r>
          </w:p>
        </w:tc>
        <w:tc>
          <w:tcPr>
            <w:tcW w:w="1134" w:type="dxa"/>
            <w:tcBorders>
              <w:top w:val="nil"/>
              <w:left w:val="nil"/>
              <w:bottom w:val="nil"/>
              <w:right w:val="nil"/>
            </w:tcBorders>
            <w:vAlign w:val="bottom"/>
          </w:tcPr>
          <w:p w14:paraId="2619CF1C"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2.2A</w:t>
            </w:r>
          </w:p>
        </w:tc>
        <w:tc>
          <w:tcPr>
            <w:tcW w:w="1097" w:type="dxa"/>
            <w:tcBorders>
              <w:top w:val="nil"/>
              <w:left w:val="nil"/>
              <w:bottom w:val="nil"/>
              <w:right w:val="nil"/>
            </w:tcBorders>
            <w:shd w:val="clear" w:color="FFFFFF" w:fill="FFFFFF"/>
            <w:vAlign w:val="bottom"/>
          </w:tcPr>
          <w:p w14:paraId="472B28A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10,702</w:t>
            </w:r>
          </w:p>
        </w:tc>
        <w:tc>
          <w:tcPr>
            <w:tcW w:w="1097" w:type="dxa"/>
            <w:tcBorders>
              <w:top w:val="nil"/>
              <w:left w:val="nil"/>
              <w:bottom w:val="nil"/>
              <w:right w:val="nil"/>
            </w:tcBorders>
            <w:shd w:val="clear" w:color="FFFFFF" w:fill="FFFFFF"/>
            <w:vAlign w:val="bottom"/>
          </w:tcPr>
          <w:p w14:paraId="5DC48E4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c>
          <w:tcPr>
            <w:tcW w:w="1097" w:type="dxa"/>
            <w:tcBorders>
              <w:top w:val="nil"/>
              <w:left w:val="nil"/>
              <w:bottom w:val="nil"/>
              <w:right w:val="nil"/>
            </w:tcBorders>
            <w:shd w:val="clear" w:color="FFFFFF" w:fill="FFFFFF"/>
            <w:vAlign w:val="bottom"/>
          </w:tcPr>
          <w:p w14:paraId="5893F9C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r>
      <w:tr w:rsidR="005C6008" w:rsidRPr="00E10730" w14:paraId="002ADB79" w14:textId="77777777">
        <w:trPr>
          <w:trHeight w:val="250"/>
        </w:trPr>
        <w:tc>
          <w:tcPr>
            <w:tcW w:w="4649" w:type="dxa"/>
            <w:tcBorders>
              <w:top w:val="nil"/>
              <w:left w:val="nil"/>
              <w:bottom w:val="nil"/>
              <w:right w:val="nil"/>
            </w:tcBorders>
            <w:shd w:val="clear" w:color="FFFFFF" w:fill="FFFFFF"/>
            <w:vAlign w:val="bottom"/>
          </w:tcPr>
          <w:p w14:paraId="13A24130"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Other non-financial assets</w:t>
            </w:r>
          </w:p>
        </w:tc>
        <w:tc>
          <w:tcPr>
            <w:tcW w:w="1134" w:type="dxa"/>
            <w:tcBorders>
              <w:top w:val="nil"/>
              <w:left w:val="nil"/>
              <w:bottom w:val="nil"/>
              <w:right w:val="nil"/>
            </w:tcBorders>
            <w:shd w:val="clear" w:color="FFFFFF" w:fill="FFFFFF"/>
            <w:vAlign w:val="bottom"/>
          </w:tcPr>
          <w:p w14:paraId="52AB9CA9"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2.2B</w:t>
            </w:r>
          </w:p>
        </w:tc>
        <w:tc>
          <w:tcPr>
            <w:tcW w:w="1097" w:type="dxa"/>
            <w:tcBorders>
              <w:top w:val="nil"/>
              <w:left w:val="nil"/>
              <w:bottom w:val="nil"/>
              <w:right w:val="nil"/>
            </w:tcBorders>
            <w:shd w:val="clear" w:color="FFFFFF" w:fill="FFFFFF"/>
            <w:vAlign w:val="bottom"/>
          </w:tcPr>
          <w:p w14:paraId="1CA5F18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51,216</w:t>
            </w:r>
          </w:p>
        </w:tc>
        <w:tc>
          <w:tcPr>
            <w:tcW w:w="1097" w:type="dxa"/>
            <w:tcBorders>
              <w:top w:val="nil"/>
              <w:left w:val="nil"/>
              <w:bottom w:val="nil"/>
              <w:right w:val="nil"/>
            </w:tcBorders>
            <w:shd w:val="clear" w:color="FFFFFF" w:fill="FFFFFF"/>
            <w:vAlign w:val="bottom"/>
          </w:tcPr>
          <w:p w14:paraId="252EFA9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36,235</w:t>
            </w:r>
          </w:p>
        </w:tc>
        <w:tc>
          <w:tcPr>
            <w:tcW w:w="1097" w:type="dxa"/>
            <w:tcBorders>
              <w:top w:val="nil"/>
              <w:left w:val="nil"/>
              <w:bottom w:val="nil"/>
              <w:right w:val="nil"/>
            </w:tcBorders>
            <w:shd w:val="clear" w:color="FFFFFF" w:fill="FFFFFF"/>
            <w:vAlign w:val="bottom"/>
          </w:tcPr>
          <w:p w14:paraId="164F6D9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30,264</w:t>
            </w:r>
          </w:p>
        </w:tc>
      </w:tr>
      <w:tr w:rsidR="005C6008" w:rsidRPr="00E10730" w14:paraId="5B733B25" w14:textId="77777777">
        <w:trPr>
          <w:trHeight w:val="250"/>
        </w:trPr>
        <w:tc>
          <w:tcPr>
            <w:tcW w:w="4649" w:type="dxa"/>
            <w:tcBorders>
              <w:top w:val="nil"/>
              <w:left w:val="nil"/>
              <w:bottom w:val="nil"/>
              <w:right w:val="nil"/>
            </w:tcBorders>
            <w:shd w:val="clear" w:color="FFFFFF" w:fill="FFFFFF"/>
            <w:vAlign w:val="bottom"/>
          </w:tcPr>
          <w:p w14:paraId="0732603E"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non-financial assets</w:t>
            </w:r>
          </w:p>
        </w:tc>
        <w:tc>
          <w:tcPr>
            <w:tcW w:w="1134" w:type="dxa"/>
            <w:tcBorders>
              <w:top w:val="nil"/>
              <w:left w:val="nil"/>
              <w:bottom w:val="nil"/>
              <w:right w:val="nil"/>
            </w:tcBorders>
            <w:shd w:val="clear" w:color="FFFFFF" w:fill="FFFFFF"/>
            <w:vAlign w:val="bottom"/>
          </w:tcPr>
          <w:p w14:paraId="32A2CF3E"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shd w:val="clear" w:color="FFFFFF" w:fill="FFFFFF"/>
            <w:vAlign w:val="bottom"/>
          </w:tcPr>
          <w:p w14:paraId="2AF53F8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358,082</w:t>
            </w:r>
          </w:p>
        </w:tc>
        <w:tc>
          <w:tcPr>
            <w:tcW w:w="1097" w:type="dxa"/>
            <w:tcBorders>
              <w:top w:val="single" w:sz="4" w:space="0" w:color="auto"/>
              <w:left w:val="nil"/>
              <w:bottom w:val="single" w:sz="4" w:space="0" w:color="auto"/>
              <w:right w:val="nil"/>
            </w:tcBorders>
            <w:shd w:val="clear" w:color="FFFFFF" w:fill="FFFFFF"/>
            <w:vAlign w:val="bottom"/>
          </w:tcPr>
          <w:p w14:paraId="1D92E99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264,636</w:t>
            </w:r>
          </w:p>
        </w:tc>
        <w:tc>
          <w:tcPr>
            <w:tcW w:w="1097" w:type="dxa"/>
            <w:tcBorders>
              <w:top w:val="single" w:sz="4" w:space="0" w:color="auto"/>
              <w:left w:val="nil"/>
              <w:bottom w:val="single" w:sz="4" w:space="0" w:color="auto"/>
              <w:right w:val="nil"/>
            </w:tcBorders>
            <w:shd w:val="clear" w:color="FFFFFF" w:fill="FFFFFF"/>
            <w:vAlign w:val="bottom"/>
          </w:tcPr>
          <w:p w14:paraId="2818D36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369,679</w:t>
            </w:r>
          </w:p>
        </w:tc>
      </w:tr>
      <w:tr w:rsidR="005C6008" w:rsidRPr="00E10730" w14:paraId="6FBFED62" w14:textId="77777777">
        <w:trPr>
          <w:trHeight w:val="250"/>
        </w:trPr>
        <w:tc>
          <w:tcPr>
            <w:tcW w:w="4649" w:type="dxa"/>
            <w:tcBorders>
              <w:top w:val="nil"/>
              <w:left w:val="nil"/>
              <w:bottom w:val="nil"/>
              <w:right w:val="nil"/>
            </w:tcBorders>
            <w:shd w:val="clear" w:color="FFFFFF" w:fill="FFFFFF"/>
            <w:vAlign w:val="bottom"/>
          </w:tcPr>
          <w:p w14:paraId="6EB0F462"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assets</w:t>
            </w:r>
          </w:p>
        </w:tc>
        <w:tc>
          <w:tcPr>
            <w:tcW w:w="1134" w:type="dxa"/>
            <w:tcBorders>
              <w:top w:val="nil"/>
              <w:left w:val="nil"/>
              <w:bottom w:val="nil"/>
              <w:right w:val="nil"/>
            </w:tcBorders>
            <w:shd w:val="clear" w:color="FFFFFF" w:fill="FFFFFF"/>
            <w:vAlign w:val="bottom"/>
          </w:tcPr>
          <w:p w14:paraId="159C5861"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shd w:val="clear" w:color="FFFFFF" w:fill="FFFFFF"/>
            <w:vAlign w:val="bottom"/>
          </w:tcPr>
          <w:p w14:paraId="29F72F9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6,500,224</w:t>
            </w:r>
          </w:p>
        </w:tc>
        <w:tc>
          <w:tcPr>
            <w:tcW w:w="1097" w:type="dxa"/>
            <w:tcBorders>
              <w:top w:val="single" w:sz="4" w:space="0" w:color="auto"/>
              <w:left w:val="nil"/>
              <w:bottom w:val="single" w:sz="4" w:space="0" w:color="auto"/>
              <w:right w:val="nil"/>
            </w:tcBorders>
            <w:shd w:val="clear" w:color="FFFFFF" w:fill="FFFFFF"/>
            <w:vAlign w:val="bottom"/>
          </w:tcPr>
          <w:p w14:paraId="0AEAAAF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6,602,121</w:t>
            </w:r>
          </w:p>
        </w:tc>
        <w:tc>
          <w:tcPr>
            <w:tcW w:w="1097" w:type="dxa"/>
            <w:tcBorders>
              <w:top w:val="single" w:sz="4" w:space="0" w:color="auto"/>
              <w:left w:val="nil"/>
              <w:bottom w:val="single" w:sz="4" w:space="0" w:color="auto"/>
              <w:right w:val="nil"/>
            </w:tcBorders>
            <w:shd w:val="clear" w:color="FFFFFF" w:fill="FFFFFF"/>
            <w:vAlign w:val="bottom"/>
          </w:tcPr>
          <w:p w14:paraId="67ACEAF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6,786,813</w:t>
            </w:r>
          </w:p>
        </w:tc>
      </w:tr>
      <w:tr w:rsidR="005C6008" w:rsidRPr="00E10730" w14:paraId="7F7B4112" w14:textId="77777777">
        <w:trPr>
          <w:trHeight w:val="227"/>
        </w:trPr>
        <w:tc>
          <w:tcPr>
            <w:tcW w:w="4649" w:type="dxa"/>
            <w:tcBorders>
              <w:top w:val="nil"/>
              <w:left w:val="nil"/>
              <w:bottom w:val="nil"/>
              <w:right w:val="nil"/>
            </w:tcBorders>
            <w:shd w:val="clear" w:color="FFFFFF" w:fill="FFFFFF"/>
            <w:vAlign w:val="bottom"/>
          </w:tcPr>
          <w:p w14:paraId="3102C402"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134" w:type="dxa"/>
            <w:tcBorders>
              <w:top w:val="nil"/>
              <w:left w:val="nil"/>
              <w:bottom w:val="nil"/>
              <w:right w:val="nil"/>
            </w:tcBorders>
            <w:shd w:val="clear" w:color="FFFFFF" w:fill="FFFFFF"/>
            <w:vAlign w:val="bottom"/>
          </w:tcPr>
          <w:p w14:paraId="522660DC" w14:textId="77777777" w:rsidR="005C6008" w:rsidRPr="00E10730" w:rsidRDefault="005C6008" w:rsidP="00115FA3">
            <w:pPr>
              <w:autoSpaceDE w:val="0"/>
              <w:autoSpaceDN w:val="0"/>
              <w:adjustRightInd w:val="0"/>
              <w:spacing w:after="0" w:line="240" w:lineRule="auto"/>
              <w:jc w:val="center"/>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255EB37C"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2"/>
                <w:szCs w:val="12"/>
              </w:rPr>
            </w:pPr>
            <w:r w:rsidRPr="00E10730">
              <w:rPr>
                <w:rFonts w:eastAsia="Calibri" w:cs="Arial"/>
                <w:b/>
                <w:bCs/>
                <w:color w:val="FFFFFF"/>
                <w:sz w:val="12"/>
                <w:szCs w:val="12"/>
              </w:rPr>
              <w:t>-</w:t>
            </w:r>
          </w:p>
        </w:tc>
        <w:tc>
          <w:tcPr>
            <w:tcW w:w="1097" w:type="dxa"/>
            <w:tcBorders>
              <w:top w:val="nil"/>
              <w:left w:val="nil"/>
              <w:bottom w:val="nil"/>
              <w:right w:val="nil"/>
            </w:tcBorders>
            <w:shd w:val="clear" w:color="FFFFFF" w:fill="FFFFFF"/>
            <w:vAlign w:val="bottom"/>
          </w:tcPr>
          <w:p w14:paraId="3D18748A" w14:textId="77777777" w:rsidR="005C6008" w:rsidRPr="00E10730" w:rsidRDefault="005C6008" w:rsidP="00115FA3">
            <w:pPr>
              <w:autoSpaceDE w:val="0"/>
              <w:autoSpaceDN w:val="0"/>
              <w:adjustRightInd w:val="0"/>
              <w:spacing w:after="0" w:line="240" w:lineRule="auto"/>
              <w:jc w:val="right"/>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6E3B9976" w14:textId="77777777" w:rsidR="005C6008" w:rsidRPr="00E10730" w:rsidRDefault="005C6008" w:rsidP="00115FA3">
            <w:pPr>
              <w:autoSpaceDE w:val="0"/>
              <w:autoSpaceDN w:val="0"/>
              <w:adjustRightInd w:val="0"/>
              <w:spacing w:after="0" w:line="240" w:lineRule="auto"/>
              <w:jc w:val="right"/>
              <w:rPr>
                <w:rFonts w:eastAsia="Calibri" w:cs="Arial"/>
                <w:color w:val="FFFFFF"/>
                <w:sz w:val="12"/>
                <w:szCs w:val="12"/>
              </w:rPr>
            </w:pPr>
            <w:r w:rsidRPr="00E10730">
              <w:rPr>
                <w:rFonts w:eastAsia="Calibri" w:cs="Arial"/>
                <w:color w:val="FFFFFF"/>
                <w:sz w:val="12"/>
                <w:szCs w:val="12"/>
              </w:rPr>
              <w:t>-</w:t>
            </w:r>
          </w:p>
        </w:tc>
      </w:tr>
      <w:tr w:rsidR="005C6008" w:rsidRPr="00E10730" w14:paraId="0F51420D" w14:textId="77777777">
        <w:trPr>
          <w:trHeight w:val="250"/>
        </w:trPr>
        <w:tc>
          <w:tcPr>
            <w:tcW w:w="4649" w:type="dxa"/>
            <w:tcBorders>
              <w:top w:val="nil"/>
              <w:left w:val="nil"/>
              <w:bottom w:val="nil"/>
              <w:right w:val="nil"/>
            </w:tcBorders>
            <w:shd w:val="clear" w:color="FFFFFF" w:fill="FFFFFF"/>
            <w:vAlign w:val="bottom"/>
          </w:tcPr>
          <w:p w14:paraId="367C3D7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LIABILITIES</w:t>
            </w:r>
          </w:p>
        </w:tc>
        <w:tc>
          <w:tcPr>
            <w:tcW w:w="1134" w:type="dxa"/>
            <w:tcBorders>
              <w:top w:val="nil"/>
              <w:left w:val="nil"/>
              <w:bottom w:val="nil"/>
              <w:right w:val="nil"/>
            </w:tcBorders>
            <w:shd w:val="clear" w:color="FFFFFF" w:fill="FFFFFF"/>
            <w:vAlign w:val="bottom"/>
          </w:tcPr>
          <w:p w14:paraId="574E9D53"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7DF66199"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7" w:type="dxa"/>
            <w:tcBorders>
              <w:top w:val="nil"/>
              <w:left w:val="nil"/>
              <w:bottom w:val="nil"/>
              <w:right w:val="nil"/>
            </w:tcBorders>
            <w:shd w:val="clear" w:color="FFFFFF" w:fill="FFFFFF"/>
            <w:vAlign w:val="bottom"/>
          </w:tcPr>
          <w:p w14:paraId="700B32B9"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78A5E50E"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2D0D1B64" w14:textId="77777777">
        <w:trPr>
          <w:trHeight w:val="250"/>
        </w:trPr>
        <w:tc>
          <w:tcPr>
            <w:tcW w:w="4649" w:type="dxa"/>
            <w:tcBorders>
              <w:top w:val="nil"/>
              <w:left w:val="nil"/>
              <w:bottom w:val="nil"/>
              <w:right w:val="nil"/>
            </w:tcBorders>
            <w:shd w:val="clear" w:color="FFFFFF" w:fill="FFFFFF"/>
            <w:vAlign w:val="bottom"/>
          </w:tcPr>
          <w:p w14:paraId="3B5F98DB"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Payables</w:t>
            </w:r>
          </w:p>
        </w:tc>
        <w:tc>
          <w:tcPr>
            <w:tcW w:w="1134" w:type="dxa"/>
            <w:tcBorders>
              <w:top w:val="nil"/>
              <w:left w:val="nil"/>
              <w:bottom w:val="nil"/>
              <w:right w:val="nil"/>
            </w:tcBorders>
            <w:shd w:val="clear" w:color="FFFFFF" w:fill="FFFFFF"/>
            <w:vAlign w:val="bottom"/>
          </w:tcPr>
          <w:p w14:paraId="5D77E2DF"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5B4772A1"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7" w:type="dxa"/>
            <w:tcBorders>
              <w:top w:val="nil"/>
              <w:left w:val="nil"/>
              <w:bottom w:val="nil"/>
              <w:right w:val="nil"/>
            </w:tcBorders>
            <w:shd w:val="clear" w:color="FFFFFF" w:fill="FFFFFF"/>
            <w:vAlign w:val="bottom"/>
          </w:tcPr>
          <w:p w14:paraId="5F0580B9"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71282B2C"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627052C6" w14:textId="77777777">
        <w:trPr>
          <w:trHeight w:val="250"/>
        </w:trPr>
        <w:tc>
          <w:tcPr>
            <w:tcW w:w="4649" w:type="dxa"/>
            <w:tcBorders>
              <w:top w:val="nil"/>
              <w:left w:val="nil"/>
              <w:bottom w:val="nil"/>
              <w:right w:val="nil"/>
            </w:tcBorders>
            <w:shd w:val="clear" w:color="FFFFFF" w:fill="FFFFFF"/>
            <w:vAlign w:val="bottom"/>
          </w:tcPr>
          <w:p w14:paraId="6AE08E16"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Suppliers</w:t>
            </w:r>
          </w:p>
        </w:tc>
        <w:tc>
          <w:tcPr>
            <w:tcW w:w="1134" w:type="dxa"/>
            <w:tcBorders>
              <w:top w:val="nil"/>
              <w:left w:val="nil"/>
              <w:bottom w:val="nil"/>
              <w:right w:val="nil"/>
            </w:tcBorders>
            <w:shd w:val="clear" w:color="FFFFFF" w:fill="FFFFFF"/>
            <w:vAlign w:val="bottom"/>
          </w:tcPr>
          <w:p w14:paraId="43B7DC20"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2.3A</w:t>
            </w:r>
          </w:p>
        </w:tc>
        <w:tc>
          <w:tcPr>
            <w:tcW w:w="1097" w:type="dxa"/>
            <w:tcBorders>
              <w:top w:val="nil"/>
              <w:left w:val="nil"/>
              <w:bottom w:val="nil"/>
              <w:right w:val="nil"/>
            </w:tcBorders>
            <w:shd w:val="clear" w:color="FFFFFF" w:fill="FFFFFF"/>
            <w:vAlign w:val="bottom"/>
          </w:tcPr>
          <w:p w14:paraId="7F84947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834,261</w:t>
            </w:r>
          </w:p>
        </w:tc>
        <w:tc>
          <w:tcPr>
            <w:tcW w:w="1097" w:type="dxa"/>
            <w:tcBorders>
              <w:top w:val="nil"/>
              <w:left w:val="nil"/>
              <w:bottom w:val="nil"/>
              <w:right w:val="nil"/>
            </w:tcBorders>
            <w:shd w:val="clear" w:color="FFFFFF" w:fill="FFFFFF"/>
            <w:vAlign w:val="bottom"/>
          </w:tcPr>
          <w:p w14:paraId="1C404EB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1,281,462</w:t>
            </w:r>
          </w:p>
        </w:tc>
        <w:tc>
          <w:tcPr>
            <w:tcW w:w="1097" w:type="dxa"/>
            <w:tcBorders>
              <w:top w:val="nil"/>
              <w:left w:val="nil"/>
              <w:bottom w:val="nil"/>
              <w:right w:val="nil"/>
            </w:tcBorders>
            <w:shd w:val="clear" w:color="FFFFFF" w:fill="FFFFFF"/>
            <w:vAlign w:val="bottom"/>
          </w:tcPr>
          <w:p w14:paraId="6A192A1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356,667</w:t>
            </w:r>
          </w:p>
        </w:tc>
      </w:tr>
      <w:tr w:rsidR="005C6008" w:rsidRPr="00E10730" w14:paraId="310C50A5" w14:textId="77777777">
        <w:trPr>
          <w:trHeight w:val="250"/>
        </w:trPr>
        <w:tc>
          <w:tcPr>
            <w:tcW w:w="4649" w:type="dxa"/>
            <w:tcBorders>
              <w:top w:val="nil"/>
              <w:left w:val="nil"/>
              <w:bottom w:val="nil"/>
              <w:right w:val="nil"/>
            </w:tcBorders>
            <w:shd w:val="clear" w:color="FFFFFF" w:fill="FFFFFF"/>
            <w:vAlign w:val="bottom"/>
          </w:tcPr>
          <w:p w14:paraId="0A246C65"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Other payables</w:t>
            </w:r>
          </w:p>
        </w:tc>
        <w:tc>
          <w:tcPr>
            <w:tcW w:w="1134" w:type="dxa"/>
            <w:tcBorders>
              <w:top w:val="nil"/>
              <w:left w:val="nil"/>
              <w:bottom w:val="nil"/>
              <w:right w:val="nil"/>
            </w:tcBorders>
            <w:shd w:val="clear" w:color="FFFFFF" w:fill="FFFFFF"/>
            <w:vAlign w:val="bottom"/>
          </w:tcPr>
          <w:p w14:paraId="325F18D6"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2.3B</w:t>
            </w:r>
          </w:p>
        </w:tc>
        <w:tc>
          <w:tcPr>
            <w:tcW w:w="1097" w:type="dxa"/>
            <w:tcBorders>
              <w:top w:val="nil"/>
              <w:left w:val="nil"/>
              <w:bottom w:val="nil"/>
              <w:right w:val="nil"/>
            </w:tcBorders>
            <w:shd w:val="clear" w:color="FFFFFF" w:fill="FFFFFF"/>
            <w:vAlign w:val="bottom"/>
          </w:tcPr>
          <w:p w14:paraId="0548A1C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44,841</w:t>
            </w:r>
          </w:p>
        </w:tc>
        <w:tc>
          <w:tcPr>
            <w:tcW w:w="1097" w:type="dxa"/>
            <w:tcBorders>
              <w:top w:val="nil"/>
              <w:left w:val="nil"/>
              <w:bottom w:val="nil"/>
              <w:right w:val="nil"/>
            </w:tcBorders>
            <w:shd w:val="clear" w:color="FFFFFF" w:fill="FFFFFF"/>
            <w:vAlign w:val="bottom"/>
          </w:tcPr>
          <w:p w14:paraId="4E735FE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34,062</w:t>
            </w:r>
          </w:p>
        </w:tc>
        <w:tc>
          <w:tcPr>
            <w:tcW w:w="1097" w:type="dxa"/>
            <w:tcBorders>
              <w:top w:val="nil"/>
              <w:left w:val="nil"/>
              <w:bottom w:val="nil"/>
              <w:right w:val="nil"/>
            </w:tcBorders>
            <w:shd w:val="clear" w:color="FFFFFF" w:fill="FFFFFF"/>
            <w:vAlign w:val="bottom"/>
          </w:tcPr>
          <w:p w14:paraId="3B33107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327,023</w:t>
            </w:r>
          </w:p>
        </w:tc>
      </w:tr>
      <w:tr w:rsidR="005C6008" w:rsidRPr="00E10730" w14:paraId="6B428104" w14:textId="77777777">
        <w:trPr>
          <w:trHeight w:val="250"/>
        </w:trPr>
        <w:tc>
          <w:tcPr>
            <w:tcW w:w="4649" w:type="dxa"/>
            <w:tcBorders>
              <w:top w:val="nil"/>
              <w:left w:val="nil"/>
              <w:bottom w:val="nil"/>
              <w:right w:val="nil"/>
            </w:tcBorders>
            <w:shd w:val="clear" w:color="FFFFFF" w:fill="FFFFFF"/>
            <w:vAlign w:val="bottom"/>
          </w:tcPr>
          <w:p w14:paraId="407E9D7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payables</w:t>
            </w:r>
          </w:p>
        </w:tc>
        <w:tc>
          <w:tcPr>
            <w:tcW w:w="1134" w:type="dxa"/>
            <w:tcBorders>
              <w:top w:val="nil"/>
              <w:left w:val="nil"/>
              <w:bottom w:val="nil"/>
              <w:right w:val="nil"/>
            </w:tcBorders>
            <w:shd w:val="clear" w:color="FFFFFF" w:fill="FFFFFF"/>
            <w:vAlign w:val="bottom"/>
          </w:tcPr>
          <w:p w14:paraId="546C8C31"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shd w:val="clear" w:color="FFFFFF" w:fill="FFFFFF"/>
            <w:vAlign w:val="bottom"/>
          </w:tcPr>
          <w:p w14:paraId="634B0E1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879,102</w:t>
            </w:r>
          </w:p>
        </w:tc>
        <w:tc>
          <w:tcPr>
            <w:tcW w:w="1097" w:type="dxa"/>
            <w:tcBorders>
              <w:top w:val="single" w:sz="4" w:space="0" w:color="auto"/>
              <w:left w:val="nil"/>
              <w:bottom w:val="single" w:sz="4" w:space="0" w:color="auto"/>
              <w:right w:val="nil"/>
            </w:tcBorders>
            <w:shd w:val="clear" w:color="FFFFFF" w:fill="FFFFFF"/>
            <w:vAlign w:val="bottom"/>
          </w:tcPr>
          <w:p w14:paraId="51685D7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1,315,524</w:t>
            </w:r>
          </w:p>
        </w:tc>
        <w:tc>
          <w:tcPr>
            <w:tcW w:w="1097" w:type="dxa"/>
            <w:tcBorders>
              <w:top w:val="single" w:sz="4" w:space="0" w:color="auto"/>
              <w:left w:val="nil"/>
              <w:bottom w:val="single" w:sz="4" w:space="0" w:color="auto"/>
              <w:right w:val="nil"/>
            </w:tcBorders>
            <w:shd w:val="clear" w:color="FFFFFF" w:fill="FFFFFF"/>
            <w:vAlign w:val="bottom"/>
          </w:tcPr>
          <w:p w14:paraId="2BD6D1F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683,690</w:t>
            </w:r>
          </w:p>
        </w:tc>
      </w:tr>
      <w:tr w:rsidR="005C6008" w:rsidRPr="00E10730" w14:paraId="6FFD672E" w14:textId="77777777">
        <w:trPr>
          <w:trHeight w:val="227"/>
        </w:trPr>
        <w:tc>
          <w:tcPr>
            <w:tcW w:w="4649" w:type="dxa"/>
            <w:tcBorders>
              <w:top w:val="nil"/>
              <w:left w:val="nil"/>
              <w:bottom w:val="nil"/>
              <w:right w:val="nil"/>
            </w:tcBorders>
            <w:shd w:val="clear" w:color="FFFFFF" w:fill="FFFFFF"/>
            <w:vAlign w:val="bottom"/>
          </w:tcPr>
          <w:p w14:paraId="715C79CD"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134" w:type="dxa"/>
            <w:tcBorders>
              <w:top w:val="nil"/>
              <w:left w:val="nil"/>
              <w:bottom w:val="nil"/>
              <w:right w:val="nil"/>
            </w:tcBorders>
            <w:shd w:val="clear" w:color="FFFFFF" w:fill="FFFFFF"/>
            <w:vAlign w:val="bottom"/>
          </w:tcPr>
          <w:p w14:paraId="03B9975A"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01EFFE23"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6EF53F28"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5184D572"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r>
      <w:tr w:rsidR="005C6008" w:rsidRPr="00E10730" w14:paraId="09575DDC" w14:textId="77777777">
        <w:trPr>
          <w:trHeight w:val="250"/>
        </w:trPr>
        <w:tc>
          <w:tcPr>
            <w:tcW w:w="4649" w:type="dxa"/>
            <w:tcBorders>
              <w:top w:val="nil"/>
              <w:left w:val="nil"/>
              <w:bottom w:val="nil"/>
              <w:right w:val="nil"/>
            </w:tcBorders>
            <w:shd w:val="clear" w:color="FFFFFF" w:fill="FFFFFF"/>
            <w:vAlign w:val="bottom"/>
          </w:tcPr>
          <w:p w14:paraId="676C37B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Interest bearing liabilities</w:t>
            </w:r>
          </w:p>
        </w:tc>
        <w:tc>
          <w:tcPr>
            <w:tcW w:w="1134" w:type="dxa"/>
            <w:tcBorders>
              <w:top w:val="nil"/>
              <w:left w:val="nil"/>
              <w:bottom w:val="nil"/>
              <w:right w:val="nil"/>
            </w:tcBorders>
            <w:shd w:val="clear" w:color="FFFFFF" w:fill="FFFFFF"/>
            <w:vAlign w:val="bottom"/>
          </w:tcPr>
          <w:p w14:paraId="3DA21F74"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0F9D72EB"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7" w:type="dxa"/>
            <w:tcBorders>
              <w:top w:val="nil"/>
              <w:left w:val="nil"/>
              <w:bottom w:val="nil"/>
              <w:right w:val="nil"/>
            </w:tcBorders>
            <w:shd w:val="clear" w:color="FFFFFF" w:fill="FFFFFF"/>
            <w:vAlign w:val="bottom"/>
          </w:tcPr>
          <w:p w14:paraId="264E69AE"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2938F68E"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49CA7EC9" w14:textId="77777777">
        <w:trPr>
          <w:trHeight w:val="250"/>
        </w:trPr>
        <w:tc>
          <w:tcPr>
            <w:tcW w:w="4649" w:type="dxa"/>
            <w:tcBorders>
              <w:top w:val="nil"/>
              <w:left w:val="nil"/>
              <w:bottom w:val="nil"/>
              <w:right w:val="nil"/>
            </w:tcBorders>
            <w:shd w:val="clear" w:color="FFFFFF" w:fill="FFFFFF"/>
            <w:vAlign w:val="bottom"/>
          </w:tcPr>
          <w:p w14:paraId="77B88434"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Leases</w:t>
            </w:r>
          </w:p>
        </w:tc>
        <w:tc>
          <w:tcPr>
            <w:tcW w:w="1134" w:type="dxa"/>
            <w:tcBorders>
              <w:top w:val="nil"/>
              <w:left w:val="nil"/>
              <w:bottom w:val="nil"/>
              <w:right w:val="nil"/>
            </w:tcBorders>
            <w:shd w:val="clear" w:color="FFFFFF" w:fill="FFFFFF"/>
            <w:vAlign w:val="bottom"/>
          </w:tcPr>
          <w:p w14:paraId="7CB4C36F"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2.5</w:t>
            </w:r>
          </w:p>
        </w:tc>
        <w:tc>
          <w:tcPr>
            <w:tcW w:w="1097" w:type="dxa"/>
            <w:tcBorders>
              <w:top w:val="nil"/>
              <w:left w:val="nil"/>
              <w:bottom w:val="nil"/>
              <w:right w:val="nil"/>
            </w:tcBorders>
            <w:shd w:val="clear" w:color="FFFFFF" w:fill="FFFFFF"/>
            <w:vAlign w:val="bottom"/>
          </w:tcPr>
          <w:p w14:paraId="3DBA85F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149,516</w:t>
            </w:r>
          </w:p>
        </w:tc>
        <w:tc>
          <w:tcPr>
            <w:tcW w:w="1097" w:type="dxa"/>
            <w:tcBorders>
              <w:top w:val="nil"/>
              <w:left w:val="nil"/>
              <w:bottom w:val="nil"/>
              <w:right w:val="nil"/>
            </w:tcBorders>
            <w:shd w:val="clear" w:color="FFFFFF" w:fill="FFFFFF"/>
            <w:vAlign w:val="bottom"/>
          </w:tcPr>
          <w:p w14:paraId="37B22C5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150,578</w:t>
            </w:r>
          </w:p>
        </w:tc>
        <w:tc>
          <w:tcPr>
            <w:tcW w:w="1097" w:type="dxa"/>
            <w:tcBorders>
              <w:top w:val="nil"/>
              <w:left w:val="nil"/>
              <w:bottom w:val="nil"/>
              <w:right w:val="nil"/>
            </w:tcBorders>
            <w:shd w:val="clear" w:color="FFFFFF" w:fill="FFFFFF"/>
            <w:vAlign w:val="bottom"/>
          </w:tcPr>
          <w:p w14:paraId="495B2C9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180,499</w:t>
            </w:r>
          </w:p>
        </w:tc>
      </w:tr>
      <w:tr w:rsidR="005C6008" w:rsidRPr="00E10730" w14:paraId="5390A096" w14:textId="77777777">
        <w:trPr>
          <w:trHeight w:val="250"/>
        </w:trPr>
        <w:tc>
          <w:tcPr>
            <w:tcW w:w="4649" w:type="dxa"/>
            <w:tcBorders>
              <w:top w:val="nil"/>
              <w:left w:val="nil"/>
              <w:bottom w:val="nil"/>
              <w:right w:val="nil"/>
            </w:tcBorders>
            <w:shd w:val="clear" w:color="FFFFFF" w:fill="FFFFFF"/>
            <w:vAlign w:val="bottom"/>
          </w:tcPr>
          <w:p w14:paraId="786ECE5E"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interest bearing liabilities</w:t>
            </w:r>
          </w:p>
        </w:tc>
        <w:tc>
          <w:tcPr>
            <w:tcW w:w="1134" w:type="dxa"/>
            <w:tcBorders>
              <w:top w:val="nil"/>
              <w:left w:val="nil"/>
              <w:bottom w:val="nil"/>
              <w:right w:val="nil"/>
            </w:tcBorders>
            <w:shd w:val="clear" w:color="FFFFFF" w:fill="FFFFFF"/>
            <w:vAlign w:val="bottom"/>
          </w:tcPr>
          <w:p w14:paraId="4DEFD4D3"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shd w:val="clear" w:color="FFFFFF" w:fill="FFFFFF"/>
            <w:vAlign w:val="bottom"/>
          </w:tcPr>
          <w:p w14:paraId="04C4730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149,516</w:t>
            </w:r>
          </w:p>
        </w:tc>
        <w:tc>
          <w:tcPr>
            <w:tcW w:w="1097" w:type="dxa"/>
            <w:tcBorders>
              <w:top w:val="single" w:sz="4" w:space="0" w:color="auto"/>
              <w:left w:val="nil"/>
              <w:bottom w:val="single" w:sz="4" w:space="0" w:color="auto"/>
              <w:right w:val="nil"/>
            </w:tcBorders>
            <w:shd w:val="clear" w:color="FFFFFF" w:fill="FFFFFF"/>
            <w:vAlign w:val="bottom"/>
          </w:tcPr>
          <w:p w14:paraId="7F7E8FB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150,578</w:t>
            </w:r>
          </w:p>
        </w:tc>
        <w:tc>
          <w:tcPr>
            <w:tcW w:w="1097" w:type="dxa"/>
            <w:tcBorders>
              <w:top w:val="single" w:sz="4" w:space="0" w:color="auto"/>
              <w:left w:val="nil"/>
              <w:bottom w:val="single" w:sz="4" w:space="0" w:color="auto"/>
              <w:right w:val="nil"/>
            </w:tcBorders>
            <w:shd w:val="clear" w:color="FFFFFF" w:fill="FFFFFF"/>
            <w:vAlign w:val="bottom"/>
          </w:tcPr>
          <w:p w14:paraId="355D339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180,499</w:t>
            </w:r>
          </w:p>
        </w:tc>
      </w:tr>
      <w:tr w:rsidR="005C6008" w:rsidRPr="00E10730" w14:paraId="385CC48C" w14:textId="77777777">
        <w:trPr>
          <w:trHeight w:val="227"/>
        </w:trPr>
        <w:tc>
          <w:tcPr>
            <w:tcW w:w="4649" w:type="dxa"/>
            <w:tcBorders>
              <w:top w:val="nil"/>
              <w:left w:val="nil"/>
              <w:bottom w:val="nil"/>
              <w:right w:val="nil"/>
            </w:tcBorders>
            <w:shd w:val="clear" w:color="FFFFFF" w:fill="FFFFFF"/>
            <w:vAlign w:val="bottom"/>
          </w:tcPr>
          <w:p w14:paraId="6E6D82F1"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134" w:type="dxa"/>
            <w:tcBorders>
              <w:top w:val="nil"/>
              <w:left w:val="nil"/>
              <w:bottom w:val="nil"/>
              <w:right w:val="nil"/>
            </w:tcBorders>
            <w:shd w:val="clear" w:color="FFFFFF" w:fill="FFFFFF"/>
            <w:vAlign w:val="bottom"/>
          </w:tcPr>
          <w:p w14:paraId="7A453954"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4CB54D5E"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6265E0BE"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796BD1CE"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r>
      <w:tr w:rsidR="005C6008" w:rsidRPr="00E10730" w14:paraId="2E6EB293" w14:textId="77777777">
        <w:trPr>
          <w:trHeight w:val="250"/>
        </w:trPr>
        <w:tc>
          <w:tcPr>
            <w:tcW w:w="4649" w:type="dxa"/>
            <w:tcBorders>
              <w:top w:val="nil"/>
              <w:left w:val="nil"/>
              <w:bottom w:val="nil"/>
              <w:right w:val="nil"/>
            </w:tcBorders>
            <w:shd w:val="clear" w:color="FFFFFF" w:fill="FFFFFF"/>
            <w:vAlign w:val="bottom"/>
          </w:tcPr>
          <w:p w14:paraId="59ECFA50"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Unearned revenue</w:t>
            </w:r>
          </w:p>
        </w:tc>
        <w:tc>
          <w:tcPr>
            <w:tcW w:w="1134" w:type="dxa"/>
            <w:tcBorders>
              <w:top w:val="nil"/>
              <w:left w:val="nil"/>
              <w:bottom w:val="nil"/>
              <w:right w:val="nil"/>
            </w:tcBorders>
            <w:shd w:val="clear" w:color="FFFFFF" w:fill="FFFFFF"/>
            <w:vAlign w:val="bottom"/>
          </w:tcPr>
          <w:p w14:paraId="734BA587"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381A1D69"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5CE7183D"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2899C6DC"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167D171B" w14:textId="77777777">
        <w:trPr>
          <w:trHeight w:val="268"/>
        </w:trPr>
        <w:tc>
          <w:tcPr>
            <w:tcW w:w="4649" w:type="dxa"/>
            <w:tcBorders>
              <w:top w:val="nil"/>
              <w:left w:val="nil"/>
              <w:bottom w:val="nil"/>
              <w:right w:val="nil"/>
            </w:tcBorders>
            <w:shd w:val="clear" w:color="FFFFFF" w:fill="FFFFFF"/>
            <w:vAlign w:val="bottom"/>
          </w:tcPr>
          <w:p w14:paraId="67C58445"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Unearned revenue</w:t>
            </w:r>
          </w:p>
        </w:tc>
        <w:tc>
          <w:tcPr>
            <w:tcW w:w="1134" w:type="dxa"/>
            <w:tcBorders>
              <w:top w:val="nil"/>
              <w:left w:val="nil"/>
              <w:bottom w:val="nil"/>
              <w:right w:val="nil"/>
            </w:tcBorders>
            <w:shd w:val="clear" w:color="FFFFFF" w:fill="FFFFFF"/>
            <w:vAlign w:val="bottom"/>
          </w:tcPr>
          <w:p w14:paraId="1F70473A"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2.4</w:t>
            </w:r>
          </w:p>
        </w:tc>
        <w:tc>
          <w:tcPr>
            <w:tcW w:w="1097" w:type="dxa"/>
            <w:tcBorders>
              <w:top w:val="nil"/>
              <w:left w:val="nil"/>
              <w:bottom w:val="nil"/>
              <w:right w:val="nil"/>
            </w:tcBorders>
            <w:shd w:val="clear" w:color="FFFFFF" w:fill="FFFFFF"/>
            <w:vAlign w:val="bottom"/>
          </w:tcPr>
          <w:p w14:paraId="31692EB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485,618</w:t>
            </w:r>
          </w:p>
        </w:tc>
        <w:tc>
          <w:tcPr>
            <w:tcW w:w="1097" w:type="dxa"/>
            <w:tcBorders>
              <w:top w:val="nil"/>
              <w:left w:val="nil"/>
              <w:bottom w:val="nil"/>
              <w:right w:val="nil"/>
            </w:tcBorders>
            <w:shd w:val="clear" w:color="FFFFFF" w:fill="FFFFFF"/>
            <w:vAlign w:val="bottom"/>
          </w:tcPr>
          <w:p w14:paraId="2B3240F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454,784</w:t>
            </w:r>
          </w:p>
        </w:tc>
        <w:tc>
          <w:tcPr>
            <w:tcW w:w="1097" w:type="dxa"/>
            <w:tcBorders>
              <w:top w:val="nil"/>
              <w:left w:val="nil"/>
              <w:bottom w:val="nil"/>
              <w:right w:val="nil"/>
            </w:tcBorders>
            <w:shd w:val="clear" w:color="FFFFFF" w:fill="FFFFFF"/>
            <w:vAlign w:val="bottom"/>
          </w:tcPr>
          <w:p w14:paraId="41F2B10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289,093</w:t>
            </w:r>
          </w:p>
        </w:tc>
      </w:tr>
      <w:tr w:rsidR="005C6008" w:rsidRPr="00E10730" w14:paraId="184AC2AE" w14:textId="77777777">
        <w:trPr>
          <w:trHeight w:val="268"/>
        </w:trPr>
        <w:tc>
          <w:tcPr>
            <w:tcW w:w="4649" w:type="dxa"/>
            <w:tcBorders>
              <w:top w:val="nil"/>
              <w:left w:val="nil"/>
              <w:bottom w:val="nil"/>
              <w:right w:val="nil"/>
            </w:tcBorders>
            <w:shd w:val="clear" w:color="FFFFFF" w:fill="FFFFFF"/>
            <w:vAlign w:val="bottom"/>
          </w:tcPr>
          <w:p w14:paraId="57EC32EF"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unearned revenue</w:t>
            </w:r>
          </w:p>
        </w:tc>
        <w:tc>
          <w:tcPr>
            <w:tcW w:w="1134" w:type="dxa"/>
            <w:tcBorders>
              <w:top w:val="nil"/>
              <w:left w:val="nil"/>
              <w:bottom w:val="nil"/>
              <w:right w:val="nil"/>
            </w:tcBorders>
            <w:shd w:val="clear" w:color="FFFFFF" w:fill="FFFFFF"/>
            <w:vAlign w:val="bottom"/>
          </w:tcPr>
          <w:p w14:paraId="1B6AE9A5"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shd w:val="clear" w:color="FFFFFF" w:fill="FFFFFF"/>
            <w:vAlign w:val="bottom"/>
          </w:tcPr>
          <w:p w14:paraId="6F922B3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485,618</w:t>
            </w:r>
          </w:p>
        </w:tc>
        <w:tc>
          <w:tcPr>
            <w:tcW w:w="1097" w:type="dxa"/>
            <w:tcBorders>
              <w:top w:val="single" w:sz="4" w:space="0" w:color="auto"/>
              <w:left w:val="nil"/>
              <w:bottom w:val="single" w:sz="4" w:space="0" w:color="auto"/>
              <w:right w:val="nil"/>
            </w:tcBorders>
            <w:shd w:val="clear" w:color="FFFFFF" w:fill="FFFFFF"/>
            <w:vAlign w:val="bottom"/>
          </w:tcPr>
          <w:p w14:paraId="5590D9B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454,784</w:t>
            </w:r>
          </w:p>
        </w:tc>
        <w:tc>
          <w:tcPr>
            <w:tcW w:w="1097" w:type="dxa"/>
            <w:tcBorders>
              <w:top w:val="single" w:sz="4" w:space="0" w:color="auto"/>
              <w:left w:val="nil"/>
              <w:bottom w:val="single" w:sz="4" w:space="0" w:color="auto"/>
              <w:right w:val="nil"/>
            </w:tcBorders>
            <w:shd w:val="clear" w:color="FFFFFF" w:fill="FFFFFF"/>
            <w:vAlign w:val="bottom"/>
          </w:tcPr>
          <w:p w14:paraId="30FDEBC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289,093</w:t>
            </w:r>
          </w:p>
        </w:tc>
      </w:tr>
      <w:tr w:rsidR="005C6008" w:rsidRPr="00E10730" w14:paraId="797AE934" w14:textId="77777777">
        <w:trPr>
          <w:trHeight w:val="227"/>
        </w:trPr>
        <w:tc>
          <w:tcPr>
            <w:tcW w:w="4649" w:type="dxa"/>
            <w:tcBorders>
              <w:top w:val="nil"/>
              <w:left w:val="nil"/>
              <w:bottom w:val="nil"/>
              <w:right w:val="nil"/>
            </w:tcBorders>
            <w:shd w:val="clear" w:color="FFFFFF" w:fill="FFFFFF"/>
            <w:vAlign w:val="bottom"/>
          </w:tcPr>
          <w:p w14:paraId="071B4616"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134" w:type="dxa"/>
            <w:tcBorders>
              <w:top w:val="nil"/>
              <w:left w:val="nil"/>
              <w:bottom w:val="nil"/>
              <w:right w:val="nil"/>
            </w:tcBorders>
            <w:shd w:val="clear" w:color="FFFFFF" w:fill="FFFFFF"/>
            <w:vAlign w:val="bottom"/>
          </w:tcPr>
          <w:p w14:paraId="3C5C684C"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401A0F30"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42C58DA3"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2FD780F4"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r>
      <w:tr w:rsidR="005C6008" w:rsidRPr="00E10730" w14:paraId="0911AD19" w14:textId="77777777">
        <w:trPr>
          <w:trHeight w:val="250"/>
        </w:trPr>
        <w:tc>
          <w:tcPr>
            <w:tcW w:w="4649" w:type="dxa"/>
            <w:tcBorders>
              <w:top w:val="nil"/>
              <w:left w:val="nil"/>
              <w:bottom w:val="nil"/>
              <w:right w:val="nil"/>
            </w:tcBorders>
            <w:shd w:val="clear" w:color="FFFFFF" w:fill="FFFFFF"/>
            <w:vAlign w:val="bottom"/>
          </w:tcPr>
          <w:p w14:paraId="7B51648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Provisions</w:t>
            </w:r>
          </w:p>
        </w:tc>
        <w:tc>
          <w:tcPr>
            <w:tcW w:w="1134" w:type="dxa"/>
            <w:tcBorders>
              <w:top w:val="nil"/>
              <w:left w:val="nil"/>
              <w:bottom w:val="nil"/>
              <w:right w:val="nil"/>
            </w:tcBorders>
            <w:shd w:val="clear" w:color="FFFFFF" w:fill="FFFFFF"/>
            <w:vAlign w:val="bottom"/>
          </w:tcPr>
          <w:p w14:paraId="7C8B6E61"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0C167481"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7" w:type="dxa"/>
            <w:tcBorders>
              <w:top w:val="nil"/>
              <w:left w:val="nil"/>
              <w:bottom w:val="nil"/>
              <w:right w:val="nil"/>
            </w:tcBorders>
            <w:shd w:val="clear" w:color="FFFFFF" w:fill="FFFFFF"/>
            <w:vAlign w:val="bottom"/>
          </w:tcPr>
          <w:p w14:paraId="548036AE"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55BE856E"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4D65CF1C" w14:textId="77777777">
        <w:trPr>
          <w:trHeight w:val="250"/>
        </w:trPr>
        <w:tc>
          <w:tcPr>
            <w:tcW w:w="4649" w:type="dxa"/>
            <w:tcBorders>
              <w:top w:val="nil"/>
              <w:left w:val="nil"/>
              <w:bottom w:val="nil"/>
              <w:right w:val="nil"/>
            </w:tcBorders>
            <w:shd w:val="clear" w:color="FFFFFF" w:fill="FFFFFF"/>
            <w:vAlign w:val="bottom"/>
          </w:tcPr>
          <w:p w14:paraId="062A4D49"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Employee leave provisions</w:t>
            </w:r>
          </w:p>
        </w:tc>
        <w:tc>
          <w:tcPr>
            <w:tcW w:w="1134" w:type="dxa"/>
            <w:tcBorders>
              <w:top w:val="nil"/>
              <w:left w:val="nil"/>
              <w:bottom w:val="nil"/>
              <w:right w:val="nil"/>
            </w:tcBorders>
            <w:shd w:val="clear" w:color="FFFFFF" w:fill="FFFFFF"/>
            <w:vAlign w:val="bottom"/>
          </w:tcPr>
          <w:p w14:paraId="1FE39BA6"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79D6F6A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247,124</w:t>
            </w:r>
          </w:p>
        </w:tc>
        <w:tc>
          <w:tcPr>
            <w:tcW w:w="1097" w:type="dxa"/>
            <w:tcBorders>
              <w:top w:val="nil"/>
              <w:left w:val="nil"/>
              <w:bottom w:val="nil"/>
              <w:right w:val="nil"/>
            </w:tcBorders>
            <w:shd w:val="clear" w:color="FFFFFF" w:fill="FFFFFF"/>
            <w:vAlign w:val="bottom"/>
          </w:tcPr>
          <w:p w14:paraId="46C0A20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194,271</w:t>
            </w:r>
          </w:p>
        </w:tc>
        <w:tc>
          <w:tcPr>
            <w:tcW w:w="1097" w:type="dxa"/>
            <w:tcBorders>
              <w:top w:val="nil"/>
              <w:left w:val="nil"/>
              <w:bottom w:val="nil"/>
              <w:right w:val="nil"/>
            </w:tcBorders>
            <w:shd w:val="clear" w:color="FFFFFF" w:fill="FFFFFF"/>
            <w:vAlign w:val="bottom"/>
          </w:tcPr>
          <w:p w14:paraId="6715E10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124,096</w:t>
            </w:r>
          </w:p>
        </w:tc>
      </w:tr>
      <w:tr w:rsidR="005C6008" w:rsidRPr="00E10730" w14:paraId="08E0273E" w14:textId="77777777">
        <w:trPr>
          <w:trHeight w:val="250"/>
        </w:trPr>
        <w:tc>
          <w:tcPr>
            <w:tcW w:w="4649" w:type="dxa"/>
            <w:tcBorders>
              <w:top w:val="nil"/>
              <w:left w:val="nil"/>
              <w:bottom w:val="nil"/>
              <w:right w:val="nil"/>
            </w:tcBorders>
            <w:shd w:val="clear" w:color="FFFFFF" w:fill="FFFFFF"/>
            <w:vAlign w:val="bottom"/>
          </w:tcPr>
          <w:p w14:paraId="55C746A7"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Participant plan provisions</w:t>
            </w:r>
          </w:p>
        </w:tc>
        <w:tc>
          <w:tcPr>
            <w:tcW w:w="1134" w:type="dxa"/>
            <w:tcBorders>
              <w:top w:val="nil"/>
              <w:left w:val="nil"/>
              <w:bottom w:val="nil"/>
              <w:right w:val="nil"/>
            </w:tcBorders>
            <w:shd w:val="clear" w:color="FFFFFF" w:fill="FFFFFF"/>
            <w:vAlign w:val="bottom"/>
          </w:tcPr>
          <w:p w14:paraId="58EE5A92"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2.6</w:t>
            </w:r>
          </w:p>
        </w:tc>
        <w:tc>
          <w:tcPr>
            <w:tcW w:w="1097" w:type="dxa"/>
            <w:tcBorders>
              <w:top w:val="nil"/>
              <w:left w:val="nil"/>
              <w:bottom w:val="nil"/>
              <w:right w:val="nil"/>
            </w:tcBorders>
            <w:shd w:val="clear" w:color="FFFFFF" w:fill="FFFFFF"/>
            <w:vAlign w:val="bottom"/>
          </w:tcPr>
          <w:p w14:paraId="4B156E1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2,125,162</w:t>
            </w:r>
          </w:p>
        </w:tc>
        <w:tc>
          <w:tcPr>
            <w:tcW w:w="1097" w:type="dxa"/>
            <w:tcBorders>
              <w:top w:val="nil"/>
              <w:left w:val="nil"/>
              <w:bottom w:val="nil"/>
              <w:right w:val="nil"/>
            </w:tcBorders>
            <w:shd w:val="clear" w:color="FFFFFF" w:fill="FFFFFF"/>
            <w:vAlign w:val="bottom"/>
          </w:tcPr>
          <w:p w14:paraId="102CC35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2,073,388</w:t>
            </w:r>
          </w:p>
        </w:tc>
        <w:tc>
          <w:tcPr>
            <w:tcW w:w="1097" w:type="dxa"/>
            <w:tcBorders>
              <w:top w:val="nil"/>
              <w:left w:val="nil"/>
              <w:bottom w:val="nil"/>
              <w:right w:val="nil"/>
            </w:tcBorders>
            <w:shd w:val="clear" w:color="FFFFFF" w:fill="FFFFFF"/>
            <w:vAlign w:val="bottom"/>
          </w:tcPr>
          <w:p w14:paraId="204EC4C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3,224,202</w:t>
            </w:r>
          </w:p>
        </w:tc>
      </w:tr>
      <w:tr w:rsidR="005C6008" w:rsidRPr="00E10730" w14:paraId="3D61DE25" w14:textId="77777777">
        <w:trPr>
          <w:trHeight w:val="250"/>
        </w:trPr>
        <w:tc>
          <w:tcPr>
            <w:tcW w:w="4649" w:type="dxa"/>
            <w:tcBorders>
              <w:top w:val="nil"/>
              <w:left w:val="nil"/>
              <w:bottom w:val="nil"/>
              <w:right w:val="nil"/>
            </w:tcBorders>
            <w:shd w:val="clear" w:color="FFFFFF" w:fill="FFFFFF"/>
            <w:vAlign w:val="bottom"/>
          </w:tcPr>
          <w:p w14:paraId="1A4E2F4C"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Provision for restoration obligations</w:t>
            </w:r>
          </w:p>
        </w:tc>
        <w:tc>
          <w:tcPr>
            <w:tcW w:w="1134" w:type="dxa"/>
            <w:tcBorders>
              <w:top w:val="nil"/>
              <w:left w:val="nil"/>
              <w:bottom w:val="nil"/>
              <w:right w:val="nil"/>
            </w:tcBorders>
            <w:shd w:val="clear" w:color="FFFFFF" w:fill="FFFFFF"/>
            <w:vAlign w:val="bottom"/>
          </w:tcPr>
          <w:p w14:paraId="44792BCF"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2.6</w:t>
            </w:r>
          </w:p>
        </w:tc>
        <w:tc>
          <w:tcPr>
            <w:tcW w:w="1097" w:type="dxa"/>
            <w:tcBorders>
              <w:top w:val="nil"/>
              <w:left w:val="nil"/>
              <w:bottom w:val="nil"/>
              <w:right w:val="nil"/>
            </w:tcBorders>
            <w:shd w:val="clear" w:color="FFFFFF" w:fill="FFFFFF"/>
            <w:vAlign w:val="bottom"/>
          </w:tcPr>
          <w:p w14:paraId="77927CB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7,132</w:t>
            </w:r>
          </w:p>
        </w:tc>
        <w:tc>
          <w:tcPr>
            <w:tcW w:w="1097" w:type="dxa"/>
            <w:tcBorders>
              <w:top w:val="nil"/>
              <w:left w:val="nil"/>
              <w:bottom w:val="nil"/>
              <w:right w:val="nil"/>
            </w:tcBorders>
            <w:shd w:val="clear" w:color="FFFFFF" w:fill="FFFFFF"/>
            <w:vAlign w:val="bottom"/>
          </w:tcPr>
          <w:p w14:paraId="49C659A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7,184</w:t>
            </w:r>
          </w:p>
        </w:tc>
        <w:tc>
          <w:tcPr>
            <w:tcW w:w="1097" w:type="dxa"/>
            <w:tcBorders>
              <w:top w:val="nil"/>
              <w:left w:val="nil"/>
              <w:bottom w:val="nil"/>
              <w:right w:val="nil"/>
            </w:tcBorders>
            <w:shd w:val="clear" w:color="FFFFFF" w:fill="FFFFFF"/>
            <w:vAlign w:val="bottom"/>
          </w:tcPr>
          <w:p w14:paraId="596972B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7,467</w:t>
            </w:r>
          </w:p>
        </w:tc>
      </w:tr>
      <w:tr w:rsidR="005C6008" w:rsidRPr="00E10730" w14:paraId="31F56F01" w14:textId="77777777">
        <w:trPr>
          <w:trHeight w:val="250"/>
        </w:trPr>
        <w:tc>
          <w:tcPr>
            <w:tcW w:w="4649" w:type="dxa"/>
            <w:tcBorders>
              <w:top w:val="nil"/>
              <w:left w:val="nil"/>
              <w:bottom w:val="nil"/>
              <w:right w:val="nil"/>
            </w:tcBorders>
            <w:shd w:val="clear" w:color="FFFFFF" w:fill="FFFFFF"/>
            <w:vAlign w:val="bottom"/>
          </w:tcPr>
          <w:p w14:paraId="6E941638"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Provision for historical Scheme debt</w:t>
            </w:r>
          </w:p>
        </w:tc>
        <w:tc>
          <w:tcPr>
            <w:tcW w:w="1134" w:type="dxa"/>
            <w:tcBorders>
              <w:top w:val="nil"/>
              <w:left w:val="nil"/>
              <w:bottom w:val="nil"/>
              <w:right w:val="nil"/>
            </w:tcBorders>
            <w:shd w:val="clear" w:color="FFFFFF" w:fill="FFFFFF"/>
            <w:vAlign w:val="bottom"/>
          </w:tcPr>
          <w:p w14:paraId="422547F2"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2.6</w:t>
            </w:r>
          </w:p>
        </w:tc>
        <w:tc>
          <w:tcPr>
            <w:tcW w:w="1097" w:type="dxa"/>
            <w:tcBorders>
              <w:top w:val="nil"/>
              <w:left w:val="nil"/>
              <w:bottom w:val="nil"/>
              <w:right w:val="nil"/>
            </w:tcBorders>
            <w:shd w:val="clear" w:color="FFFFFF" w:fill="FFFFFF"/>
            <w:vAlign w:val="bottom"/>
          </w:tcPr>
          <w:p w14:paraId="2B45F47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842</w:t>
            </w:r>
          </w:p>
        </w:tc>
        <w:tc>
          <w:tcPr>
            <w:tcW w:w="1097" w:type="dxa"/>
            <w:tcBorders>
              <w:top w:val="nil"/>
              <w:left w:val="nil"/>
              <w:bottom w:val="nil"/>
              <w:right w:val="nil"/>
            </w:tcBorders>
            <w:shd w:val="clear" w:color="FFFFFF" w:fill="FFFFFF"/>
            <w:vAlign w:val="bottom"/>
          </w:tcPr>
          <w:p w14:paraId="35BF719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6,295</w:t>
            </w:r>
          </w:p>
        </w:tc>
        <w:tc>
          <w:tcPr>
            <w:tcW w:w="1097" w:type="dxa"/>
            <w:tcBorders>
              <w:top w:val="nil"/>
              <w:left w:val="nil"/>
              <w:bottom w:val="nil"/>
              <w:right w:val="nil"/>
            </w:tcBorders>
            <w:shd w:val="clear" w:color="FFFFFF" w:fill="FFFFFF"/>
            <w:vAlign w:val="bottom"/>
          </w:tcPr>
          <w:p w14:paraId="0C76505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r>
      <w:tr w:rsidR="005C6008" w:rsidRPr="00E10730" w14:paraId="356F2D15" w14:textId="77777777">
        <w:trPr>
          <w:trHeight w:val="250"/>
        </w:trPr>
        <w:tc>
          <w:tcPr>
            <w:tcW w:w="4649" w:type="dxa"/>
            <w:tcBorders>
              <w:top w:val="nil"/>
              <w:left w:val="nil"/>
              <w:bottom w:val="nil"/>
              <w:right w:val="nil"/>
            </w:tcBorders>
            <w:shd w:val="clear" w:color="FFFFFF" w:fill="FFFFFF"/>
            <w:vAlign w:val="bottom"/>
          </w:tcPr>
          <w:p w14:paraId="2FB038D4"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provisions</w:t>
            </w:r>
          </w:p>
        </w:tc>
        <w:tc>
          <w:tcPr>
            <w:tcW w:w="1134" w:type="dxa"/>
            <w:tcBorders>
              <w:top w:val="nil"/>
              <w:left w:val="nil"/>
              <w:bottom w:val="nil"/>
              <w:right w:val="nil"/>
            </w:tcBorders>
            <w:shd w:val="clear" w:color="FFFFFF" w:fill="FFFFFF"/>
            <w:vAlign w:val="bottom"/>
          </w:tcPr>
          <w:p w14:paraId="1680F117"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shd w:val="clear" w:color="FFFFFF" w:fill="FFFFFF"/>
            <w:vAlign w:val="bottom"/>
          </w:tcPr>
          <w:p w14:paraId="6BADAB3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2,380,260</w:t>
            </w:r>
          </w:p>
        </w:tc>
        <w:tc>
          <w:tcPr>
            <w:tcW w:w="1097" w:type="dxa"/>
            <w:tcBorders>
              <w:top w:val="single" w:sz="4" w:space="0" w:color="auto"/>
              <w:left w:val="nil"/>
              <w:bottom w:val="single" w:sz="4" w:space="0" w:color="auto"/>
              <w:right w:val="nil"/>
            </w:tcBorders>
            <w:shd w:val="clear" w:color="FFFFFF" w:fill="FFFFFF"/>
            <w:vAlign w:val="bottom"/>
          </w:tcPr>
          <w:p w14:paraId="008D343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2,281,138</w:t>
            </w:r>
          </w:p>
        </w:tc>
        <w:tc>
          <w:tcPr>
            <w:tcW w:w="1097" w:type="dxa"/>
            <w:tcBorders>
              <w:top w:val="single" w:sz="4" w:space="0" w:color="auto"/>
              <w:left w:val="nil"/>
              <w:bottom w:val="single" w:sz="4" w:space="0" w:color="auto"/>
              <w:right w:val="nil"/>
            </w:tcBorders>
            <w:shd w:val="clear" w:color="FFFFFF" w:fill="FFFFFF"/>
            <w:vAlign w:val="bottom"/>
          </w:tcPr>
          <w:p w14:paraId="441A064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3,355,765</w:t>
            </w:r>
          </w:p>
        </w:tc>
      </w:tr>
      <w:tr w:rsidR="005C6008" w:rsidRPr="00E10730" w14:paraId="1B8EA2E0" w14:textId="77777777">
        <w:trPr>
          <w:trHeight w:val="227"/>
        </w:trPr>
        <w:tc>
          <w:tcPr>
            <w:tcW w:w="4649" w:type="dxa"/>
            <w:tcBorders>
              <w:top w:val="nil"/>
              <w:left w:val="nil"/>
              <w:bottom w:val="nil"/>
              <w:right w:val="nil"/>
            </w:tcBorders>
            <w:shd w:val="clear" w:color="FFFFFF" w:fill="FFFFFF"/>
            <w:vAlign w:val="bottom"/>
          </w:tcPr>
          <w:p w14:paraId="05213D6C"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134" w:type="dxa"/>
            <w:tcBorders>
              <w:top w:val="nil"/>
              <w:left w:val="nil"/>
              <w:bottom w:val="nil"/>
              <w:right w:val="nil"/>
            </w:tcBorders>
            <w:shd w:val="clear" w:color="FFFFFF" w:fill="FFFFFF"/>
            <w:vAlign w:val="bottom"/>
          </w:tcPr>
          <w:p w14:paraId="673E13F3"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53904890"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613C9CBE"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6D561C75"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r>
      <w:tr w:rsidR="005C6008" w:rsidRPr="00E10730" w14:paraId="48BA5C11" w14:textId="77777777">
        <w:trPr>
          <w:trHeight w:val="250"/>
        </w:trPr>
        <w:tc>
          <w:tcPr>
            <w:tcW w:w="4649" w:type="dxa"/>
            <w:tcBorders>
              <w:top w:val="nil"/>
              <w:left w:val="nil"/>
              <w:bottom w:val="nil"/>
              <w:right w:val="nil"/>
            </w:tcBorders>
            <w:shd w:val="clear" w:color="FFFFFF" w:fill="FFFFFF"/>
            <w:vAlign w:val="bottom"/>
          </w:tcPr>
          <w:p w14:paraId="4A0B3448"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liabilities</w:t>
            </w:r>
          </w:p>
        </w:tc>
        <w:tc>
          <w:tcPr>
            <w:tcW w:w="1134" w:type="dxa"/>
            <w:tcBorders>
              <w:top w:val="nil"/>
              <w:left w:val="nil"/>
              <w:bottom w:val="nil"/>
              <w:right w:val="nil"/>
            </w:tcBorders>
            <w:shd w:val="clear" w:color="FFFFFF" w:fill="FFFFFF"/>
            <w:vAlign w:val="bottom"/>
          </w:tcPr>
          <w:p w14:paraId="2AE17DE2"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shd w:val="clear" w:color="FFFFFF" w:fill="FFFFFF"/>
            <w:vAlign w:val="bottom"/>
          </w:tcPr>
          <w:p w14:paraId="27A704C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3,894,496</w:t>
            </w:r>
          </w:p>
        </w:tc>
        <w:tc>
          <w:tcPr>
            <w:tcW w:w="1097" w:type="dxa"/>
            <w:tcBorders>
              <w:top w:val="single" w:sz="4" w:space="0" w:color="auto"/>
              <w:left w:val="nil"/>
              <w:bottom w:val="single" w:sz="4" w:space="0" w:color="auto"/>
              <w:right w:val="nil"/>
            </w:tcBorders>
            <w:shd w:val="clear" w:color="FFFFFF" w:fill="FFFFFF"/>
            <w:vAlign w:val="bottom"/>
          </w:tcPr>
          <w:p w14:paraId="4D6EBFD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4,202,024</w:t>
            </w:r>
          </w:p>
        </w:tc>
        <w:tc>
          <w:tcPr>
            <w:tcW w:w="1097" w:type="dxa"/>
            <w:tcBorders>
              <w:top w:val="single" w:sz="4" w:space="0" w:color="auto"/>
              <w:left w:val="nil"/>
              <w:bottom w:val="single" w:sz="4" w:space="0" w:color="auto"/>
              <w:right w:val="nil"/>
            </w:tcBorders>
            <w:shd w:val="clear" w:color="FFFFFF" w:fill="FFFFFF"/>
            <w:vAlign w:val="bottom"/>
          </w:tcPr>
          <w:p w14:paraId="2CC2D03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4,509,047</w:t>
            </w:r>
          </w:p>
        </w:tc>
      </w:tr>
      <w:tr w:rsidR="005C6008" w:rsidRPr="00E10730" w14:paraId="638F2F99" w14:textId="77777777">
        <w:trPr>
          <w:trHeight w:val="250"/>
        </w:trPr>
        <w:tc>
          <w:tcPr>
            <w:tcW w:w="4649" w:type="dxa"/>
            <w:tcBorders>
              <w:top w:val="nil"/>
              <w:left w:val="nil"/>
              <w:bottom w:val="nil"/>
              <w:right w:val="nil"/>
            </w:tcBorders>
            <w:shd w:val="clear" w:color="FFFFFF" w:fill="FFFFFF"/>
            <w:vAlign w:val="bottom"/>
          </w:tcPr>
          <w:p w14:paraId="306AD7B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Net assets</w:t>
            </w:r>
          </w:p>
        </w:tc>
        <w:tc>
          <w:tcPr>
            <w:tcW w:w="1134" w:type="dxa"/>
            <w:tcBorders>
              <w:top w:val="nil"/>
              <w:left w:val="nil"/>
              <w:bottom w:val="nil"/>
              <w:right w:val="nil"/>
            </w:tcBorders>
            <w:shd w:val="clear" w:color="FFFFFF" w:fill="FFFFFF"/>
            <w:vAlign w:val="bottom"/>
          </w:tcPr>
          <w:p w14:paraId="0DE22B4D"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single" w:sz="4" w:space="0" w:color="auto"/>
              <w:right w:val="nil"/>
            </w:tcBorders>
            <w:shd w:val="clear" w:color="FFFFFF" w:fill="FFFFFF"/>
            <w:vAlign w:val="bottom"/>
          </w:tcPr>
          <w:p w14:paraId="38A3D5B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2,605,728</w:t>
            </w:r>
          </w:p>
        </w:tc>
        <w:tc>
          <w:tcPr>
            <w:tcW w:w="1097" w:type="dxa"/>
            <w:tcBorders>
              <w:top w:val="nil"/>
              <w:left w:val="nil"/>
              <w:bottom w:val="single" w:sz="4" w:space="0" w:color="auto"/>
              <w:right w:val="nil"/>
            </w:tcBorders>
            <w:shd w:val="clear" w:color="FFFFFF" w:fill="FFFFFF"/>
            <w:vAlign w:val="bottom"/>
          </w:tcPr>
          <w:p w14:paraId="004A451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2,400,097</w:t>
            </w:r>
          </w:p>
        </w:tc>
        <w:tc>
          <w:tcPr>
            <w:tcW w:w="1097" w:type="dxa"/>
            <w:tcBorders>
              <w:top w:val="nil"/>
              <w:left w:val="nil"/>
              <w:bottom w:val="single" w:sz="4" w:space="0" w:color="auto"/>
              <w:right w:val="nil"/>
            </w:tcBorders>
            <w:shd w:val="clear" w:color="FFFFFF" w:fill="FFFFFF"/>
            <w:vAlign w:val="bottom"/>
          </w:tcPr>
          <w:p w14:paraId="3C49500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2,277,766</w:t>
            </w:r>
          </w:p>
        </w:tc>
      </w:tr>
      <w:tr w:rsidR="005C6008" w:rsidRPr="00E10730" w14:paraId="3CA84BD2" w14:textId="77777777">
        <w:trPr>
          <w:trHeight w:val="227"/>
        </w:trPr>
        <w:tc>
          <w:tcPr>
            <w:tcW w:w="4649" w:type="dxa"/>
            <w:tcBorders>
              <w:top w:val="nil"/>
              <w:left w:val="nil"/>
              <w:bottom w:val="nil"/>
              <w:right w:val="nil"/>
            </w:tcBorders>
            <w:shd w:val="clear" w:color="FFFFFF" w:fill="FFFFFF"/>
            <w:vAlign w:val="bottom"/>
          </w:tcPr>
          <w:p w14:paraId="0721E4C4"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134" w:type="dxa"/>
            <w:tcBorders>
              <w:top w:val="nil"/>
              <w:left w:val="nil"/>
              <w:bottom w:val="nil"/>
              <w:right w:val="nil"/>
            </w:tcBorders>
            <w:shd w:val="clear" w:color="FFFFFF" w:fill="FFFFFF"/>
            <w:vAlign w:val="bottom"/>
          </w:tcPr>
          <w:p w14:paraId="3A51E10F"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7233DC94"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4AA21BB1"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097" w:type="dxa"/>
            <w:tcBorders>
              <w:top w:val="nil"/>
              <w:left w:val="nil"/>
              <w:bottom w:val="nil"/>
              <w:right w:val="nil"/>
            </w:tcBorders>
            <w:shd w:val="clear" w:color="FFFFFF" w:fill="FFFFFF"/>
            <w:vAlign w:val="bottom"/>
          </w:tcPr>
          <w:p w14:paraId="480D2DF1"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r>
      <w:tr w:rsidR="005C6008" w:rsidRPr="00E10730" w14:paraId="79965896" w14:textId="77777777">
        <w:trPr>
          <w:trHeight w:val="250"/>
        </w:trPr>
        <w:tc>
          <w:tcPr>
            <w:tcW w:w="4649" w:type="dxa"/>
            <w:tcBorders>
              <w:top w:val="nil"/>
              <w:left w:val="nil"/>
              <w:bottom w:val="nil"/>
              <w:right w:val="nil"/>
            </w:tcBorders>
            <w:shd w:val="clear" w:color="FFFFFF" w:fill="FFFFFF"/>
            <w:vAlign w:val="bottom"/>
          </w:tcPr>
          <w:p w14:paraId="1F7185E4"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EQUITY</w:t>
            </w:r>
          </w:p>
        </w:tc>
        <w:tc>
          <w:tcPr>
            <w:tcW w:w="1134" w:type="dxa"/>
            <w:tcBorders>
              <w:top w:val="nil"/>
              <w:left w:val="nil"/>
              <w:bottom w:val="nil"/>
              <w:right w:val="nil"/>
            </w:tcBorders>
            <w:shd w:val="clear" w:color="FFFFFF" w:fill="FFFFFF"/>
            <w:vAlign w:val="bottom"/>
          </w:tcPr>
          <w:p w14:paraId="612A440F"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2D81D130"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7" w:type="dxa"/>
            <w:tcBorders>
              <w:top w:val="nil"/>
              <w:left w:val="nil"/>
              <w:bottom w:val="nil"/>
              <w:right w:val="nil"/>
            </w:tcBorders>
            <w:shd w:val="clear" w:color="FFFFFF" w:fill="FFFFFF"/>
            <w:vAlign w:val="bottom"/>
          </w:tcPr>
          <w:p w14:paraId="6842DAD4"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67D1E04A"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0B57E1E7" w14:textId="77777777">
        <w:trPr>
          <w:trHeight w:val="250"/>
        </w:trPr>
        <w:tc>
          <w:tcPr>
            <w:tcW w:w="4649" w:type="dxa"/>
            <w:tcBorders>
              <w:top w:val="nil"/>
              <w:left w:val="nil"/>
              <w:bottom w:val="nil"/>
              <w:right w:val="nil"/>
            </w:tcBorders>
            <w:shd w:val="clear" w:color="FFFFFF" w:fill="FFFFFF"/>
            <w:vAlign w:val="bottom"/>
          </w:tcPr>
          <w:p w14:paraId="17D16D4D"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Contributed equity</w:t>
            </w:r>
          </w:p>
        </w:tc>
        <w:tc>
          <w:tcPr>
            <w:tcW w:w="1134" w:type="dxa"/>
            <w:tcBorders>
              <w:top w:val="nil"/>
              <w:left w:val="nil"/>
              <w:bottom w:val="nil"/>
              <w:right w:val="nil"/>
            </w:tcBorders>
            <w:shd w:val="clear" w:color="FFFFFF" w:fill="FFFFFF"/>
            <w:vAlign w:val="bottom"/>
          </w:tcPr>
          <w:p w14:paraId="585AF1B9"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33F81C6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210,442</w:t>
            </w:r>
          </w:p>
        </w:tc>
        <w:tc>
          <w:tcPr>
            <w:tcW w:w="1097" w:type="dxa"/>
            <w:tcBorders>
              <w:top w:val="nil"/>
              <w:left w:val="nil"/>
              <w:bottom w:val="nil"/>
              <w:right w:val="nil"/>
            </w:tcBorders>
            <w:shd w:val="clear" w:color="FFFFFF" w:fill="FFFFFF"/>
            <w:vAlign w:val="bottom"/>
          </w:tcPr>
          <w:p w14:paraId="5065645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205,733</w:t>
            </w:r>
          </w:p>
        </w:tc>
        <w:tc>
          <w:tcPr>
            <w:tcW w:w="1097" w:type="dxa"/>
            <w:tcBorders>
              <w:top w:val="nil"/>
              <w:left w:val="nil"/>
              <w:bottom w:val="nil"/>
              <w:right w:val="nil"/>
            </w:tcBorders>
            <w:shd w:val="clear" w:color="FFFFFF" w:fill="FFFFFF"/>
            <w:vAlign w:val="bottom"/>
          </w:tcPr>
          <w:p w14:paraId="5CC84DA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210,441</w:t>
            </w:r>
          </w:p>
        </w:tc>
      </w:tr>
      <w:tr w:rsidR="005C6008" w:rsidRPr="00E10730" w14:paraId="19BF05A1" w14:textId="77777777">
        <w:trPr>
          <w:trHeight w:val="250"/>
        </w:trPr>
        <w:tc>
          <w:tcPr>
            <w:tcW w:w="4649" w:type="dxa"/>
            <w:tcBorders>
              <w:top w:val="nil"/>
              <w:left w:val="nil"/>
              <w:bottom w:val="nil"/>
              <w:right w:val="nil"/>
            </w:tcBorders>
            <w:shd w:val="clear" w:color="FFFFFF" w:fill="FFFFFF"/>
            <w:vAlign w:val="bottom"/>
          </w:tcPr>
          <w:p w14:paraId="4582136A"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Asset revaluation reserve</w:t>
            </w:r>
          </w:p>
        </w:tc>
        <w:tc>
          <w:tcPr>
            <w:tcW w:w="1134" w:type="dxa"/>
            <w:tcBorders>
              <w:top w:val="nil"/>
              <w:left w:val="nil"/>
              <w:bottom w:val="nil"/>
              <w:right w:val="nil"/>
            </w:tcBorders>
            <w:shd w:val="clear" w:color="FFFFFF" w:fill="FFFFFF"/>
            <w:vAlign w:val="bottom"/>
          </w:tcPr>
          <w:p w14:paraId="2A2FA1B3"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005B21D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71,495</w:t>
            </w:r>
          </w:p>
        </w:tc>
        <w:tc>
          <w:tcPr>
            <w:tcW w:w="1097" w:type="dxa"/>
            <w:tcBorders>
              <w:top w:val="nil"/>
              <w:left w:val="nil"/>
              <w:bottom w:val="nil"/>
              <w:right w:val="nil"/>
            </w:tcBorders>
            <w:shd w:val="clear" w:color="FFFFFF" w:fill="FFFFFF"/>
            <w:vAlign w:val="bottom"/>
          </w:tcPr>
          <w:p w14:paraId="432E692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57,402</w:t>
            </w:r>
          </w:p>
        </w:tc>
        <w:tc>
          <w:tcPr>
            <w:tcW w:w="1097" w:type="dxa"/>
            <w:tcBorders>
              <w:top w:val="nil"/>
              <w:left w:val="nil"/>
              <w:bottom w:val="nil"/>
              <w:right w:val="nil"/>
            </w:tcBorders>
            <w:shd w:val="clear" w:color="FFFFFF" w:fill="FFFFFF"/>
            <w:vAlign w:val="bottom"/>
          </w:tcPr>
          <w:p w14:paraId="66850FE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46,914</w:t>
            </w:r>
          </w:p>
        </w:tc>
      </w:tr>
      <w:tr w:rsidR="005C6008" w:rsidRPr="00E10730" w14:paraId="6F3C1CBB" w14:textId="77777777">
        <w:trPr>
          <w:trHeight w:val="250"/>
        </w:trPr>
        <w:tc>
          <w:tcPr>
            <w:tcW w:w="4649" w:type="dxa"/>
            <w:tcBorders>
              <w:top w:val="nil"/>
              <w:left w:val="nil"/>
              <w:bottom w:val="nil"/>
              <w:right w:val="nil"/>
            </w:tcBorders>
            <w:shd w:val="clear" w:color="FFFFFF" w:fill="FFFFFF"/>
            <w:vAlign w:val="bottom"/>
          </w:tcPr>
          <w:p w14:paraId="5047B1A0"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Retained surplus</w:t>
            </w:r>
          </w:p>
        </w:tc>
        <w:tc>
          <w:tcPr>
            <w:tcW w:w="1134" w:type="dxa"/>
            <w:tcBorders>
              <w:top w:val="nil"/>
              <w:left w:val="nil"/>
              <w:bottom w:val="nil"/>
              <w:right w:val="nil"/>
            </w:tcBorders>
            <w:shd w:val="clear" w:color="FFFFFF" w:fill="FFFFFF"/>
            <w:vAlign w:val="bottom"/>
          </w:tcPr>
          <w:p w14:paraId="6976338B"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76A4555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2,323,791</w:t>
            </w:r>
          </w:p>
        </w:tc>
        <w:tc>
          <w:tcPr>
            <w:tcW w:w="1097" w:type="dxa"/>
            <w:tcBorders>
              <w:top w:val="nil"/>
              <w:left w:val="nil"/>
              <w:bottom w:val="nil"/>
              <w:right w:val="nil"/>
            </w:tcBorders>
            <w:shd w:val="clear" w:color="FFFFFF" w:fill="FFFFFF"/>
            <w:vAlign w:val="bottom"/>
          </w:tcPr>
          <w:p w14:paraId="196A5EB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2,136,962</w:t>
            </w:r>
          </w:p>
        </w:tc>
        <w:tc>
          <w:tcPr>
            <w:tcW w:w="1097" w:type="dxa"/>
            <w:tcBorders>
              <w:top w:val="nil"/>
              <w:left w:val="nil"/>
              <w:bottom w:val="nil"/>
              <w:right w:val="nil"/>
            </w:tcBorders>
            <w:shd w:val="clear" w:color="FFFFFF" w:fill="FFFFFF"/>
            <w:vAlign w:val="bottom"/>
          </w:tcPr>
          <w:p w14:paraId="20BF8AC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2,020,411</w:t>
            </w:r>
          </w:p>
        </w:tc>
      </w:tr>
      <w:tr w:rsidR="005C6008" w:rsidRPr="00E10730" w14:paraId="31C4532A" w14:textId="77777777">
        <w:trPr>
          <w:trHeight w:val="250"/>
        </w:trPr>
        <w:tc>
          <w:tcPr>
            <w:tcW w:w="4649" w:type="dxa"/>
            <w:tcBorders>
              <w:top w:val="nil"/>
              <w:left w:val="nil"/>
              <w:bottom w:val="nil"/>
              <w:right w:val="nil"/>
            </w:tcBorders>
            <w:shd w:val="clear" w:color="FFFFFF" w:fill="FFFFFF"/>
            <w:vAlign w:val="bottom"/>
          </w:tcPr>
          <w:p w14:paraId="7027185C"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equity</w:t>
            </w:r>
          </w:p>
        </w:tc>
        <w:tc>
          <w:tcPr>
            <w:tcW w:w="1134" w:type="dxa"/>
            <w:tcBorders>
              <w:top w:val="nil"/>
              <w:left w:val="nil"/>
              <w:bottom w:val="nil"/>
              <w:right w:val="nil"/>
            </w:tcBorders>
            <w:shd w:val="clear" w:color="FFFFFF" w:fill="FFFFFF"/>
            <w:vAlign w:val="bottom"/>
          </w:tcPr>
          <w:p w14:paraId="26DE66F4"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shd w:val="clear" w:color="FFFFFF" w:fill="FFFFFF"/>
            <w:vAlign w:val="bottom"/>
          </w:tcPr>
          <w:p w14:paraId="3D2056E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2,605,728</w:t>
            </w:r>
          </w:p>
        </w:tc>
        <w:tc>
          <w:tcPr>
            <w:tcW w:w="1097" w:type="dxa"/>
            <w:tcBorders>
              <w:top w:val="single" w:sz="4" w:space="0" w:color="auto"/>
              <w:left w:val="nil"/>
              <w:bottom w:val="single" w:sz="4" w:space="0" w:color="auto"/>
              <w:right w:val="nil"/>
            </w:tcBorders>
            <w:shd w:val="clear" w:color="FFFFFF" w:fill="FFFFFF"/>
            <w:vAlign w:val="bottom"/>
          </w:tcPr>
          <w:p w14:paraId="1CB3124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2,400,097</w:t>
            </w:r>
          </w:p>
        </w:tc>
        <w:tc>
          <w:tcPr>
            <w:tcW w:w="1097" w:type="dxa"/>
            <w:tcBorders>
              <w:top w:val="single" w:sz="4" w:space="0" w:color="auto"/>
              <w:left w:val="nil"/>
              <w:bottom w:val="single" w:sz="4" w:space="0" w:color="auto"/>
              <w:right w:val="nil"/>
            </w:tcBorders>
            <w:shd w:val="clear" w:color="FFFFFF" w:fill="FFFFFF"/>
            <w:vAlign w:val="bottom"/>
          </w:tcPr>
          <w:p w14:paraId="1CD1A56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2,277,766</w:t>
            </w:r>
          </w:p>
        </w:tc>
      </w:tr>
    </w:tbl>
    <w:p w14:paraId="004E865C" w14:textId="77777777" w:rsidR="00D517E2" w:rsidRDefault="005C6008" w:rsidP="00115FA3">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The above statement should be read in conjunction with the accompanying notes.</w:t>
      </w:r>
    </w:p>
    <w:p w14:paraId="21FA6CD4" w14:textId="77777777" w:rsidR="00D517E2" w:rsidRDefault="005C6008" w:rsidP="00115FA3">
      <w:pPr>
        <w:autoSpaceDE w:val="0"/>
        <w:autoSpaceDN w:val="0"/>
        <w:adjustRightInd w:val="0"/>
        <w:spacing w:before="120" w:after="0" w:line="240" w:lineRule="auto"/>
        <w:rPr>
          <w:rFonts w:eastAsia="Calibri" w:cs="Arial"/>
          <w:sz w:val="18"/>
          <w:szCs w:val="18"/>
        </w:rPr>
      </w:pPr>
      <w:r w:rsidRPr="00E10730">
        <w:rPr>
          <w:rFonts w:eastAsia="Calibri" w:cs="Arial"/>
          <w:sz w:val="16"/>
          <w:szCs w:val="16"/>
          <w:vertAlign w:val="superscript"/>
        </w:rPr>
        <w:t xml:space="preserve">1 </w:t>
      </w:r>
      <w:r w:rsidRPr="00E10730">
        <w:rPr>
          <w:rFonts w:eastAsia="Calibri" w:cs="Arial"/>
          <w:sz w:val="18"/>
          <w:szCs w:val="18"/>
        </w:rPr>
        <w:t>Original Budget refers to the figures published in the 2025-26 Portfolio Budget Statements</w:t>
      </w:r>
    </w:p>
    <w:p w14:paraId="53B742CE" w14:textId="1141BCF3" w:rsidR="005C6008" w:rsidRPr="00E10730" w:rsidRDefault="005C6008" w:rsidP="00115FA3">
      <w:pPr>
        <w:autoSpaceDE w:val="0"/>
        <w:autoSpaceDN w:val="0"/>
        <w:adjustRightInd w:val="0"/>
        <w:spacing w:before="120" w:after="0" w:line="240" w:lineRule="auto"/>
        <w:rPr>
          <w:rFonts w:eastAsia="Calibri" w:cs="Arial"/>
          <w:sz w:val="18"/>
          <w:szCs w:val="18"/>
        </w:rPr>
      </w:pPr>
      <w:r w:rsidRPr="00E10730">
        <w:rPr>
          <w:rFonts w:eastAsia="Calibri" w:cs="Arial"/>
          <w:sz w:val="16"/>
          <w:szCs w:val="16"/>
          <w:vertAlign w:val="superscript"/>
        </w:rPr>
        <w:t>2</w:t>
      </w:r>
      <w:r w:rsidRPr="00E10730">
        <w:rPr>
          <w:rFonts w:eastAsia="Calibri" w:cs="Arial"/>
          <w:sz w:val="18"/>
          <w:szCs w:val="18"/>
        </w:rPr>
        <w:t xml:space="preserve"> Right-of-Use assets are included in the following line items: Buildings; and Plant and equipment.</w:t>
      </w:r>
      <w:r w:rsidRPr="00E10730">
        <w:rPr>
          <w:rFonts w:eastAsia="Calibri" w:cs="Arial"/>
          <w:sz w:val="18"/>
          <w:szCs w:val="18"/>
        </w:rPr>
        <w:br w:type="page"/>
      </w:r>
    </w:p>
    <w:p w14:paraId="388ABCCB" w14:textId="77777777" w:rsidR="005C6008" w:rsidRPr="00D1066F" w:rsidRDefault="005C6008" w:rsidP="00115FA3">
      <w:pPr>
        <w:autoSpaceDE w:val="0"/>
        <w:autoSpaceDN w:val="0"/>
        <w:adjustRightInd w:val="0"/>
        <w:spacing w:before="120" w:after="0" w:line="240" w:lineRule="auto"/>
        <w:rPr>
          <w:rStyle w:val="Strong"/>
        </w:rPr>
      </w:pPr>
      <w:r w:rsidRPr="00D1066F">
        <w:rPr>
          <w:rStyle w:val="Strong"/>
        </w:rPr>
        <w:t>National Disability Insurance Agency</w:t>
      </w:r>
    </w:p>
    <w:p w14:paraId="3D797710" w14:textId="77777777" w:rsidR="005C6008" w:rsidRPr="00D1066F" w:rsidRDefault="005C6008" w:rsidP="00115FA3">
      <w:pPr>
        <w:autoSpaceDE w:val="0"/>
        <w:autoSpaceDN w:val="0"/>
        <w:adjustRightInd w:val="0"/>
        <w:spacing w:after="0" w:line="240" w:lineRule="auto"/>
        <w:rPr>
          <w:rStyle w:val="Strong"/>
        </w:rPr>
      </w:pPr>
      <w:r w:rsidRPr="00D1066F">
        <w:rPr>
          <w:rStyle w:val="Strong"/>
        </w:rPr>
        <w:t>STATEMENT OF FINANCIAL POSITION</w:t>
      </w:r>
    </w:p>
    <w:p w14:paraId="77D966F1" w14:textId="77777777" w:rsidR="005C6008" w:rsidRPr="00E10730" w:rsidRDefault="005C6008" w:rsidP="00115FA3">
      <w:pPr>
        <w:pBdr>
          <w:bottom w:val="single" w:sz="4" w:space="1" w:color="auto"/>
        </w:pBdr>
        <w:autoSpaceDE w:val="0"/>
        <w:autoSpaceDN w:val="0"/>
        <w:adjustRightInd w:val="0"/>
        <w:spacing w:after="0" w:line="240" w:lineRule="auto"/>
        <w:rPr>
          <w:rFonts w:eastAsia="Calibri" w:cs="Arial"/>
          <w:i/>
          <w:iCs/>
        </w:rPr>
      </w:pPr>
      <w:r w:rsidRPr="00E10730">
        <w:rPr>
          <w:rFonts w:eastAsia="Calibri" w:cs="Arial"/>
          <w:i/>
          <w:iCs/>
        </w:rPr>
        <w:t>as at 30 June 2026</w:t>
      </w:r>
    </w:p>
    <w:p w14:paraId="6A4F2C5A" w14:textId="77777777" w:rsidR="005C6008" w:rsidRPr="00D1066F" w:rsidRDefault="005C6008" w:rsidP="00115FA3">
      <w:pPr>
        <w:autoSpaceDE w:val="0"/>
        <w:autoSpaceDN w:val="0"/>
        <w:adjustRightInd w:val="0"/>
        <w:spacing w:before="240" w:line="240" w:lineRule="auto"/>
        <w:rPr>
          <w:rStyle w:val="Strong"/>
          <w:sz w:val="18"/>
          <w:szCs w:val="18"/>
        </w:rPr>
      </w:pPr>
      <w:r w:rsidRPr="00D1066F">
        <w:rPr>
          <w:rStyle w:val="Strong"/>
          <w:sz w:val="18"/>
          <w:szCs w:val="18"/>
        </w:rPr>
        <w:t xml:space="preserve">Budget Variances Commentary </w:t>
      </w:r>
    </w:p>
    <w:p w14:paraId="7A655BD2" w14:textId="77777777" w:rsidR="005C6008" w:rsidRPr="00D1066F" w:rsidRDefault="005C6008" w:rsidP="00115FA3">
      <w:pPr>
        <w:autoSpaceDE w:val="0"/>
        <w:autoSpaceDN w:val="0"/>
        <w:adjustRightInd w:val="0"/>
        <w:spacing w:line="240" w:lineRule="auto"/>
        <w:rPr>
          <w:rStyle w:val="Strong"/>
          <w:sz w:val="18"/>
          <w:szCs w:val="18"/>
        </w:rPr>
      </w:pPr>
      <w:r w:rsidRPr="00D1066F">
        <w:rPr>
          <w:rStyle w:val="Strong"/>
          <w:sz w:val="18"/>
          <w:szCs w:val="18"/>
        </w:rPr>
        <w:t>Statement of Financial Position</w:t>
      </w:r>
    </w:p>
    <w:p w14:paraId="1D809368" w14:textId="5B495757" w:rsidR="005C6008" w:rsidRPr="00E10730" w:rsidRDefault="005C6008" w:rsidP="00115FA3">
      <w:pPr>
        <w:autoSpaceDE w:val="0"/>
        <w:autoSpaceDN w:val="0"/>
        <w:adjustRightInd w:val="0"/>
        <w:spacing w:before="100" w:after="240" w:line="240" w:lineRule="auto"/>
        <w:rPr>
          <w:rFonts w:eastAsia="Calibri" w:cs="Arial"/>
          <w:sz w:val="18"/>
          <w:szCs w:val="18"/>
        </w:rPr>
      </w:pPr>
      <w:r w:rsidRPr="00E10730">
        <w:rPr>
          <w:rFonts w:eastAsia="Calibri" w:cs="Arial"/>
          <w:sz w:val="18"/>
          <w:szCs w:val="18"/>
        </w:rPr>
        <w:t>The following major variance explanations between the Original Budget as presented in the 2025</w:t>
      </w:r>
      <w:r w:rsidR="00B06E06" w:rsidRPr="00E10730">
        <w:rPr>
          <w:rFonts w:eastAsia="Calibri" w:cs="Arial"/>
          <w:sz w:val="18"/>
          <w:szCs w:val="18"/>
        </w:rPr>
        <w:t>–</w:t>
      </w:r>
      <w:r w:rsidRPr="00E10730">
        <w:rPr>
          <w:rFonts w:eastAsia="Calibri" w:cs="Arial"/>
          <w:sz w:val="18"/>
          <w:szCs w:val="18"/>
        </w:rPr>
        <w:t>26 Portfolio Budget Statements and the 2025</w:t>
      </w:r>
      <w:r w:rsidR="00B06E06" w:rsidRPr="00E10730">
        <w:rPr>
          <w:rFonts w:eastAsia="Calibri" w:cs="Arial"/>
          <w:sz w:val="18"/>
          <w:szCs w:val="18"/>
        </w:rPr>
        <w:t>–</w:t>
      </w:r>
      <w:r w:rsidRPr="00E10730">
        <w:rPr>
          <w:rFonts w:eastAsia="Calibri" w:cs="Arial"/>
          <w:sz w:val="18"/>
          <w:szCs w:val="18"/>
        </w:rPr>
        <w:t>26 financial statements are presented in accordance with Australian Accounting Standards. The 2025</w:t>
      </w:r>
      <w:r w:rsidR="00B06E06" w:rsidRPr="00E10730">
        <w:rPr>
          <w:rFonts w:eastAsia="Calibri" w:cs="Arial"/>
          <w:sz w:val="18"/>
          <w:szCs w:val="18"/>
        </w:rPr>
        <w:t>–</w:t>
      </w:r>
      <w:r w:rsidRPr="00E10730">
        <w:rPr>
          <w:rFonts w:eastAsia="Calibri" w:cs="Arial"/>
          <w:sz w:val="18"/>
          <w:szCs w:val="18"/>
        </w:rPr>
        <w:t>26 Portfolio Budget Statements contain the original financial statements’ budget estimates presented to Parliament in respect of the 2025</w:t>
      </w:r>
      <w:r w:rsidR="00B06E06" w:rsidRPr="00E10730">
        <w:rPr>
          <w:rFonts w:eastAsia="Calibri" w:cs="Arial"/>
          <w:sz w:val="18"/>
          <w:szCs w:val="18"/>
        </w:rPr>
        <w:t>–</w:t>
      </w:r>
      <w:r w:rsidRPr="00E10730">
        <w:rPr>
          <w:rFonts w:eastAsia="Calibri" w:cs="Arial"/>
          <w:sz w:val="18"/>
          <w:szCs w:val="18"/>
        </w:rPr>
        <w:t>26 financial year. The information presented below should be read in the context of the following:</w:t>
      </w:r>
    </w:p>
    <w:p w14:paraId="68A3CA08" w14:textId="77777777" w:rsidR="005C6008" w:rsidRPr="00E10730" w:rsidRDefault="005C6008" w:rsidP="00115FA3">
      <w:pPr>
        <w:pStyle w:val="Fiancialbullet"/>
        <w:spacing w:line="240" w:lineRule="auto"/>
        <w:rPr>
          <w:rFonts w:cs="Arial"/>
        </w:rPr>
      </w:pPr>
      <w:r w:rsidRPr="00E10730">
        <w:rPr>
          <w:rFonts w:cs="Arial"/>
        </w:rPr>
        <w:t>major variances are determined in accordance with Department of Finance guidelines; and</w:t>
      </w:r>
    </w:p>
    <w:p w14:paraId="6E8A7928" w14:textId="77777777" w:rsidR="005C6008" w:rsidRPr="00E10730" w:rsidRDefault="005C6008" w:rsidP="00115FA3">
      <w:pPr>
        <w:pStyle w:val="Fiancialbullet"/>
        <w:spacing w:line="240" w:lineRule="auto"/>
        <w:rPr>
          <w:rFonts w:cs="Arial"/>
          <w:sz w:val="22"/>
          <w:szCs w:val="22"/>
        </w:rPr>
      </w:pPr>
      <w:r w:rsidRPr="00E10730">
        <w:rPr>
          <w:rFonts w:cs="Arial"/>
        </w:rPr>
        <w:t>the Budget is not audited.</w:t>
      </w:r>
    </w:p>
    <w:tbl>
      <w:tblPr>
        <w:tblW w:w="9077" w:type="dxa"/>
        <w:tblInd w:w="-15"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2273"/>
        <w:gridCol w:w="6804"/>
      </w:tblGrid>
      <w:tr w:rsidR="005C6008" w:rsidRPr="00E10730" w14:paraId="2B460963" w14:textId="77777777" w:rsidTr="001D330C">
        <w:trPr>
          <w:cantSplit/>
          <w:trHeight w:val="340"/>
          <w:tblHeader/>
        </w:trPr>
        <w:tc>
          <w:tcPr>
            <w:tcW w:w="2273" w:type="dxa"/>
            <w:tcBorders>
              <w:top w:val="single" w:sz="8" w:space="0" w:color="auto"/>
              <w:bottom w:val="single" w:sz="8" w:space="0" w:color="auto"/>
              <w:right w:val="single" w:sz="8" w:space="0" w:color="auto"/>
            </w:tcBorders>
            <w:shd w:val="clear" w:color="FFFFFF" w:fill="FFFFFF"/>
            <w:vAlign w:val="center"/>
          </w:tcPr>
          <w:p w14:paraId="5156F515" w14:textId="77777777" w:rsidR="005C6008" w:rsidRPr="00E10730" w:rsidRDefault="005C6008" w:rsidP="00115FA3">
            <w:pPr>
              <w:autoSpaceDE w:val="0"/>
              <w:autoSpaceDN w:val="0"/>
              <w:adjustRightInd w:val="0"/>
              <w:spacing w:before="80" w:after="80" w:line="240" w:lineRule="auto"/>
              <w:rPr>
                <w:rFonts w:eastAsia="Calibri" w:cs="Arial"/>
                <w:b/>
                <w:bCs/>
                <w:sz w:val="18"/>
                <w:szCs w:val="18"/>
              </w:rPr>
            </w:pPr>
            <w:r w:rsidRPr="00E10730">
              <w:rPr>
                <w:rFonts w:eastAsia="Calibri" w:cs="Arial"/>
                <w:b/>
                <w:bCs/>
                <w:sz w:val="18"/>
                <w:szCs w:val="18"/>
              </w:rPr>
              <w:t>Affected line items</w:t>
            </w:r>
          </w:p>
        </w:tc>
        <w:tc>
          <w:tcPr>
            <w:tcW w:w="6804" w:type="dxa"/>
            <w:tcBorders>
              <w:top w:val="single" w:sz="8" w:space="0" w:color="auto"/>
              <w:left w:val="single" w:sz="8" w:space="0" w:color="auto"/>
              <w:bottom w:val="single" w:sz="8" w:space="0" w:color="auto"/>
            </w:tcBorders>
            <w:shd w:val="clear" w:color="FFFFFF" w:fill="FFFFFF"/>
            <w:vAlign w:val="center"/>
          </w:tcPr>
          <w:p w14:paraId="100502B8" w14:textId="77777777" w:rsidR="005C6008" w:rsidRPr="00E10730" w:rsidRDefault="005C6008" w:rsidP="00115FA3">
            <w:pPr>
              <w:autoSpaceDE w:val="0"/>
              <w:autoSpaceDN w:val="0"/>
              <w:adjustRightInd w:val="0"/>
              <w:spacing w:before="80" w:after="80" w:line="240" w:lineRule="auto"/>
              <w:rPr>
                <w:rFonts w:eastAsia="Calibri" w:cs="Arial"/>
                <w:b/>
                <w:bCs/>
                <w:sz w:val="18"/>
                <w:szCs w:val="18"/>
              </w:rPr>
            </w:pPr>
            <w:r w:rsidRPr="00E10730">
              <w:rPr>
                <w:rFonts w:eastAsia="Calibri" w:cs="Arial"/>
                <w:b/>
                <w:bCs/>
                <w:sz w:val="18"/>
                <w:szCs w:val="18"/>
              </w:rPr>
              <w:t>Explanations of major variances</w:t>
            </w:r>
          </w:p>
        </w:tc>
      </w:tr>
      <w:tr w:rsidR="005C6008" w:rsidRPr="00E10730" w14:paraId="23E15B5E" w14:textId="77777777" w:rsidTr="001D330C">
        <w:trPr>
          <w:cantSplit/>
          <w:trHeight w:val="283"/>
        </w:trPr>
        <w:tc>
          <w:tcPr>
            <w:tcW w:w="2273" w:type="dxa"/>
            <w:tcBorders>
              <w:top w:val="single" w:sz="8" w:space="0" w:color="auto"/>
              <w:bottom w:val="single" w:sz="8" w:space="0" w:color="auto"/>
              <w:right w:val="single" w:sz="8" w:space="0" w:color="auto"/>
            </w:tcBorders>
          </w:tcPr>
          <w:p w14:paraId="38E2EBD0"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Financial assets</w:t>
            </w:r>
          </w:p>
          <w:p w14:paraId="747D6406"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Cash and cash equivalents</w:t>
            </w:r>
          </w:p>
        </w:tc>
        <w:tc>
          <w:tcPr>
            <w:tcW w:w="6804" w:type="dxa"/>
            <w:tcBorders>
              <w:top w:val="single" w:sz="8" w:space="0" w:color="auto"/>
              <w:left w:val="single" w:sz="8" w:space="0" w:color="auto"/>
              <w:bottom w:val="single" w:sz="8" w:space="0" w:color="auto"/>
            </w:tcBorders>
          </w:tcPr>
          <w:p w14:paraId="097335BD" w14:textId="2305AC9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 xml:space="preserve">The Original Budget assumed that the majority of funds would be held as Cash at Bank at year-end. The variance between the actual result and Original Budget reflects higher than anticipated cash payments for outstanding Accounts Payable accounts for </w:t>
            </w:r>
            <w:r w:rsidR="00A83FD5" w:rsidRPr="00E10730">
              <w:rPr>
                <w:rFonts w:eastAsia="Calibri" w:cs="Arial"/>
                <w:sz w:val="18"/>
                <w:szCs w:val="18"/>
              </w:rPr>
              <w:t>Younger People in Residential Aged Care (</w:t>
            </w:r>
            <w:r w:rsidRPr="00E10730">
              <w:rPr>
                <w:rFonts w:eastAsia="Calibri" w:cs="Arial"/>
                <w:sz w:val="18"/>
                <w:szCs w:val="18"/>
              </w:rPr>
              <w:t>YP</w:t>
            </w:r>
            <w:r w:rsidR="00716553">
              <w:rPr>
                <w:rFonts w:eastAsia="Calibri" w:cs="Arial"/>
                <w:sz w:val="18"/>
                <w:szCs w:val="18"/>
              </w:rPr>
              <w:t>I</w:t>
            </w:r>
            <w:r w:rsidRPr="00E10730">
              <w:rPr>
                <w:rFonts w:eastAsia="Calibri" w:cs="Arial"/>
                <w:sz w:val="18"/>
                <w:szCs w:val="18"/>
              </w:rPr>
              <w:t>RAC</w:t>
            </w:r>
            <w:r w:rsidR="00A83FD5" w:rsidRPr="00E10730">
              <w:rPr>
                <w:rFonts w:eastAsia="Calibri" w:cs="Arial"/>
                <w:sz w:val="18"/>
                <w:szCs w:val="18"/>
              </w:rPr>
              <w:t>)</w:t>
            </w:r>
            <w:r w:rsidRPr="00E10730">
              <w:rPr>
                <w:rFonts w:eastAsia="Calibri" w:cs="Arial"/>
                <w:sz w:val="18"/>
                <w:szCs w:val="18"/>
              </w:rPr>
              <w:t xml:space="preserve"> and Participant Plans than the Original Budget anticipated.</w:t>
            </w:r>
          </w:p>
        </w:tc>
      </w:tr>
      <w:tr w:rsidR="005C6008" w:rsidRPr="00E10730" w14:paraId="4A619CE7" w14:textId="77777777" w:rsidTr="001D330C">
        <w:trPr>
          <w:cantSplit/>
          <w:trHeight w:val="283"/>
        </w:trPr>
        <w:tc>
          <w:tcPr>
            <w:tcW w:w="2273" w:type="dxa"/>
            <w:tcBorders>
              <w:top w:val="single" w:sz="8" w:space="0" w:color="auto"/>
              <w:bottom w:val="single" w:sz="8" w:space="0" w:color="auto"/>
              <w:right w:val="single" w:sz="8" w:space="0" w:color="auto"/>
            </w:tcBorders>
          </w:tcPr>
          <w:p w14:paraId="177AF879"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Financial assets</w:t>
            </w:r>
          </w:p>
          <w:p w14:paraId="639AECD5"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Trade and other receivables</w:t>
            </w:r>
          </w:p>
        </w:tc>
        <w:tc>
          <w:tcPr>
            <w:tcW w:w="6804" w:type="dxa"/>
            <w:tcBorders>
              <w:top w:val="single" w:sz="8" w:space="0" w:color="auto"/>
              <w:left w:val="single" w:sz="8" w:space="0" w:color="auto"/>
              <w:bottom w:val="single" w:sz="8" w:space="0" w:color="auto"/>
            </w:tcBorders>
          </w:tcPr>
          <w:p w14:paraId="497C8E08"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variance is largely attributable to an increase in interest earned and accrued at year-end for balances held in Cash at Bank and Term Deposits, and an increase in Participant and Other Provider receivables related to an increase in participant numbers through the year.</w:t>
            </w:r>
          </w:p>
        </w:tc>
      </w:tr>
      <w:tr w:rsidR="005C6008" w:rsidRPr="00E10730" w14:paraId="3CE366DA" w14:textId="77777777" w:rsidTr="001D330C">
        <w:trPr>
          <w:cantSplit/>
          <w:trHeight w:val="283"/>
        </w:trPr>
        <w:tc>
          <w:tcPr>
            <w:tcW w:w="2273" w:type="dxa"/>
            <w:tcBorders>
              <w:top w:val="single" w:sz="8" w:space="0" w:color="auto"/>
              <w:bottom w:val="single" w:sz="8" w:space="0" w:color="auto"/>
              <w:right w:val="single" w:sz="8" w:space="0" w:color="auto"/>
            </w:tcBorders>
          </w:tcPr>
          <w:p w14:paraId="1DCD1526"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Financial assets</w:t>
            </w:r>
          </w:p>
          <w:p w14:paraId="5FB1145E"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Other financial assets</w:t>
            </w:r>
          </w:p>
        </w:tc>
        <w:tc>
          <w:tcPr>
            <w:tcW w:w="6804" w:type="dxa"/>
            <w:tcBorders>
              <w:top w:val="single" w:sz="8" w:space="0" w:color="auto"/>
              <w:left w:val="single" w:sz="8" w:space="0" w:color="auto"/>
              <w:bottom w:val="single" w:sz="8" w:space="0" w:color="auto"/>
            </w:tcBorders>
          </w:tcPr>
          <w:p w14:paraId="27673184"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Original Budget relates to accrued interest revenue for Term Deposits. At year-end, the Agency held Term Deposits of less than one year maturity as reported in Note 2.1A and all related amounts are reflected against Cash and cash equivalents.</w:t>
            </w:r>
          </w:p>
        </w:tc>
      </w:tr>
      <w:tr w:rsidR="005C6008" w:rsidRPr="00E10730" w14:paraId="5FDF222F" w14:textId="77777777" w:rsidTr="001D330C">
        <w:trPr>
          <w:cantSplit/>
          <w:trHeight w:val="283"/>
        </w:trPr>
        <w:tc>
          <w:tcPr>
            <w:tcW w:w="2273" w:type="dxa"/>
            <w:tcBorders>
              <w:top w:val="single" w:sz="8" w:space="0" w:color="auto"/>
              <w:bottom w:val="single" w:sz="8" w:space="0" w:color="auto"/>
              <w:right w:val="single" w:sz="8" w:space="0" w:color="auto"/>
            </w:tcBorders>
            <w:shd w:val="clear" w:color="FFFFFF" w:fill="FFFFFF"/>
          </w:tcPr>
          <w:p w14:paraId="7AED8120"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Non-financial assets</w:t>
            </w:r>
          </w:p>
          <w:p w14:paraId="047F90DB"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Buildings</w:t>
            </w:r>
          </w:p>
        </w:tc>
        <w:tc>
          <w:tcPr>
            <w:tcW w:w="6804" w:type="dxa"/>
            <w:tcBorders>
              <w:top w:val="single" w:sz="8" w:space="0" w:color="auto"/>
              <w:left w:val="single" w:sz="8" w:space="0" w:color="auto"/>
              <w:bottom w:val="single" w:sz="8" w:space="0" w:color="auto"/>
            </w:tcBorders>
            <w:shd w:val="clear" w:color="FFFFFF" w:fill="FFFFFF"/>
          </w:tcPr>
          <w:p w14:paraId="2CE4C826" w14:textId="1EC130F2"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 xml:space="preserve">The variance is largely attributable to higher depreciation expenses against Land </w:t>
            </w:r>
            <w:r w:rsidR="00894995" w:rsidRPr="00E10730">
              <w:rPr>
                <w:rFonts w:eastAsia="Calibri" w:cs="Arial"/>
                <w:sz w:val="18"/>
                <w:szCs w:val="18"/>
              </w:rPr>
              <w:t>and</w:t>
            </w:r>
            <w:r w:rsidRPr="00E10730">
              <w:rPr>
                <w:rFonts w:eastAsia="Calibri" w:cs="Arial"/>
                <w:sz w:val="18"/>
                <w:szCs w:val="18"/>
              </w:rPr>
              <w:t xml:space="preserve"> Buildings, Leasehold Improvements and Right of Use Leased Buildings, offset by the revaluation of these asset categories at year-end.</w:t>
            </w:r>
          </w:p>
        </w:tc>
      </w:tr>
      <w:tr w:rsidR="005C6008" w:rsidRPr="00E10730" w14:paraId="6A10D66D" w14:textId="77777777" w:rsidTr="001D330C">
        <w:trPr>
          <w:cantSplit/>
          <w:trHeight w:val="283"/>
        </w:trPr>
        <w:tc>
          <w:tcPr>
            <w:tcW w:w="2273" w:type="dxa"/>
            <w:tcBorders>
              <w:top w:val="single" w:sz="8" w:space="0" w:color="auto"/>
              <w:bottom w:val="single" w:sz="8" w:space="0" w:color="auto"/>
              <w:right w:val="single" w:sz="8" w:space="0" w:color="auto"/>
            </w:tcBorders>
            <w:shd w:val="clear" w:color="FFFFFF" w:fill="FFFFFF"/>
          </w:tcPr>
          <w:p w14:paraId="0E2F50C0"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Non-financial assets</w:t>
            </w:r>
          </w:p>
          <w:p w14:paraId="483989E6" w14:textId="401E569F"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 xml:space="preserve">Plant </w:t>
            </w:r>
            <w:r w:rsidR="00971FE7" w:rsidRPr="00E10730">
              <w:rPr>
                <w:rFonts w:eastAsia="Calibri" w:cs="Arial"/>
                <w:sz w:val="18"/>
                <w:szCs w:val="18"/>
              </w:rPr>
              <w:t>and</w:t>
            </w:r>
            <w:r w:rsidRPr="00E10730">
              <w:rPr>
                <w:rFonts w:eastAsia="Calibri" w:cs="Arial"/>
                <w:sz w:val="18"/>
                <w:szCs w:val="18"/>
              </w:rPr>
              <w:t xml:space="preserve"> Equipment</w:t>
            </w:r>
          </w:p>
        </w:tc>
        <w:tc>
          <w:tcPr>
            <w:tcW w:w="6804" w:type="dxa"/>
            <w:tcBorders>
              <w:top w:val="single" w:sz="8" w:space="0" w:color="auto"/>
              <w:left w:val="single" w:sz="8" w:space="0" w:color="auto"/>
              <w:bottom w:val="single" w:sz="8" w:space="0" w:color="auto"/>
            </w:tcBorders>
            <w:shd w:val="clear" w:color="FFFFFF" w:fill="FFFFFF"/>
          </w:tcPr>
          <w:p w14:paraId="626C2694"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variance is largely attributable to the impact of higher depreciation expenses on newly acquired Plant and Equipment assets.</w:t>
            </w:r>
          </w:p>
        </w:tc>
      </w:tr>
      <w:tr w:rsidR="005C6008" w:rsidRPr="00E10730" w14:paraId="4FCD504D" w14:textId="77777777" w:rsidTr="001D330C">
        <w:trPr>
          <w:cantSplit/>
          <w:trHeight w:val="283"/>
        </w:trPr>
        <w:tc>
          <w:tcPr>
            <w:tcW w:w="2273" w:type="dxa"/>
            <w:tcBorders>
              <w:top w:val="single" w:sz="8" w:space="0" w:color="auto"/>
              <w:bottom w:val="single" w:sz="8" w:space="0" w:color="auto"/>
              <w:right w:val="single" w:sz="8" w:space="0" w:color="auto"/>
            </w:tcBorders>
            <w:shd w:val="clear" w:color="FFFFFF" w:fill="FFFFFF"/>
          </w:tcPr>
          <w:p w14:paraId="22FF0B8F"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Non-financial assets</w:t>
            </w:r>
          </w:p>
          <w:p w14:paraId="2D6B3F5F" w14:textId="5109BDE4"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 xml:space="preserve">Computer </w:t>
            </w:r>
            <w:r w:rsidR="00971FE7" w:rsidRPr="00E10730">
              <w:rPr>
                <w:rFonts w:eastAsia="Calibri" w:cs="Arial"/>
                <w:sz w:val="18"/>
                <w:szCs w:val="18"/>
              </w:rPr>
              <w:t>s</w:t>
            </w:r>
            <w:r w:rsidRPr="00E10730">
              <w:rPr>
                <w:rFonts w:eastAsia="Calibri" w:cs="Arial"/>
                <w:sz w:val="18"/>
                <w:szCs w:val="18"/>
              </w:rPr>
              <w:t>oftware</w:t>
            </w:r>
          </w:p>
        </w:tc>
        <w:tc>
          <w:tcPr>
            <w:tcW w:w="6804" w:type="dxa"/>
            <w:tcBorders>
              <w:top w:val="single" w:sz="8" w:space="0" w:color="auto"/>
              <w:left w:val="single" w:sz="8" w:space="0" w:color="auto"/>
              <w:bottom w:val="single" w:sz="8" w:space="0" w:color="auto"/>
            </w:tcBorders>
            <w:shd w:val="clear" w:color="FFFFFF" w:fill="FFFFFF"/>
          </w:tcPr>
          <w:p w14:paraId="066AF1DD" w14:textId="07665D50"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variance is attributable to newly acquired Computer Software assets in 2025</w:t>
            </w:r>
            <w:r w:rsidR="00B06E06" w:rsidRPr="00E10730">
              <w:rPr>
                <w:rFonts w:eastAsia="Calibri" w:cs="Arial"/>
                <w:sz w:val="18"/>
                <w:szCs w:val="18"/>
              </w:rPr>
              <w:t>–</w:t>
            </w:r>
            <w:r w:rsidRPr="00E10730">
              <w:rPr>
                <w:rFonts w:eastAsia="Calibri" w:cs="Arial"/>
                <w:sz w:val="18"/>
                <w:szCs w:val="18"/>
              </w:rPr>
              <w:t>26 not included in the Original Budget.</w:t>
            </w:r>
          </w:p>
        </w:tc>
      </w:tr>
      <w:tr w:rsidR="005C6008" w:rsidRPr="00E10730" w14:paraId="6ABCC2C1" w14:textId="77777777" w:rsidTr="001D330C">
        <w:trPr>
          <w:cantSplit/>
          <w:trHeight w:val="283"/>
        </w:trPr>
        <w:tc>
          <w:tcPr>
            <w:tcW w:w="2273" w:type="dxa"/>
            <w:tcBorders>
              <w:top w:val="single" w:sz="8" w:space="0" w:color="auto"/>
              <w:bottom w:val="single" w:sz="8" w:space="0" w:color="auto"/>
              <w:right w:val="single" w:sz="8" w:space="0" w:color="auto"/>
            </w:tcBorders>
            <w:shd w:val="clear" w:color="FFFFFF" w:fill="FFFFFF"/>
          </w:tcPr>
          <w:p w14:paraId="128E697A"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Non-financial assets</w:t>
            </w:r>
          </w:p>
          <w:p w14:paraId="7C711614"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Other non-financial assets</w:t>
            </w:r>
          </w:p>
        </w:tc>
        <w:tc>
          <w:tcPr>
            <w:tcW w:w="6804" w:type="dxa"/>
            <w:tcBorders>
              <w:top w:val="single" w:sz="8" w:space="0" w:color="auto"/>
              <w:left w:val="single" w:sz="8" w:space="0" w:color="auto"/>
              <w:bottom w:val="single" w:sz="8" w:space="0" w:color="auto"/>
            </w:tcBorders>
            <w:shd w:val="clear" w:color="FFFFFF" w:fill="FFFFFF"/>
          </w:tcPr>
          <w:p w14:paraId="1968F647"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variance is largely attributable to an increase in the acquisition of software and technology licences related to the Agency's software platforms.</w:t>
            </w:r>
          </w:p>
        </w:tc>
      </w:tr>
      <w:tr w:rsidR="005C6008" w:rsidRPr="00E10730" w14:paraId="1D8A7D74" w14:textId="77777777" w:rsidTr="001D330C">
        <w:trPr>
          <w:cantSplit/>
          <w:trHeight w:val="283"/>
        </w:trPr>
        <w:tc>
          <w:tcPr>
            <w:tcW w:w="2273" w:type="dxa"/>
            <w:tcBorders>
              <w:top w:val="single" w:sz="8" w:space="0" w:color="auto"/>
              <w:bottom w:val="single" w:sz="8" w:space="0" w:color="auto"/>
              <w:right w:val="single" w:sz="8" w:space="0" w:color="auto"/>
            </w:tcBorders>
            <w:shd w:val="clear" w:color="FFFFFF" w:fill="FFFFFF"/>
          </w:tcPr>
          <w:p w14:paraId="66885275"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Payables</w:t>
            </w:r>
          </w:p>
          <w:p w14:paraId="16D0455F"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Suppliers</w:t>
            </w:r>
          </w:p>
        </w:tc>
        <w:tc>
          <w:tcPr>
            <w:tcW w:w="6804" w:type="dxa"/>
            <w:tcBorders>
              <w:top w:val="single" w:sz="8" w:space="0" w:color="auto"/>
              <w:left w:val="single" w:sz="8" w:space="0" w:color="auto"/>
              <w:bottom w:val="single" w:sz="8" w:space="0" w:color="auto"/>
            </w:tcBorders>
            <w:shd w:val="clear" w:color="FFFFFF" w:fill="FFFFFF"/>
          </w:tcPr>
          <w:p w14:paraId="4F021272" w14:textId="61AFCB51"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 xml:space="preserve">The variance is largely attributable to an amount payable to the Department of Health, Disability and Ageing for </w:t>
            </w:r>
            <w:r w:rsidR="002E5436" w:rsidRPr="00E10730">
              <w:rPr>
                <w:rFonts w:eastAsia="Calibri" w:cs="Arial"/>
                <w:sz w:val="18"/>
                <w:szCs w:val="18"/>
              </w:rPr>
              <w:t>YPIRAC</w:t>
            </w:r>
            <w:r w:rsidRPr="00E10730">
              <w:rPr>
                <w:rFonts w:eastAsia="Calibri" w:cs="Arial"/>
                <w:sz w:val="18"/>
                <w:szCs w:val="18"/>
              </w:rPr>
              <w:t xml:space="preserve">. The Original Budget for this amount was categorised as Other Payables while the actual is reflected against Supplier Payable. </w:t>
            </w:r>
          </w:p>
        </w:tc>
      </w:tr>
      <w:tr w:rsidR="005C6008" w:rsidRPr="00E10730" w14:paraId="48F9906E" w14:textId="77777777" w:rsidTr="001D330C">
        <w:trPr>
          <w:cantSplit/>
          <w:trHeight w:val="283"/>
        </w:trPr>
        <w:tc>
          <w:tcPr>
            <w:tcW w:w="2273" w:type="dxa"/>
            <w:tcBorders>
              <w:top w:val="single" w:sz="8" w:space="0" w:color="auto"/>
              <w:bottom w:val="single" w:sz="8" w:space="0" w:color="auto"/>
              <w:right w:val="single" w:sz="8" w:space="0" w:color="auto"/>
            </w:tcBorders>
            <w:shd w:val="clear" w:color="FFFFFF" w:fill="FFFFFF"/>
          </w:tcPr>
          <w:p w14:paraId="64FB7D0A"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Payables</w:t>
            </w:r>
          </w:p>
          <w:p w14:paraId="1EF8E7CA"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Other payables</w:t>
            </w:r>
          </w:p>
        </w:tc>
        <w:tc>
          <w:tcPr>
            <w:tcW w:w="6804" w:type="dxa"/>
            <w:tcBorders>
              <w:top w:val="single" w:sz="8" w:space="0" w:color="auto"/>
              <w:left w:val="single" w:sz="8" w:space="0" w:color="auto"/>
              <w:bottom w:val="single" w:sz="8" w:space="0" w:color="auto"/>
            </w:tcBorders>
            <w:shd w:val="clear" w:color="FFFFFF" w:fill="FFFFFF"/>
          </w:tcPr>
          <w:p w14:paraId="4DE0ED39" w14:textId="3109A68F"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 xml:space="preserve">The Original Budget assumed higher salary related accruals based on the estimated conversion of Labour Hire Staff to APS Staff. In addition, the Original Budget for </w:t>
            </w:r>
            <w:r w:rsidR="00297AA5" w:rsidRPr="00E10730">
              <w:rPr>
                <w:rFonts w:eastAsia="Calibri" w:cs="Arial"/>
                <w:sz w:val="18"/>
                <w:szCs w:val="18"/>
              </w:rPr>
              <w:t>YPIRAC</w:t>
            </w:r>
            <w:r w:rsidRPr="00E10730">
              <w:rPr>
                <w:rFonts w:eastAsia="Calibri" w:cs="Arial"/>
                <w:sz w:val="18"/>
                <w:szCs w:val="18"/>
              </w:rPr>
              <w:t xml:space="preserve"> is against Other Payables while the actual is reflected against Suppliers Payable.</w:t>
            </w:r>
          </w:p>
        </w:tc>
      </w:tr>
      <w:tr w:rsidR="005C6008" w:rsidRPr="00E10730" w14:paraId="335B22FC" w14:textId="77777777" w:rsidTr="001D330C">
        <w:trPr>
          <w:cantSplit/>
          <w:trHeight w:val="283"/>
        </w:trPr>
        <w:tc>
          <w:tcPr>
            <w:tcW w:w="2273" w:type="dxa"/>
            <w:tcBorders>
              <w:top w:val="single" w:sz="8" w:space="0" w:color="auto"/>
              <w:bottom w:val="single" w:sz="8" w:space="0" w:color="auto"/>
              <w:right w:val="single" w:sz="8" w:space="0" w:color="auto"/>
            </w:tcBorders>
            <w:shd w:val="clear" w:color="FFFFFF" w:fill="FFFFFF"/>
          </w:tcPr>
          <w:p w14:paraId="292694F1"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Interest Bearing Liabilities</w:t>
            </w:r>
          </w:p>
          <w:p w14:paraId="482CB83E"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Leases</w:t>
            </w:r>
          </w:p>
        </w:tc>
        <w:tc>
          <w:tcPr>
            <w:tcW w:w="6804" w:type="dxa"/>
            <w:tcBorders>
              <w:top w:val="single" w:sz="8" w:space="0" w:color="auto"/>
              <w:left w:val="single" w:sz="8" w:space="0" w:color="auto"/>
              <w:bottom w:val="single" w:sz="8" w:space="0" w:color="auto"/>
            </w:tcBorders>
            <w:shd w:val="clear" w:color="FFFFFF" w:fill="FFFFFF"/>
          </w:tcPr>
          <w:p w14:paraId="76A5026E"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Original budget assumed a higher present value of leases due to lower discount rates as compared to the actuals which were adjusted for higher discount rates resulting in reduced present values of the leases.</w:t>
            </w:r>
          </w:p>
        </w:tc>
      </w:tr>
      <w:tr w:rsidR="005C6008" w:rsidRPr="00E10730" w14:paraId="6D4B5ECD" w14:textId="77777777" w:rsidTr="001D330C">
        <w:trPr>
          <w:cantSplit/>
          <w:trHeight w:val="283"/>
        </w:trPr>
        <w:tc>
          <w:tcPr>
            <w:tcW w:w="2273" w:type="dxa"/>
            <w:tcBorders>
              <w:top w:val="single" w:sz="8" w:space="0" w:color="auto"/>
              <w:bottom w:val="single" w:sz="8" w:space="0" w:color="auto"/>
              <w:right w:val="single" w:sz="8" w:space="0" w:color="auto"/>
            </w:tcBorders>
            <w:shd w:val="clear" w:color="FFFFFF" w:fill="FFFFFF"/>
          </w:tcPr>
          <w:p w14:paraId="4A59DC1D"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Unearned Revenue</w:t>
            </w:r>
          </w:p>
          <w:p w14:paraId="745E11B5"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Unearned Revenue</w:t>
            </w:r>
          </w:p>
        </w:tc>
        <w:tc>
          <w:tcPr>
            <w:tcW w:w="6804" w:type="dxa"/>
            <w:tcBorders>
              <w:top w:val="single" w:sz="8" w:space="0" w:color="auto"/>
              <w:left w:val="single" w:sz="8" w:space="0" w:color="auto"/>
              <w:bottom w:val="single" w:sz="8" w:space="0" w:color="auto"/>
            </w:tcBorders>
            <w:shd w:val="clear" w:color="FFFFFF" w:fill="FFFFFF"/>
          </w:tcPr>
          <w:p w14:paraId="57DA5067"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movement in balance reflects unearned revenue amounts for in-kind offsets yet to be awarded are based upon Scheme actuary's monthly estimate of previous year and also unused amounts of Commonwealth contribution as per bilateral agreements.</w:t>
            </w:r>
          </w:p>
        </w:tc>
      </w:tr>
    </w:tbl>
    <w:p w14:paraId="74756E8D" w14:textId="77777777" w:rsidR="001D330C" w:rsidRPr="00D1066F" w:rsidRDefault="001D330C" w:rsidP="001D330C">
      <w:pPr>
        <w:autoSpaceDE w:val="0"/>
        <w:autoSpaceDN w:val="0"/>
        <w:adjustRightInd w:val="0"/>
        <w:spacing w:before="120" w:after="0" w:line="240" w:lineRule="auto"/>
        <w:rPr>
          <w:rStyle w:val="Strong"/>
        </w:rPr>
      </w:pPr>
      <w:r w:rsidRPr="00D1066F">
        <w:rPr>
          <w:rStyle w:val="Strong"/>
        </w:rPr>
        <w:t>National Disability Insurance Agency</w:t>
      </w:r>
    </w:p>
    <w:p w14:paraId="581F1088" w14:textId="77777777" w:rsidR="001D330C" w:rsidRPr="00D1066F" w:rsidRDefault="001D330C" w:rsidP="001D330C">
      <w:pPr>
        <w:autoSpaceDE w:val="0"/>
        <w:autoSpaceDN w:val="0"/>
        <w:adjustRightInd w:val="0"/>
        <w:spacing w:after="0" w:line="240" w:lineRule="auto"/>
        <w:rPr>
          <w:rStyle w:val="Strong"/>
        </w:rPr>
      </w:pPr>
      <w:r w:rsidRPr="00D1066F">
        <w:rPr>
          <w:rStyle w:val="Strong"/>
        </w:rPr>
        <w:t>STATEMENT OF FINANCIAL POSITION</w:t>
      </w:r>
    </w:p>
    <w:p w14:paraId="3ACA0E3E" w14:textId="77777777" w:rsidR="001D330C" w:rsidRPr="00E10730" w:rsidRDefault="001D330C" w:rsidP="001D330C">
      <w:pPr>
        <w:pBdr>
          <w:bottom w:val="single" w:sz="4" w:space="1" w:color="auto"/>
        </w:pBdr>
        <w:autoSpaceDE w:val="0"/>
        <w:autoSpaceDN w:val="0"/>
        <w:adjustRightInd w:val="0"/>
        <w:spacing w:after="0" w:line="240" w:lineRule="auto"/>
        <w:rPr>
          <w:rFonts w:eastAsia="Calibri" w:cs="Arial"/>
          <w:i/>
          <w:iCs/>
        </w:rPr>
      </w:pPr>
      <w:r w:rsidRPr="00E10730">
        <w:rPr>
          <w:rFonts w:eastAsia="Calibri" w:cs="Arial"/>
          <w:i/>
          <w:iCs/>
        </w:rPr>
        <w:t>as at 30 June 2026</w:t>
      </w:r>
    </w:p>
    <w:p w14:paraId="05EEECC7" w14:textId="77777777" w:rsidR="001D330C" w:rsidRDefault="001D330C" w:rsidP="001D330C">
      <w:pPr>
        <w:spacing w:after="0"/>
      </w:pPr>
    </w:p>
    <w:tbl>
      <w:tblPr>
        <w:tblW w:w="9077" w:type="dxa"/>
        <w:tblInd w:w="-15"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2273"/>
        <w:gridCol w:w="6804"/>
      </w:tblGrid>
      <w:tr w:rsidR="001D330C" w:rsidRPr="00E10730" w14:paraId="6A493C46" w14:textId="77777777" w:rsidTr="001D330C">
        <w:trPr>
          <w:cantSplit/>
          <w:trHeight w:val="340"/>
          <w:tblHeader/>
        </w:trPr>
        <w:tc>
          <w:tcPr>
            <w:tcW w:w="2273" w:type="dxa"/>
            <w:tcBorders>
              <w:top w:val="single" w:sz="8" w:space="0" w:color="auto"/>
              <w:bottom w:val="single" w:sz="8" w:space="0" w:color="auto"/>
              <w:right w:val="single" w:sz="8" w:space="0" w:color="auto"/>
            </w:tcBorders>
            <w:shd w:val="clear" w:color="FFFFFF" w:fill="FFFFFF"/>
            <w:vAlign w:val="center"/>
          </w:tcPr>
          <w:p w14:paraId="3B179AD8" w14:textId="77777777" w:rsidR="001D330C" w:rsidRPr="00E10730" w:rsidRDefault="001D330C" w:rsidP="009A028B">
            <w:pPr>
              <w:autoSpaceDE w:val="0"/>
              <w:autoSpaceDN w:val="0"/>
              <w:adjustRightInd w:val="0"/>
              <w:spacing w:before="80" w:after="80" w:line="240" w:lineRule="auto"/>
              <w:rPr>
                <w:rFonts w:eastAsia="Calibri" w:cs="Arial"/>
                <w:b/>
                <w:bCs/>
                <w:sz w:val="18"/>
                <w:szCs w:val="18"/>
              </w:rPr>
            </w:pPr>
            <w:r w:rsidRPr="00E10730">
              <w:rPr>
                <w:rFonts w:eastAsia="Calibri" w:cs="Arial"/>
                <w:b/>
                <w:bCs/>
                <w:sz w:val="18"/>
                <w:szCs w:val="18"/>
              </w:rPr>
              <w:t>Affected line items</w:t>
            </w:r>
          </w:p>
        </w:tc>
        <w:tc>
          <w:tcPr>
            <w:tcW w:w="6804" w:type="dxa"/>
            <w:tcBorders>
              <w:top w:val="single" w:sz="8" w:space="0" w:color="auto"/>
              <w:left w:val="single" w:sz="8" w:space="0" w:color="auto"/>
              <w:bottom w:val="single" w:sz="8" w:space="0" w:color="auto"/>
            </w:tcBorders>
            <w:shd w:val="clear" w:color="FFFFFF" w:fill="FFFFFF"/>
            <w:vAlign w:val="center"/>
          </w:tcPr>
          <w:p w14:paraId="139C327A" w14:textId="77777777" w:rsidR="001D330C" w:rsidRPr="00E10730" w:rsidRDefault="001D330C" w:rsidP="009A028B">
            <w:pPr>
              <w:autoSpaceDE w:val="0"/>
              <w:autoSpaceDN w:val="0"/>
              <w:adjustRightInd w:val="0"/>
              <w:spacing w:before="80" w:after="80" w:line="240" w:lineRule="auto"/>
              <w:rPr>
                <w:rFonts w:eastAsia="Calibri" w:cs="Arial"/>
                <w:b/>
                <w:bCs/>
                <w:sz w:val="18"/>
                <w:szCs w:val="18"/>
              </w:rPr>
            </w:pPr>
            <w:r w:rsidRPr="00E10730">
              <w:rPr>
                <w:rFonts w:eastAsia="Calibri" w:cs="Arial"/>
                <w:b/>
                <w:bCs/>
                <w:sz w:val="18"/>
                <w:szCs w:val="18"/>
              </w:rPr>
              <w:t>Explanations of major variances</w:t>
            </w:r>
          </w:p>
        </w:tc>
      </w:tr>
      <w:tr w:rsidR="005C6008" w:rsidRPr="00E10730" w14:paraId="0F82DCC3" w14:textId="77777777" w:rsidTr="001D330C">
        <w:trPr>
          <w:cantSplit/>
          <w:trHeight w:val="283"/>
        </w:trPr>
        <w:tc>
          <w:tcPr>
            <w:tcW w:w="2273" w:type="dxa"/>
            <w:tcBorders>
              <w:top w:val="single" w:sz="8" w:space="0" w:color="auto"/>
              <w:bottom w:val="single" w:sz="8" w:space="0" w:color="auto"/>
              <w:right w:val="single" w:sz="8" w:space="0" w:color="auto"/>
            </w:tcBorders>
            <w:shd w:val="clear" w:color="FFFFFF" w:fill="FFFFFF"/>
          </w:tcPr>
          <w:p w14:paraId="7F80C113"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Provisions</w:t>
            </w:r>
          </w:p>
          <w:p w14:paraId="097BF79B"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Employee leave provisions</w:t>
            </w:r>
          </w:p>
        </w:tc>
        <w:tc>
          <w:tcPr>
            <w:tcW w:w="6804" w:type="dxa"/>
            <w:tcBorders>
              <w:top w:val="single" w:sz="8" w:space="0" w:color="auto"/>
              <w:left w:val="single" w:sz="8" w:space="0" w:color="auto"/>
              <w:bottom w:val="single" w:sz="8" w:space="0" w:color="auto"/>
            </w:tcBorders>
            <w:shd w:val="clear" w:color="FFFFFF" w:fill="FFFFFF"/>
          </w:tcPr>
          <w:p w14:paraId="73D6B8F7" w14:textId="22B66E01"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increase to Agency staffing levels has resulted in an increase in</w:t>
            </w:r>
            <w:r w:rsidR="006F1752" w:rsidRPr="00E10730">
              <w:rPr>
                <w:rFonts w:eastAsia="Calibri" w:cs="Arial"/>
                <w:sz w:val="18"/>
                <w:szCs w:val="18"/>
              </w:rPr>
              <w:t>to</w:t>
            </w:r>
            <w:r w:rsidRPr="00E10730">
              <w:rPr>
                <w:rFonts w:eastAsia="Calibri" w:cs="Arial"/>
                <w:sz w:val="18"/>
                <w:szCs w:val="18"/>
              </w:rPr>
              <w:t xml:space="preserve"> the value of employee leave provisions at year-end. In addition, employee leave provisions increased as a result of the year-end Actuarial assessment and changes in parameters used to calculate leave provisions. This balance is highly sensitive to the parameters and will fluctuate widely as a result. The Original Budget was based on historical trends.</w:t>
            </w:r>
          </w:p>
        </w:tc>
      </w:tr>
      <w:tr w:rsidR="005C6008" w:rsidRPr="00E10730" w14:paraId="1D88E749" w14:textId="77777777" w:rsidTr="001D330C">
        <w:trPr>
          <w:cantSplit/>
          <w:trHeight w:val="283"/>
        </w:trPr>
        <w:tc>
          <w:tcPr>
            <w:tcW w:w="2273" w:type="dxa"/>
            <w:tcBorders>
              <w:top w:val="single" w:sz="8" w:space="0" w:color="auto"/>
              <w:bottom w:val="single" w:sz="8" w:space="0" w:color="auto"/>
              <w:right w:val="single" w:sz="8" w:space="0" w:color="auto"/>
            </w:tcBorders>
            <w:shd w:val="clear" w:color="FFFFFF" w:fill="FFFFFF"/>
          </w:tcPr>
          <w:p w14:paraId="2A5BD03A"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Provisions</w:t>
            </w:r>
          </w:p>
          <w:p w14:paraId="1F4FFB11"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Participant plan provisions</w:t>
            </w:r>
          </w:p>
        </w:tc>
        <w:tc>
          <w:tcPr>
            <w:tcW w:w="6804" w:type="dxa"/>
            <w:tcBorders>
              <w:top w:val="single" w:sz="8" w:space="0" w:color="auto"/>
              <w:left w:val="single" w:sz="8" w:space="0" w:color="auto"/>
              <w:bottom w:val="single" w:sz="8" w:space="0" w:color="auto"/>
            </w:tcBorders>
            <w:shd w:val="clear" w:color="FFFFFF" w:fill="FFFFFF"/>
          </w:tcPr>
          <w:p w14:paraId="5A5F8547" w14:textId="3A61EEB3"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 xml:space="preserve">Actuarial analysis has shown that payments have been made faster than that assumed in the Original Budget thus leading to a lower provision. In addition, the Original Budget includes a data integrity provision which is no longer part </w:t>
            </w:r>
            <w:r w:rsidR="006648CA" w:rsidRPr="00E10730">
              <w:rPr>
                <w:rFonts w:eastAsia="Calibri" w:cs="Arial"/>
                <w:sz w:val="18"/>
                <w:szCs w:val="18"/>
              </w:rPr>
              <w:t xml:space="preserve">of </w:t>
            </w:r>
            <w:r w:rsidRPr="00E10730">
              <w:rPr>
                <w:rFonts w:eastAsia="Calibri" w:cs="Arial"/>
                <w:sz w:val="18"/>
                <w:szCs w:val="18"/>
              </w:rPr>
              <w:t>the provision.</w:t>
            </w:r>
          </w:p>
        </w:tc>
      </w:tr>
      <w:tr w:rsidR="005C6008" w:rsidRPr="00E10730" w14:paraId="221CF75B" w14:textId="77777777" w:rsidTr="001D330C">
        <w:trPr>
          <w:cantSplit/>
          <w:trHeight w:val="283"/>
        </w:trPr>
        <w:tc>
          <w:tcPr>
            <w:tcW w:w="2273" w:type="dxa"/>
            <w:tcBorders>
              <w:top w:val="single" w:sz="8" w:space="0" w:color="auto"/>
              <w:bottom w:val="single" w:sz="8" w:space="0" w:color="auto"/>
              <w:right w:val="single" w:sz="8" w:space="0" w:color="auto"/>
            </w:tcBorders>
            <w:shd w:val="clear" w:color="FFFFFF" w:fill="FFFFFF"/>
          </w:tcPr>
          <w:p w14:paraId="281DA3FA"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Provisions</w:t>
            </w:r>
          </w:p>
          <w:p w14:paraId="14287A1A"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Provision for historical Scheme debt</w:t>
            </w:r>
          </w:p>
        </w:tc>
        <w:tc>
          <w:tcPr>
            <w:tcW w:w="6804" w:type="dxa"/>
            <w:tcBorders>
              <w:top w:val="single" w:sz="8" w:space="0" w:color="auto"/>
              <w:left w:val="single" w:sz="8" w:space="0" w:color="auto"/>
              <w:bottom w:val="single" w:sz="8" w:space="0" w:color="auto"/>
            </w:tcBorders>
            <w:shd w:val="clear" w:color="FFFFFF" w:fill="FFFFFF"/>
          </w:tcPr>
          <w:p w14:paraId="6FE0E779"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Agency has recorded a Provision for historical Scheme debt that was not anticipated at the time the Original Budget was prepared.</w:t>
            </w:r>
          </w:p>
        </w:tc>
      </w:tr>
      <w:tr w:rsidR="005C6008" w:rsidRPr="00E10730" w14:paraId="3322BBCB" w14:textId="77777777" w:rsidTr="001D330C">
        <w:trPr>
          <w:cantSplit/>
          <w:trHeight w:val="283"/>
        </w:trPr>
        <w:tc>
          <w:tcPr>
            <w:tcW w:w="2273" w:type="dxa"/>
            <w:tcBorders>
              <w:top w:val="single" w:sz="8" w:space="0" w:color="auto"/>
              <w:bottom w:val="single" w:sz="8" w:space="0" w:color="auto"/>
              <w:right w:val="single" w:sz="8" w:space="0" w:color="auto"/>
            </w:tcBorders>
            <w:shd w:val="clear" w:color="FFFFFF" w:fill="FFFFFF"/>
          </w:tcPr>
          <w:p w14:paraId="4C4A3533"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Equity</w:t>
            </w:r>
          </w:p>
          <w:p w14:paraId="55E7C8E2"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Asset revaluation reserve</w:t>
            </w:r>
          </w:p>
        </w:tc>
        <w:tc>
          <w:tcPr>
            <w:tcW w:w="6804" w:type="dxa"/>
            <w:tcBorders>
              <w:top w:val="single" w:sz="8" w:space="0" w:color="auto"/>
              <w:left w:val="single" w:sz="8" w:space="0" w:color="auto"/>
              <w:bottom w:val="single" w:sz="8" w:space="0" w:color="auto"/>
            </w:tcBorders>
            <w:shd w:val="clear" w:color="FFFFFF" w:fill="FFFFFF"/>
          </w:tcPr>
          <w:p w14:paraId="38125A66" w14:textId="6FB5198F"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external revaluation of the Agency's leasehold improvements resulted in a revaluation increment of $14.</w:t>
            </w:r>
            <w:r w:rsidR="0036100F" w:rsidRPr="00E10730">
              <w:rPr>
                <w:rFonts w:eastAsia="Calibri" w:cs="Arial"/>
                <w:sz w:val="18"/>
                <w:szCs w:val="18"/>
              </w:rPr>
              <w:t>09</w:t>
            </w:r>
            <w:r w:rsidRPr="00E10730">
              <w:rPr>
                <w:rFonts w:eastAsia="Calibri" w:cs="Arial"/>
                <w:sz w:val="18"/>
                <w:szCs w:val="18"/>
              </w:rPr>
              <w:t>m during the year.</w:t>
            </w:r>
          </w:p>
        </w:tc>
      </w:tr>
      <w:tr w:rsidR="005C6008" w:rsidRPr="00E10730" w14:paraId="3E126C0B" w14:textId="77777777" w:rsidTr="001D330C">
        <w:trPr>
          <w:cantSplit/>
          <w:trHeight w:val="283"/>
        </w:trPr>
        <w:tc>
          <w:tcPr>
            <w:tcW w:w="2273" w:type="dxa"/>
            <w:tcBorders>
              <w:top w:val="single" w:sz="8" w:space="0" w:color="auto"/>
              <w:bottom w:val="single" w:sz="8" w:space="0" w:color="auto"/>
              <w:right w:val="single" w:sz="8" w:space="0" w:color="auto"/>
            </w:tcBorders>
            <w:shd w:val="clear" w:color="FFFFFF" w:fill="FFFFFF"/>
          </w:tcPr>
          <w:p w14:paraId="568B3230"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Equity</w:t>
            </w:r>
          </w:p>
          <w:p w14:paraId="3511344E"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Retained surplus</w:t>
            </w:r>
          </w:p>
        </w:tc>
        <w:tc>
          <w:tcPr>
            <w:tcW w:w="6804" w:type="dxa"/>
            <w:tcBorders>
              <w:top w:val="single" w:sz="8" w:space="0" w:color="auto"/>
              <w:left w:val="single" w:sz="8" w:space="0" w:color="auto"/>
              <w:bottom w:val="single" w:sz="8" w:space="0" w:color="auto"/>
            </w:tcBorders>
            <w:shd w:val="clear" w:color="FFFFFF" w:fill="FFFFFF"/>
          </w:tcPr>
          <w:p w14:paraId="70105825" w14:textId="528F0063"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Original budget did not anticipate the net impact of the additional funding provided to the Agency in 2025</w:t>
            </w:r>
            <w:r w:rsidR="00421787" w:rsidRPr="00E10730">
              <w:rPr>
                <w:rFonts w:eastAsia="Calibri" w:cs="Arial"/>
                <w:sz w:val="18"/>
                <w:szCs w:val="18"/>
              </w:rPr>
              <w:t>–</w:t>
            </w:r>
            <w:r w:rsidRPr="00E10730">
              <w:rPr>
                <w:rFonts w:eastAsia="Calibri" w:cs="Arial"/>
                <w:sz w:val="18"/>
                <w:szCs w:val="18"/>
              </w:rPr>
              <w:t>26 through Appropriation Act No. 5.</w:t>
            </w:r>
          </w:p>
        </w:tc>
      </w:tr>
    </w:tbl>
    <w:p w14:paraId="63C7AB59" w14:textId="77777777" w:rsidR="005C6008" w:rsidRPr="00E10730" w:rsidRDefault="005C6008" w:rsidP="00115FA3">
      <w:pPr>
        <w:autoSpaceDE w:val="0"/>
        <w:autoSpaceDN w:val="0"/>
        <w:adjustRightInd w:val="0"/>
        <w:spacing w:after="0" w:line="240" w:lineRule="auto"/>
        <w:rPr>
          <w:rFonts w:eastAsia="Calibri" w:cs="Arial"/>
          <w:b/>
          <w:bCs/>
        </w:rPr>
        <w:sectPr w:rsidR="005C6008" w:rsidRPr="00E10730" w:rsidSect="00EB1047">
          <w:pgSz w:w="11906" w:h="16838" w:code="9"/>
          <w:pgMar w:top="1247" w:right="1701" w:bottom="1247" w:left="1134" w:header="567" w:footer="567" w:gutter="0"/>
          <w:cols w:space="720"/>
          <w:noEndnote/>
          <w:docGrid w:linePitch="326"/>
        </w:sectPr>
      </w:pPr>
    </w:p>
    <w:p w14:paraId="7E056EDD" w14:textId="77777777" w:rsidR="005C6008" w:rsidRPr="00D1066F" w:rsidRDefault="005C6008" w:rsidP="00115FA3">
      <w:pPr>
        <w:autoSpaceDE w:val="0"/>
        <w:autoSpaceDN w:val="0"/>
        <w:adjustRightInd w:val="0"/>
        <w:spacing w:after="0" w:line="240" w:lineRule="auto"/>
        <w:rPr>
          <w:rStyle w:val="Strong"/>
        </w:rPr>
      </w:pPr>
      <w:r w:rsidRPr="00D1066F">
        <w:rPr>
          <w:rStyle w:val="Strong"/>
        </w:rPr>
        <w:t>National Disability Insurance Agency</w:t>
      </w:r>
    </w:p>
    <w:p w14:paraId="317B05F4" w14:textId="77777777" w:rsidR="005C6008" w:rsidRPr="00D1066F" w:rsidRDefault="005C6008" w:rsidP="00115FA3">
      <w:pPr>
        <w:autoSpaceDE w:val="0"/>
        <w:autoSpaceDN w:val="0"/>
        <w:adjustRightInd w:val="0"/>
        <w:spacing w:after="0" w:line="240" w:lineRule="auto"/>
        <w:rPr>
          <w:rStyle w:val="Strong"/>
        </w:rPr>
      </w:pPr>
      <w:r w:rsidRPr="00D1066F">
        <w:rPr>
          <w:rStyle w:val="Strong"/>
        </w:rPr>
        <w:t>STATEMENT OF CHANGES IN EQUITY</w:t>
      </w:r>
    </w:p>
    <w:p w14:paraId="57A02A3F" w14:textId="77777777" w:rsidR="005C6008" w:rsidRPr="00E10730" w:rsidRDefault="005C6008" w:rsidP="00115FA3">
      <w:pPr>
        <w:pBdr>
          <w:bottom w:val="single" w:sz="4" w:space="1" w:color="auto"/>
        </w:pBdr>
        <w:autoSpaceDE w:val="0"/>
        <w:autoSpaceDN w:val="0"/>
        <w:adjustRightInd w:val="0"/>
        <w:spacing w:after="0" w:line="240" w:lineRule="auto"/>
        <w:rPr>
          <w:rFonts w:eastAsia="Calibri" w:cs="Arial"/>
          <w:i/>
          <w:iCs/>
        </w:rPr>
      </w:pPr>
      <w:r w:rsidRPr="00E10730">
        <w:rPr>
          <w:rFonts w:eastAsia="Calibri" w:cs="Arial"/>
          <w:i/>
          <w:iCs/>
        </w:rPr>
        <w:t>for the year ended 30 June 2026</w:t>
      </w:r>
    </w:p>
    <w:p w14:paraId="36818D1A" w14:textId="77777777" w:rsidR="005C6008" w:rsidRPr="00E10730" w:rsidRDefault="005C6008" w:rsidP="00115FA3">
      <w:pPr>
        <w:autoSpaceDE w:val="0"/>
        <w:autoSpaceDN w:val="0"/>
        <w:adjustRightInd w:val="0"/>
        <w:spacing w:after="0" w:line="240" w:lineRule="auto"/>
        <w:rPr>
          <w:rFonts w:eastAsia="Calibri" w:cs="Arial"/>
        </w:rPr>
      </w:pPr>
    </w:p>
    <w:tbl>
      <w:tblPr>
        <w:tblW w:w="14457" w:type="dxa"/>
        <w:tblLayout w:type="fixed"/>
        <w:tblCellMar>
          <w:left w:w="57" w:type="dxa"/>
          <w:right w:w="57" w:type="dxa"/>
        </w:tblCellMar>
        <w:tblLook w:val="0000" w:firstRow="0" w:lastRow="0" w:firstColumn="0" w:lastColumn="0" w:noHBand="0" w:noVBand="0"/>
      </w:tblPr>
      <w:tblGrid>
        <w:gridCol w:w="2578"/>
        <w:gridCol w:w="1105"/>
        <w:gridCol w:w="979"/>
        <w:gridCol w:w="979"/>
        <w:gridCol w:w="979"/>
        <w:gridCol w:w="979"/>
        <w:gridCol w:w="979"/>
        <w:gridCol w:w="979"/>
        <w:gridCol w:w="979"/>
        <w:gridCol w:w="979"/>
        <w:gridCol w:w="981"/>
        <w:gridCol w:w="981"/>
        <w:gridCol w:w="980"/>
      </w:tblGrid>
      <w:tr w:rsidR="005C6008" w:rsidRPr="00E10730" w14:paraId="7CDAA72E" w14:textId="77777777">
        <w:trPr>
          <w:trHeight w:val="238"/>
        </w:trPr>
        <w:tc>
          <w:tcPr>
            <w:tcW w:w="2578" w:type="dxa"/>
            <w:tcBorders>
              <w:top w:val="single" w:sz="8" w:space="0" w:color="800080"/>
              <w:left w:val="nil"/>
              <w:bottom w:val="nil"/>
              <w:right w:val="nil"/>
            </w:tcBorders>
            <w:shd w:val="clear" w:color="FFFFFF" w:fill="FFFFFF"/>
            <w:vAlign w:val="bottom"/>
          </w:tcPr>
          <w:p w14:paraId="230EEC99"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 </w:t>
            </w:r>
          </w:p>
        </w:tc>
        <w:tc>
          <w:tcPr>
            <w:tcW w:w="3063" w:type="dxa"/>
            <w:gridSpan w:val="3"/>
            <w:tcBorders>
              <w:top w:val="single" w:sz="8" w:space="0" w:color="800080"/>
              <w:left w:val="nil"/>
              <w:bottom w:val="nil"/>
              <w:right w:val="nil"/>
            </w:tcBorders>
            <w:shd w:val="clear" w:color="FFFFFF" w:fill="FFFFFF"/>
            <w:vAlign w:val="center"/>
          </w:tcPr>
          <w:p w14:paraId="0E976E5F" w14:textId="77777777" w:rsidR="005C6008" w:rsidRPr="00E10730" w:rsidRDefault="005C6008" w:rsidP="00115FA3">
            <w:pPr>
              <w:autoSpaceDE w:val="0"/>
              <w:autoSpaceDN w:val="0"/>
              <w:adjustRightInd w:val="0"/>
              <w:spacing w:after="0" w:line="240" w:lineRule="auto"/>
              <w:jc w:val="center"/>
              <w:rPr>
                <w:rFonts w:eastAsia="Calibri" w:cs="Arial"/>
                <w:b/>
                <w:bCs/>
                <w:sz w:val="18"/>
                <w:szCs w:val="18"/>
              </w:rPr>
            </w:pPr>
            <w:r w:rsidRPr="00E10730">
              <w:rPr>
                <w:rFonts w:eastAsia="Calibri" w:cs="Arial"/>
                <w:b/>
                <w:bCs/>
                <w:sz w:val="18"/>
                <w:szCs w:val="18"/>
              </w:rPr>
              <w:t>Retained Surplus</w:t>
            </w:r>
          </w:p>
        </w:tc>
        <w:tc>
          <w:tcPr>
            <w:tcW w:w="2937" w:type="dxa"/>
            <w:gridSpan w:val="3"/>
            <w:tcBorders>
              <w:top w:val="single" w:sz="8" w:space="0" w:color="800080"/>
              <w:left w:val="nil"/>
              <w:bottom w:val="nil"/>
              <w:right w:val="nil"/>
            </w:tcBorders>
            <w:shd w:val="clear" w:color="FFFFFF" w:fill="FFFFFF"/>
            <w:vAlign w:val="center"/>
          </w:tcPr>
          <w:p w14:paraId="6271DC3F" w14:textId="77777777" w:rsidR="005C6008" w:rsidRPr="00E10730" w:rsidRDefault="005C6008" w:rsidP="00115FA3">
            <w:pPr>
              <w:autoSpaceDE w:val="0"/>
              <w:autoSpaceDN w:val="0"/>
              <w:adjustRightInd w:val="0"/>
              <w:spacing w:after="0" w:line="240" w:lineRule="auto"/>
              <w:jc w:val="center"/>
              <w:rPr>
                <w:rFonts w:eastAsia="Calibri" w:cs="Arial"/>
                <w:b/>
                <w:bCs/>
                <w:sz w:val="18"/>
                <w:szCs w:val="18"/>
              </w:rPr>
            </w:pPr>
            <w:r w:rsidRPr="00E10730">
              <w:rPr>
                <w:rFonts w:eastAsia="Calibri" w:cs="Arial"/>
                <w:b/>
                <w:bCs/>
                <w:sz w:val="18"/>
                <w:szCs w:val="18"/>
              </w:rPr>
              <w:t>Asset Revaluation Reserve</w:t>
            </w:r>
          </w:p>
        </w:tc>
        <w:tc>
          <w:tcPr>
            <w:tcW w:w="2937" w:type="dxa"/>
            <w:gridSpan w:val="3"/>
            <w:tcBorders>
              <w:top w:val="single" w:sz="8" w:space="0" w:color="800080"/>
              <w:left w:val="nil"/>
              <w:bottom w:val="nil"/>
              <w:right w:val="nil"/>
            </w:tcBorders>
            <w:shd w:val="clear" w:color="FFFFFF" w:fill="FFFFFF"/>
            <w:vAlign w:val="center"/>
          </w:tcPr>
          <w:p w14:paraId="451B3D65" w14:textId="77777777" w:rsidR="005C6008" w:rsidRPr="00E10730" w:rsidRDefault="005C6008" w:rsidP="00115FA3">
            <w:pPr>
              <w:autoSpaceDE w:val="0"/>
              <w:autoSpaceDN w:val="0"/>
              <w:adjustRightInd w:val="0"/>
              <w:spacing w:after="0" w:line="240" w:lineRule="auto"/>
              <w:jc w:val="center"/>
              <w:rPr>
                <w:rFonts w:eastAsia="Calibri" w:cs="Arial"/>
                <w:b/>
                <w:bCs/>
                <w:sz w:val="18"/>
                <w:szCs w:val="18"/>
              </w:rPr>
            </w:pPr>
            <w:r w:rsidRPr="00E10730">
              <w:rPr>
                <w:rFonts w:eastAsia="Calibri" w:cs="Arial"/>
                <w:b/>
                <w:bCs/>
                <w:sz w:val="18"/>
                <w:szCs w:val="18"/>
              </w:rPr>
              <w:t>Contributed Equity</w:t>
            </w:r>
          </w:p>
        </w:tc>
        <w:tc>
          <w:tcPr>
            <w:tcW w:w="2942" w:type="dxa"/>
            <w:gridSpan w:val="3"/>
            <w:tcBorders>
              <w:top w:val="single" w:sz="8" w:space="0" w:color="800080"/>
              <w:left w:val="nil"/>
              <w:bottom w:val="nil"/>
              <w:right w:val="nil"/>
            </w:tcBorders>
            <w:shd w:val="clear" w:color="FFFFFF" w:fill="FFFFFF"/>
            <w:vAlign w:val="center"/>
          </w:tcPr>
          <w:p w14:paraId="410F23BB" w14:textId="77777777" w:rsidR="005C6008" w:rsidRPr="00E10730" w:rsidRDefault="005C6008" w:rsidP="00115FA3">
            <w:pPr>
              <w:autoSpaceDE w:val="0"/>
              <w:autoSpaceDN w:val="0"/>
              <w:adjustRightInd w:val="0"/>
              <w:spacing w:after="0" w:line="240" w:lineRule="auto"/>
              <w:jc w:val="center"/>
              <w:rPr>
                <w:rFonts w:eastAsia="Calibri" w:cs="Arial"/>
                <w:b/>
                <w:bCs/>
                <w:sz w:val="18"/>
                <w:szCs w:val="18"/>
              </w:rPr>
            </w:pPr>
            <w:r w:rsidRPr="00E10730">
              <w:rPr>
                <w:rFonts w:eastAsia="Calibri" w:cs="Arial"/>
                <w:b/>
                <w:bCs/>
                <w:sz w:val="18"/>
                <w:szCs w:val="18"/>
              </w:rPr>
              <w:t>Total Equity</w:t>
            </w:r>
          </w:p>
        </w:tc>
      </w:tr>
      <w:tr w:rsidR="005C6008" w:rsidRPr="00E10730" w14:paraId="4D5092FA" w14:textId="77777777">
        <w:trPr>
          <w:trHeight w:val="238"/>
        </w:trPr>
        <w:tc>
          <w:tcPr>
            <w:tcW w:w="2578" w:type="dxa"/>
            <w:tcBorders>
              <w:top w:val="nil"/>
              <w:left w:val="nil"/>
              <w:bottom w:val="nil"/>
              <w:right w:val="nil"/>
            </w:tcBorders>
            <w:shd w:val="clear" w:color="FFFFFF" w:fill="FFFFFF"/>
            <w:vAlign w:val="bottom"/>
          </w:tcPr>
          <w:p w14:paraId="6B4C7F47" w14:textId="77777777" w:rsidR="005C6008" w:rsidRPr="00E10730" w:rsidRDefault="005C6008" w:rsidP="00115FA3">
            <w:pPr>
              <w:autoSpaceDE w:val="0"/>
              <w:autoSpaceDN w:val="0"/>
              <w:adjustRightInd w:val="0"/>
              <w:spacing w:after="0" w:line="240" w:lineRule="auto"/>
              <w:rPr>
                <w:rFonts w:eastAsia="Calibri" w:cs="Arial"/>
                <w:sz w:val="18"/>
                <w:szCs w:val="18"/>
              </w:rPr>
            </w:pPr>
          </w:p>
        </w:tc>
        <w:tc>
          <w:tcPr>
            <w:tcW w:w="1105" w:type="dxa"/>
            <w:tcBorders>
              <w:top w:val="nil"/>
              <w:left w:val="nil"/>
              <w:bottom w:val="nil"/>
              <w:right w:val="nil"/>
            </w:tcBorders>
            <w:shd w:val="clear" w:color="FFFFFF" w:fill="FFFFFF"/>
            <w:vAlign w:val="center"/>
          </w:tcPr>
          <w:p w14:paraId="70BBB27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vAlign w:val="center"/>
          </w:tcPr>
          <w:p w14:paraId="6BBA59D1"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vAlign w:val="bottom"/>
          </w:tcPr>
          <w:p w14:paraId="671497FE"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Original</w:t>
            </w:r>
            <w:r w:rsidRPr="00E10730">
              <w:rPr>
                <w:rFonts w:eastAsia="Calibri" w:cs="Arial"/>
                <w:color w:val="800080"/>
                <w:sz w:val="18"/>
                <w:szCs w:val="18"/>
              </w:rPr>
              <w:br/>
              <w:t>Budget</w:t>
            </w:r>
            <w:r w:rsidRPr="00E10730">
              <w:rPr>
                <w:rFonts w:eastAsia="Calibri" w:cs="Arial"/>
                <w:color w:val="800080"/>
                <w:sz w:val="18"/>
                <w:szCs w:val="18"/>
                <w:vertAlign w:val="superscript"/>
              </w:rPr>
              <w:t>1</w:t>
            </w:r>
          </w:p>
        </w:tc>
        <w:tc>
          <w:tcPr>
            <w:tcW w:w="979" w:type="dxa"/>
            <w:tcBorders>
              <w:top w:val="nil"/>
              <w:left w:val="nil"/>
              <w:bottom w:val="nil"/>
              <w:right w:val="nil"/>
            </w:tcBorders>
            <w:shd w:val="clear" w:color="FFFFFF" w:fill="FFFFFF"/>
            <w:vAlign w:val="center"/>
          </w:tcPr>
          <w:p w14:paraId="1C17C8D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vAlign w:val="center"/>
          </w:tcPr>
          <w:p w14:paraId="578174B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vAlign w:val="bottom"/>
          </w:tcPr>
          <w:p w14:paraId="1C68682E"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Original</w:t>
            </w:r>
            <w:r w:rsidRPr="00E10730">
              <w:rPr>
                <w:rFonts w:eastAsia="Calibri" w:cs="Arial"/>
                <w:color w:val="800080"/>
                <w:sz w:val="18"/>
                <w:szCs w:val="18"/>
              </w:rPr>
              <w:br/>
              <w:t>Budget</w:t>
            </w:r>
            <w:r w:rsidRPr="00E10730">
              <w:rPr>
                <w:rFonts w:eastAsia="Calibri" w:cs="Arial"/>
                <w:color w:val="800080"/>
                <w:sz w:val="18"/>
                <w:szCs w:val="18"/>
                <w:vertAlign w:val="superscript"/>
              </w:rPr>
              <w:t>1</w:t>
            </w:r>
          </w:p>
        </w:tc>
        <w:tc>
          <w:tcPr>
            <w:tcW w:w="979" w:type="dxa"/>
            <w:tcBorders>
              <w:top w:val="nil"/>
              <w:left w:val="nil"/>
              <w:bottom w:val="nil"/>
              <w:right w:val="nil"/>
            </w:tcBorders>
            <w:shd w:val="clear" w:color="FFFFFF" w:fill="FFFFFF"/>
            <w:vAlign w:val="center"/>
          </w:tcPr>
          <w:p w14:paraId="6C71674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vAlign w:val="center"/>
          </w:tcPr>
          <w:p w14:paraId="5594F6D3"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vAlign w:val="bottom"/>
          </w:tcPr>
          <w:p w14:paraId="4ECDCE40"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Original</w:t>
            </w:r>
            <w:r w:rsidRPr="00E10730">
              <w:rPr>
                <w:rFonts w:eastAsia="Calibri" w:cs="Arial"/>
                <w:color w:val="800080"/>
                <w:sz w:val="18"/>
                <w:szCs w:val="18"/>
              </w:rPr>
              <w:br/>
              <w:t>Budget</w:t>
            </w:r>
            <w:r w:rsidRPr="00E10730">
              <w:rPr>
                <w:rFonts w:eastAsia="Calibri" w:cs="Arial"/>
                <w:color w:val="800080"/>
                <w:sz w:val="18"/>
                <w:szCs w:val="18"/>
                <w:vertAlign w:val="superscript"/>
              </w:rPr>
              <w:t>1</w:t>
            </w:r>
          </w:p>
        </w:tc>
        <w:tc>
          <w:tcPr>
            <w:tcW w:w="981" w:type="dxa"/>
            <w:tcBorders>
              <w:top w:val="nil"/>
              <w:left w:val="nil"/>
              <w:bottom w:val="nil"/>
              <w:right w:val="nil"/>
            </w:tcBorders>
            <w:shd w:val="clear" w:color="FFFFFF" w:fill="FFFFFF"/>
            <w:vAlign w:val="center"/>
          </w:tcPr>
          <w:p w14:paraId="486E3FAC"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 </w:t>
            </w:r>
          </w:p>
        </w:tc>
        <w:tc>
          <w:tcPr>
            <w:tcW w:w="981" w:type="dxa"/>
            <w:tcBorders>
              <w:top w:val="nil"/>
              <w:left w:val="nil"/>
              <w:bottom w:val="nil"/>
              <w:right w:val="nil"/>
            </w:tcBorders>
            <w:shd w:val="clear" w:color="FFFFFF" w:fill="FFFFFF"/>
            <w:vAlign w:val="center"/>
          </w:tcPr>
          <w:p w14:paraId="488D7BD5"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vAlign w:val="bottom"/>
          </w:tcPr>
          <w:p w14:paraId="76D465C1"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Original</w:t>
            </w:r>
            <w:r w:rsidRPr="00E10730">
              <w:rPr>
                <w:rFonts w:eastAsia="Calibri" w:cs="Arial"/>
                <w:color w:val="800080"/>
                <w:sz w:val="18"/>
                <w:szCs w:val="18"/>
              </w:rPr>
              <w:br/>
              <w:t>Budget</w:t>
            </w:r>
            <w:r w:rsidRPr="00E10730">
              <w:rPr>
                <w:rFonts w:eastAsia="Calibri" w:cs="Arial"/>
                <w:color w:val="800080"/>
                <w:sz w:val="18"/>
                <w:szCs w:val="18"/>
                <w:vertAlign w:val="superscript"/>
              </w:rPr>
              <w:t>1</w:t>
            </w:r>
          </w:p>
        </w:tc>
      </w:tr>
      <w:tr w:rsidR="005C6008" w:rsidRPr="00E10730" w14:paraId="3BCFF66D" w14:textId="77777777">
        <w:trPr>
          <w:trHeight w:val="238"/>
        </w:trPr>
        <w:tc>
          <w:tcPr>
            <w:tcW w:w="2578" w:type="dxa"/>
            <w:tcBorders>
              <w:top w:val="nil"/>
              <w:left w:val="nil"/>
              <w:bottom w:val="nil"/>
              <w:right w:val="nil"/>
            </w:tcBorders>
            <w:shd w:val="clear" w:color="FFFFFF" w:fill="FFFFFF"/>
            <w:vAlign w:val="bottom"/>
          </w:tcPr>
          <w:p w14:paraId="27235005"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 </w:t>
            </w:r>
          </w:p>
        </w:tc>
        <w:tc>
          <w:tcPr>
            <w:tcW w:w="1105" w:type="dxa"/>
            <w:tcBorders>
              <w:top w:val="nil"/>
              <w:left w:val="nil"/>
              <w:bottom w:val="nil"/>
              <w:right w:val="nil"/>
            </w:tcBorders>
            <w:shd w:val="clear" w:color="FFFFFF" w:fill="FFFFFF"/>
            <w:vAlign w:val="bottom"/>
          </w:tcPr>
          <w:p w14:paraId="10C1A96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979" w:type="dxa"/>
            <w:tcBorders>
              <w:top w:val="nil"/>
              <w:left w:val="nil"/>
              <w:bottom w:val="nil"/>
              <w:right w:val="nil"/>
            </w:tcBorders>
            <w:shd w:val="clear" w:color="FFFFFF" w:fill="FFFFFF"/>
            <w:vAlign w:val="bottom"/>
          </w:tcPr>
          <w:p w14:paraId="708DC41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c>
          <w:tcPr>
            <w:tcW w:w="979" w:type="dxa"/>
            <w:tcBorders>
              <w:top w:val="nil"/>
              <w:left w:val="nil"/>
              <w:bottom w:val="nil"/>
              <w:right w:val="nil"/>
            </w:tcBorders>
            <w:shd w:val="clear" w:color="FFFFFF" w:fill="FFFFFF"/>
            <w:vAlign w:val="bottom"/>
          </w:tcPr>
          <w:p w14:paraId="09A88C1D"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2026</w:t>
            </w:r>
          </w:p>
        </w:tc>
        <w:tc>
          <w:tcPr>
            <w:tcW w:w="979" w:type="dxa"/>
            <w:tcBorders>
              <w:top w:val="nil"/>
              <w:left w:val="nil"/>
              <w:bottom w:val="nil"/>
              <w:right w:val="nil"/>
            </w:tcBorders>
            <w:shd w:val="clear" w:color="FFFFFF" w:fill="FFFFFF"/>
            <w:vAlign w:val="bottom"/>
          </w:tcPr>
          <w:p w14:paraId="2213DB6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979" w:type="dxa"/>
            <w:tcBorders>
              <w:top w:val="nil"/>
              <w:left w:val="nil"/>
              <w:bottom w:val="nil"/>
              <w:right w:val="nil"/>
            </w:tcBorders>
            <w:shd w:val="clear" w:color="FFFFFF" w:fill="FFFFFF"/>
            <w:vAlign w:val="bottom"/>
          </w:tcPr>
          <w:p w14:paraId="6ED5A27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c>
          <w:tcPr>
            <w:tcW w:w="979" w:type="dxa"/>
            <w:tcBorders>
              <w:top w:val="nil"/>
              <w:left w:val="nil"/>
              <w:bottom w:val="nil"/>
              <w:right w:val="nil"/>
            </w:tcBorders>
            <w:shd w:val="clear" w:color="FFFFFF" w:fill="FFFFFF"/>
            <w:vAlign w:val="bottom"/>
          </w:tcPr>
          <w:p w14:paraId="14C7709A"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2026</w:t>
            </w:r>
          </w:p>
        </w:tc>
        <w:tc>
          <w:tcPr>
            <w:tcW w:w="979" w:type="dxa"/>
            <w:tcBorders>
              <w:top w:val="nil"/>
              <w:left w:val="nil"/>
              <w:bottom w:val="nil"/>
              <w:right w:val="nil"/>
            </w:tcBorders>
            <w:shd w:val="clear" w:color="FFFFFF" w:fill="FFFFFF"/>
            <w:vAlign w:val="bottom"/>
          </w:tcPr>
          <w:p w14:paraId="423779A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979" w:type="dxa"/>
            <w:tcBorders>
              <w:top w:val="nil"/>
              <w:left w:val="nil"/>
              <w:bottom w:val="nil"/>
              <w:right w:val="nil"/>
            </w:tcBorders>
            <w:shd w:val="clear" w:color="FFFFFF" w:fill="FFFFFF"/>
            <w:vAlign w:val="bottom"/>
          </w:tcPr>
          <w:p w14:paraId="6543780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c>
          <w:tcPr>
            <w:tcW w:w="979" w:type="dxa"/>
            <w:tcBorders>
              <w:top w:val="nil"/>
              <w:left w:val="nil"/>
              <w:bottom w:val="nil"/>
              <w:right w:val="nil"/>
            </w:tcBorders>
            <w:shd w:val="clear" w:color="FFFFFF" w:fill="FFFFFF"/>
            <w:vAlign w:val="bottom"/>
          </w:tcPr>
          <w:p w14:paraId="68607563"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2026</w:t>
            </w:r>
          </w:p>
        </w:tc>
        <w:tc>
          <w:tcPr>
            <w:tcW w:w="981" w:type="dxa"/>
            <w:tcBorders>
              <w:top w:val="nil"/>
              <w:left w:val="nil"/>
              <w:bottom w:val="nil"/>
              <w:right w:val="nil"/>
            </w:tcBorders>
            <w:shd w:val="clear" w:color="FFFFFF" w:fill="FFFFFF"/>
            <w:vAlign w:val="bottom"/>
          </w:tcPr>
          <w:p w14:paraId="578456C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981" w:type="dxa"/>
            <w:tcBorders>
              <w:top w:val="nil"/>
              <w:left w:val="nil"/>
              <w:bottom w:val="nil"/>
              <w:right w:val="nil"/>
            </w:tcBorders>
            <w:shd w:val="clear" w:color="FFFFFF" w:fill="FFFFFF"/>
            <w:vAlign w:val="bottom"/>
          </w:tcPr>
          <w:p w14:paraId="0B027EF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c>
          <w:tcPr>
            <w:tcW w:w="979" w:type="dxa"/>
            <w:tcBorders>
              <w:top w:val="nil"/>
              <w:left w:val="nil"/>
              <w:bottom w:val="nil"/>
              <w:right w:val="nil"/>
            </w:tcBorders>
            <w:shd w:val="clear" w:color="FFFFFF" w:fill="FFFFFF"/>
            <w:vAlign w:val="bottom"/>
          </w:tcPr>
          <w:p w14:paraId="79CCAB2E"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2026</w:t>
            </w:r>
          </w:p>
        </w:tc>
      </w:tr>
      <w:tr w:rsidR="005C6008" w:rsidRPr="00E10730" w14:paraId="59CC66ED" w14:textId="77777777">
        <w:trPr>
          <w:trHeight w:val="238"/>
        </w:trPr>
        <w:tc>
          <w:tcPr>
            <w:tcW w:w="2578" w:type="dxa"/>
            <w:tcBorders>
              <w:top w:val="nil"/>
              <w:left w:val="nil"/>
              <w:bottom w:val="single" w:sz="8" w:space="0" w:color="800080"/>
              <w:right w:val="nil"/>
            </w:tcBorders>
            <w:shd w:val="clear" w:color="FFFFFF" w:fill="FFFFFF"/>
            <w:vAlign w:val="bottom"/>
          </w:tcPr>
          <w:p w14:paraId="342D9109"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 </w:t>
            </w:r>
          </w:p>
        </w:tc>
        <w:tc>
          <w:tcPr>
            <w:tcW w:w="1105" w:type="dxa"/>
            <w:tcBorders>
              <w:top w:val="nil"/>
              <w:left w:val="nil"/>
              <w:bottom w:val="single" w:sz="8" w:space="0" w:color="800080"/>
              <w:right w:val="nil"/>
            </w:tcBorders>
            <w:shd w:val="clear" w:color="FFFFFF" w:fill="FFFFFF"/>
            <w:vAlign w:val="bottom"/>
          </w:tcPr>
          <w:p w14:paraId="5321CD2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979" w:type="dxa"/>
            <w:tcBorders>
              <w:top w:val="nil"/>
              <w:left w:val="nil"/>
              <w:bottom w:val="single" w:sz="8" w:space="0" w:color="800080"/>
              <w:right w:val="nil"/>
            </w:tcBorders>
            <w:shd w:val="clear" w:color="FFFFFF" w:fill="FFFFFF"/>
            <w:vAlign w:val="bottom"/>
          </w:tcPr>
          <w:p w14:paraId="52C8249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c>
          <w:tcPr>
            <w:tcW w:w="979" w:type="dxa"/>
            <w:tcBorders>
              <w:top w:val="nil"/>
              <w:left w:val="nil"/>
              <w:bottom w:val="single" w:sz="8" w:space="0" w:color="800080"/>
              <w:right w:val="nil"/>
            </w:tcBorders>
            <w:shd w:val="clear" w:color="FFFFFF" w:fill="FFFFFF"/>
            <w:vAlign w:val="bottom"/>
          </w:tcPr>
          <w:p w14:paraId="632F8885"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$'000</w:t>
            </w:r>
          </w:p>
        </w:tc>
        <w:tc>
          <w:tcPr>
            <w:tcW w:w="979" w:type="dxa"/>
            <w:tcBorders>
              <w:top w:val="nil"/>
              <w:left w:val="nil"/>
              <w:bottom w:val="single" w:sz="8" w:space="0" w:color="800080"/>
              <w:right w:val="nil"/>
            </w:tcBorders>
            <w:shd w:val="clear" w:color="FFFFFF" w:fill="FFFFFF"/>
            <w:vAlign w:val="bottom"/>
          </w:tcPr>
          <w:p w14:paraId="319538D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979" w:type="dxa"/>
            <w:tcBorders>
              <w:top w:val="nil"/>
              <w:left w:val="nil"/>
              <w:bottom w:val="single" w:sz="8" w:space="0" w:color="800080"/>
              <w:right w:val="nil"/>
            </w:tcBorders>
            <w:shd w:val="clear" w:color="FFFFFF" w:fill="FFFFFF"/>
            <w:vAlign w:val="bottom"/>
          </w:tcPr>
          <w:p w14:paraId="44B2B13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c>
          <w:tcPr>
            <w:tcW w:w="979" w:type="dxa"/>
            <w:tcBorders>
              <w:top w:val="nil"/>
              <w:left w:val="nil"/>
              <w:bottom w:val="single" w:sz="8" w:space="0" w:color="800080"/>
              <w:right w:val="nil"/>
            </w:tcBorders>
            <w:shd w:val="clear" w:color="FFFFFF" w:fill="FFFFFF"/>
            <w:vAlign w:val="bottom"/>
          </w:tcPr>
          <w:p w14:paraId="1644DF9A"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$'000</w:t>
            </w:r>
          </w:p>
        </w:tc>
        <w:tc>
          <w:tcPr>
            <w:tcW w:w="979" w:type="dxa"/>
            <w:tcBorders>
              <w:top w:val="nil"/>
              <w:left w:val="nil"/>
              <w:bottom w:val="single" w:sz="8" w:space="0" w:color="800080"/>
              <w:right w:val="nil"/>
            </w:tcBorders>
            <w:shd w:val="clear" w:color="FFFFFF" w:fill="FFFFFF"/>
            <w:vAlign w:val="bottom"/>
          </w:tcPr>
          <w:p w14:paraId="6B42C3E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979" w:type="dxa"/>
            <w:tcBorders>
              <w:top w:val="nil"/>
              <w:left w:val="nil"/>
              <w:bottom w:val="single" w:sz="8" w:space="0" w:color="800080"/>
              <w:right w:val="nil"/>
            </w:tcBorders>
            <w:shd w:val="clear" w:color="FFFFFF" w:fill="FFFFFF"/>
            <w:vAlign w:val="bottom"/>
          </w:tcPr>
          <w:p w14:paraId="7B624E2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c>
          <w:tcPr>
            <w:tcW w:w="979" w:type="dxa"/>
            <w:tcBorders>
              <w:top w:val="nil"/>
              <w:left w:val="nil"/>
              <w:bottom w:val="single" w:sz="8" w:space="0" w:color="800080"/>
              <w:right w:val="nil"/>
            </w:tcBorders>
            <w:shd w:val="clear" w:color="FFFFFF" w:fill="FFFFFF"/>
            <w:vAlign w:val="bottom"/>
          </w:tcPr>
          <w:p w14:paraId="055D3B43"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$'000</w:t>
            </w:r>
          </w:p>
        </w:tc>
        <w:tc>
          <w:tcPr>
            <w:tcW w:w="981" w:type="dxa"/>
            <w:tcBorders>
              <w:top w:val="nil"/>
              <w:left w:val="nil"/>
              <w:bottom w:val="single" w:sz="8" w:space="0" w:color="800080"/>
              <w:right w:val="nil"/>
            </w:tcBorders>
            <w:shd w:val="clear" w:color="FFFFFF" w:fill="FFFFFF"/>
            <w:vAlign w:val="bottom"/>
          </w:tcPr>
          <w:p w14:paraId="64B72E0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981" w:type="dxa"/>
            <w:tcBorders>
              <w:top w:val="nil"/>
              <w:left w:val="nil"/>
              <w:bottom w:val="single" w:sz="8" w:space="0" w:color="800080"/>
              <w:right w:val="nil"/>
            </w:tcBorders>
            <w:shd w:val="clear" w:color="FFFFFF" w:fill="FFFFFF"/>
            <w:vAlign w:val="bottom"/>
          </w:tcPr>
          <w:p w14:paraId="626D1D8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c>
          <w:tcPr>
            <w:tcW w:w="979" w:type="dxa"/>
            <w:tcBorders>
              <w:top w:val="nil"/>
              <w:left w:val="nil"/>
              <w:bottom w:val="single" w:sz="8" w:space="0" w:color="800080"/>
              <w:right w:val="nil"/>
            </w:tcBorders>
            <w:shd w:val="clear" w:color="FFFFFF" w:fill="FFFFFF"/>
            <w:vAlign w:val="bottom"/>
          </w:tcPr>
          <w:p w14:paraId="0F12A83A" w14:textId="77777777" w:rsidR="005C6008" w:rsidRPr="00E10730" w:rsidRDefault="005C6008" w:rsidP="00115FA3">
            <w:pPr>
              <w:autoSpaceDE w:val="0"/>
              <w:autoSpaceDN w:val="0"/>
              <w:adjustRightInd w:val="0"/>
              <w:spacing w:after="0" w:line="240" w:lineRule="auto"/>
              <w:jc w:val="right"/>
              <w:rPr>
                <w:rFonts w:eastAsia="Calibri" w:cs="Arial"/>
                <w:color w:val="800080"/>
                <w:sz w:val="18"/>
                <w:szCs w:val="18"/>
              </w:rPr>
            </w:pPr>
            <w:r w:rsidRPr="00E10730">
              <w:rPr>
                <w:rFonts w:eastAsia="Calibri" w:cs="Arial"/>
                <w:color w:val="800080"/>
                <w:sz w:val="18"/>
                <w:szCs w:val="18"/>
              </w:rPr>
              <w:t>$'000</w:t>
            </w:r>
          </w:p>
        </w:tc>
      </w:tr>
      <w:tr w:rsidR="005C6008" w:rsidRPr="00E10730" w14:paraId="6876F61F" w14:textId="77777777">
        <w:trPr>
          <w:trHeight w:val="238"/>
        </w:trPr>
        <w:tc>
          <w:tcPr>
            <w:tcW w:w="2578" w:type="dxa"/>
            <w:tcBorders>
              <w:top w:val="nil"/>
              <w:left w:val="nil"/>
              <w:bottom w:val="nil"/>
              <w:right w:val="nil"/>
            </w:tcBorders>
            <w:shd w:val="clear" w:color="FFFFFF" w:fill="FFFFFF"/>
          </w:tcPr>
          <w:p w14:paraId="1195723C"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Opening balance</w:t>
            </w:r>
          </w:p>
        </w:tc>
        <w:tc>
          <w:tcPr>
            <w:tcW w:w="1105" w:type="dxa"/>
            <w:tcBorders>
              <w:top w:val="nil"/>
              <w:left w:val="nil"/>
              <w:bottom w:val="single" w:sz="4" w:space="0" w:color="auto"/>
              <w:right w:val="nil"/>
            </w:tcBorders>
            <w:shd w:val="clear" w:color="FFFFFF" w:fill="FFFFFF"/>
          </w:tcPr>
          <w:p w14:paraId="2D4C1CF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2,136,962</w:t>
            </w:r>
          </w:p>
        </w:tc>
        <w:tc>
          <w:tcPr>
            <w:tcW w:w="979" w:type="dxa"/>
            <w:tcBorders>
              <w:top w:val="nil"/>
              <w:left w:val="nil"/>
              <w:bottom w:val="single" w:sz="4" w:space="0" w:color="auto"/>
              <w:right w:val="nil"/>
            </w:tcBorders>
            <w:shd w:val="clear" w:color="FFFFFF" w:fill="FFFFFF"/>
          </w:tcPr>
          <w:p w14:paraId="5C013B2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2,034,744</w:t>
            </w:r>
          </w:p>
        </w:tc>
        <w:tc>
          <w:tcPr>
            <w:tcW w:w="979" w:type="dxa"/>
            <w:tcBorders>
              <w:top w:val="nil"/>
              <w:left w:val="nil"/>
              <w:bottom w:val="single" w:sz="4" w:space="0" w:color="auto"/>
              <w:right w:val="nil"/>
            </w:tcBorders>
            <w:shd w:val="clear" w:color="FFFFFF" w:fill="FFFFFF"/>
          </w:tcPr>
          <w:p w14:paraId="3646285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1,990,847</w:t>
            </w:r>
          </w:p>
        </w:tc>
        <w:tc>
          <w:tcPr>
            <w:tcW w:w="979" w:type="dxa"/>
            <w:tcBorders>
              <w:top w:val="nil"/>
              <w:left w:val="nil"/>
              <w:bottom w:val="single" w:sz="4" w:space="0" w:color="auto"/>
              <w:right w:val="nil"/>
            </w:tcBorders>
            <w:shd w:val="clear" w:color="FFFFFF" w:fill="FFFFFF"/>
          </w:tcPr>
          <w:p w14:paraId="3C85A8A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57,402</w:t>
            </w:r>
          </w:p>
        </w:tc>
        <w:tc>
          <w:tcPr>
            <w:tcW w:w="979" w:type="dxa"/>
            <w:tcBorders>
              <w:top w:val="nil"/>
              <w:left w:val="nil"/>
              <w:bottom w:val="single" w:sz="4" w:space="0" w:color="auto"/>
              <w:right w:val="nil"/>
            </w:tcBorders>
            <w:shd w:val="clear" w:color="FFFFFF" w:fill="FFFFFF"/>
          </w:tcPr>
          <w:p w14:paraId="6EA3165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46,916</w:t>
            </w:r>
          </w:p>
        </w:tc>
        <w:tc>
          <w:tcPr>
            <w:tcW w:w="979" w:type="dxa"/>
            <w:tcBorders>
              <w:top w:val="nil"/>
              <w:left w:val="nil"/>
              <w:bottom w:val="single" w:sz="4" w:space="0" w:color="auto"/>
              <w:right w:val="nil"/>
            </w:tcBorders>
            <w:shd w:val="clear" w:color="FFFFFF" w:fill="FFFFFF"/>
          </w:tcPr>
          <w:p w14:paraId="019C9FA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46,914</w:t>
            </w:r>
          </w:p>
        </w:tc>
        <w:tc>
          <w:tcPr>
            <w:tcW w:w="979" w:type="dxa"/>
            <w:tcBorders>
              <w:top w:val="nil"/>
              <w:left w:val="nil"/>
              <w:bottom w:val="single" w:sz="4" w:space="0" w:color="auto"/>
              <w:right w:val="nil"/>
            </w:tcBorders>
            <w:shd w:val="clear" w:color="FFFFFF" w:fill="FFFFFF"/>
          </w:tcPr>
          <w:p w14:paraId="70A5D5B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205,733</w:t>
            </w:r>
          </w:p>
        </w:tc>
        <w:tc>
          <w:tcPr>
            <w:tcW w:w="979" w:type="dxa"/>
            <w:tcBorders>
              <w:top w:val="nil"/>
              <w:left w:val="nil"/>
              <w:bottom w:val="single" w:sz="4" w:space="0" w:color="auto"/>
              <w:right w:val="nil"/>
            </w:tcBorders>
            <w:shd w:val="clear" w:color="FFFFFF" w:fill="FFFFFF"/>
          </w:tcPr>
          <w:p w14:paraId="25046D4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205,733</w:t>
            </w:r>
          </w:p>
        </w:tc>
        <w:tc>
          <w:tcPr>
            <w:tcW w:w="979" w:type="dxa"/>
            <w:tcBorders>
              <w:top w:val="nil"/>
              <w:left w:val="nil"/>
              <w:bottom w:val="single" w:sz="4" w:space="0" w:color="auto"/>
              <w:right w:val="nil"/>
            </w:tcBorders>
            <w:shd w:val="clear" w:color="FFFFFF" w:fill="FFFFFF"/>
          </w:tcPr>
          <w:p w14:paraId="35E0163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205,732</w:t>
            </w:r>
          </w:p>
        </w:tc>
        <w:tc>
          <w:tcPr>
            <w:tcW w:w="981" w:type="dxa"/>
            <w:tcBorders>
              <w:top w:val="nil"/>
              <w:left w:val="nil"/>
              <w:bottom w:val="single" w:sz="4" w:space="0" w:color="auto"/>
              <w:right w:val="nil"/>
            </w:tcBorders>
            <w:shd w:val="clear" w:color="FFFFFF" w:fill="FFFFFF"/>
          </w:tcPr>
          <w:p w14:paraId="70C1911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2,400,097</w:t>
            </w:r>
          </w:p>
        </w:tc>
        <w:tc>
          <w:tcPr>
            <w:tcW w:w="981" w:type="dxa"/>
            <w:tcBorders>
              <w:top w:val="nil"/>
              <w:left w:val="nil"/>
              <w:bottom w:val="single" w:sz="4" w:space="0" w:color="auto"/>
              <w:right w:val="nil"/>
            </w:tcBorders>
            <w:shd w:val="clear" w:color="FFFFFF" w:fill="FFFFFF"/>
          </w:tcPr>
          <w:p w14:paraId="4CE7763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2,287,393</w:t>
            </w:r>
          </w:p>
        </w:tc>
        <w:tc>
          <w:tcPr>
            <w:tcW w:w="979" w:type="dxa"/>
            <w:tcBorders>
              <w:top w:val="nil"/>
              <w:left w:val="nil"/>
              <w:bottom w:val="single" w:sz="4" w:space="0" w:color="auto"/>
              <w:right w:val="nil"/>
            </w:tcBorders>
            <w:shd w:val="clear" w:color="FFFFFF" w:fill="FFFFFF"/>
          </w:tcPr>
          <w:p w14:paraId="66AF26F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2,243,493</w:t>
            </w:r>
          </w:p>
        </w:tc>
      </w:tr>
      <w:tr w:rsidR="005C6008" w:rsidRPr="00E10730" w14:paraId="05769D45" w14:textId="77777777">
        <w:trPr>
          <w:trHeight w:val="238"/>
        </w:trPr>
        <w:tc>
          <w:tcPr>
            <w:tcW w:w="2578" w:type="dxa"/>
            <w:tcBorders>
              <w:top w:val="nil"/>
              <w:left w:val="nil"/>
              <w:bottom w:val="nil"/>
              <w:right w:val="nil"/>
            </w:tcBorders>
            <w:shd w:val="clear" w:color="FFFFFF" w:fill="FFFFFF"/>
          </w:tcPr>
          <w:p w14:paraId="36CCF108" w14:textId="77777777" w:rsidR="005C6008" w:rsidRPr="00E10730" w:rsidRDefault="005C6008" w:rsidP="00115FA3">
            <w:pPr>
              <w:autoSpaceDE w:val="0"/>
              <w:autoSpaceDN w:val="0"/>
              <w:adjustRightInd w:val="0"/>
              <w:spacing w:after="0" w:line="240" w:lineRule="auto"/>
              <w:rPr>
                <w:rFonts w:eastAsia="Calibri" w:cs="Arial"/>
                <w:sz w:val="16"/>
                <w:szCs w:val="16"/>
              </w:rPr>
            </w:pPr>
            <w:r w:rsidRPr="00E10730">
              <w:rPr>
                <w:rFonts w:eastAsia="Calibri" w:cs="Arial"/>
                <w:sz w:val="16"/>
                <w:szCs w:val="16"/>
              </w:rPr>
              <w:t> </w:t>
            </w:r>
          </w:p>
        </w:tc>
        <w:tc>
          <w:tcPr>
            <w:tcW w:w="1105" w:type="dxa"/>
            <w:tcBorders>
              <w:top w:val="nil"/>
              <w:left w:val="nil"/>
              <w:bottom w:val="nil"/>
              <w:right w:val="nil"/>
            </w:tcBorders>
            <w:shd w:val="clear" w:color="FFFFFF" w:fill="FFFFFF"/>
          </w:tcPr>
          <w:p w14:paraId="6F479DB7" w14:textId="77777777" w:rsidR="005C6008" w:rsidRPr="00E10730" w:rsidRDefault="005C6008" w:rsidP="00115FA3">
            <w:pPr>
              <w:autoSpaceDE w:val="0"/>
              <w:autoSpaceDN w:val="0"/>
              <w:adjustRightInd w:val="0"/>
              <w:spacing w:after="0" w:line="240" w:lineRule="auto"/>
              <w:rPr>
                <w:rFonts w:eastAsia="Calibri" w:cs="Arial"/>
                <w:sz w:val="16"/>
                <w:szCs w:val="16"/>
              </w:rPr>
            </w:pPr>
            <w:r w:rsidRPr="00E10730">
              <w:rPr>
                <w:rFonts w:eastAsia="Calibri" w:cs="Arial"/>
                <w:sz w:val="16"/>
                <w:szCs w:val="16"/>
              </w:rPr>
              <w:t> </w:t>
            </w:r>
          </w:p>
        </w:tc>
        <w:tc>
          <w:tcPr>
            <w:tcW w:w="979" w:type="dxa"/>
            <w:tcBorders>
              <w:top w:val="nil"/>
              <w:left w:val="nil"/>
              <w:bottom w:val="nil"/>
              <w:right w:val="nil"/>
            </w:tcBorders>
            <w:shd w:val="clear" w:color="FFFFFF" w:fill="FFFFFF"/>
          </w:tcPr>
          <w:p w14:paraId="297A5F35" w14:textId="77777777" w:rsidR="005C6008" w:rsidRPr="00E10730" w:rsidRDefault="005C6008" w:rsidP="00115FA3">
            <w:pPr>
              <w:autoSpaceDE w:val="0"/>
              <w:autoSpaceDN w:val="0"/>
              <w:adjustRightInd w:val="0"/>
              <w:spacing w:after="0" w:line="240" w:lineRule="auto"/>
              <w:rPr>
                <w:rFonts w:eastAsia="Calibri" w:cs="Arial"/>
                <w:sz w:val="16"/>
                <w:szCs w:val="16"/>
              </w:rPr>
            </w:pPr>
            <w:r w:rsidRPr="00E10730">
              <w:rPr>
                <w:rFonts w:eastAsia="Calibri" w:cs="Arial"/>
                <w:sz w:val="16"/>
                <w:szCs w:val="16"/>
              </w:rPr>
              <w:t> </w:t>
            </w:r>
          </w:p>
        </w:tc>
        <w:tc>
          <w:tcPr>
            <w:tcW w:w="979" w:type="dxa"/>
            <w:tcBorders>
              <w:top w:val="nil"/>
              <w:left w:val="nil"/>
              <w:bottom w:val="nil"/>
              <w:right w:val="nil"/>
            </w:tcBorders>
            <w:shd w:val="clear" w:color="FFFFFF" w:fill="FFFFFF"/>
          </w:tcPr>
          <w:p w14:paraId="56A3331E" w14:textId="77777777" w:rsidR="005C6008" w:rsidRPr="00E10730" w:rsidRDefault="005C6008" w:rsidP="00115FA3">
            <w:pPr>
              <w:autoSpaceDE w:val="0"/>
              <w:autoSpaceDN w:val="0"/>
              <w:adjustRightInd w:val="0"/>
              <w:spacing w:after="0" w:line="240" w:lineRule="auto"/>
              <w:rPr>
                <w:rFonts w:eastAsia="Calibri" w:cs="Arial"/>
                <w:sz w:val="16"/>
                <w:szCs w:val="16"/>
              </w:rPr>
            </w:pPr>
            <w:r w:rsidRPr="00E10730">
              <w:rPr>
                <w:rFonts w:eastAsia="Calibri" w:cs="Arial"/>
                <w:sz w:val="16"/>
                <w:szCs w:val="16"/>
              </w:rPr>
              <w:t> </w:t>
            </w:r>
          </w:p>
        </w:tc>
        <w:tc>
          <w:tcPr>
            <w:tcW w:w="979" w:type="dxa"/>
            <w:tcBorders>
              <w:top w:val="nil"/>
              <w:left w:val="nil"/>
              <w:bottom w:val="nil"/>
              <w:right w:val="nil"/>
            </w:tcBorders>
            <w:shd w:val="clear" w:color="FFFFFF" w:fill="FFFFFF"/>
          </w:tcPr>
          <w:p w14:paraId="4DECEEF3" w14:textId="77777777" w:rsidR="005C6008" w:rsidRPr="00E10730" w:rsidRDefault="005C6008" w:rsidP="00115FA3">
            <w:pPr>
              <w:autoSpaceDE w:val="0"/>
              <w:autoSpaceDN w:val="0"/>
              <w:adjustRightInd w:val="0"/>
              <w:spacing w:after="0" w:line="240" w:lineRule="auto"/>
              <w:rPr>
                <w:rFonts w:eastAsia="Calibri" w:cs="Arial"/>
                <w:sz w:val="16"/>
                <w:szCs w:val="16"/>
              </w:rPr>
            </w:pPr>
            <w:r w:rsidRPr="00E10730">
              <w:rPr>
                <w:rFonts w:eastAsia="Calibri" w:cs="Arial"/>
                <w:sz w:val="16"/>
                <w:szCs w:val="16"/>
              </w:rPr>
              <w:t> </w:t>
            </w:r>
          </w:p>
        </w:tc>
        <w:tc>
          <w:tcPr>
            <w:tcW w:w="979" w:type="dxa"/>
            <w:tcBorders>
              <w:top w:val="nil"/>
              <w:left w:val="nil"/>
              <w:bottom w:val="nil"/>
              <w:right w:val="nil"/>
            </w:tcBorders>
            <w:shd w:val="clear" w:color="FFFFFF" w:fill="FFFFFF"/>
          </w:tcPr>
          <w:p w14:paraId="1597AD15" w14:textId="77777777" w:rsidR="005C6008" w:rsidRPr="00E10730" w:rsidRDefault="005C6008" w:rsidP="00115FA3">
            <w:pPr>
              <w:autoSpaceDE w:val="0"/>
              <w:autoSpaceDN w:val="0"/>
              <w:adjustRightInd w:val="0"/>
              <w:spacing w:after="0" w:line="240" w:lineRule="auto"/>
              <w:rPr>
                <w:rFonts w:eastAsia="Calibri" w:cs="Arial"/>
                <w:sz w:val="16"/>
                <w:szCs w:val="16"/>
              </w:rPr>
            </w:pPr>
            <w:r w:rsidRPr="00E10730">
              <w:rPr>
                <w:rFonts w:eastAsia="Calibri" w:cs="Arial"/>
                <w:sz w:val="16"/>
                <w:szCs w:val="16"/>
              </w:rPr>
              <w:t> </w:t>
            </w:r>
          </w:p>
        </w:tc>
        <w:tc>
          <w:tcPr>
            <w:tcW w:w="979" w:type="dxa"/>
            <w:tcBorders>
              <w:top w:val="nil"/>
              <w:left w:val="nil"/>
              <w:bottom w:val="nil"/>
              <w:right w:val="nil"/>
            </w:tcBorders>
            <w:shd w:val="clear" w:color="FFFFFF" w:fill="FFFFFF"/>
          </w:tcPr>
          <w:p w14:paraId="76D7B912" w14:textId="77777777" w:rsidR="005C6008" w:rsidRPr="00E10730" w:rsidRDefault="005C6008" w:rsidP="00115FA3">
            <w:pPr>
              <w:autoSpaceDE w:val="0"/>
              <w:autoSpaceDN w:val="0"/>
              <w:adjustRightInd w:val="0"/>
              <w:spacing w:after="0" w:line="240" w:lineRule="auto"/>
              <w:rPr>
                <w:rFonts w:eastAsia="Calibri" w:cs="Arial"/>
                <w:sz w:val="16"/>
                <w:szCs w:val="16"/>
              </w:rPr>
            </w:pPr>
            <w:r w:rsidRPr="00E10730">
              <w:rPr>
                <w:rFonts w:eastAsia="Calibri" w:cs="Arial"/>
                <w:sz w:val="16"/>
                <w:szCs w:val="16"/>
              </w:rPr>
              <w:t> </w:t>
            </w:r>
          </w:p>
        </w:tc>
        <w:tc>
          <w:tcPr>
            <w:tcW w:w="979" w:type="dxa"/>
            <w:tcBorders>
              <w:top w:val="nil"/>
              <w:left w:val="nil"/>
              <w:bottom w:val="nil"/>
              <w:right w:val="nil"/>
            </w:tcBorders>
            <w:shd w:val="clear" w:color="FFFFFF" w:fill="FFFFFF"/>
          </w:tcPr>
          <w:p w14:paraId="4CE3DB74" w14:textId="77777777" w:rsidR="005C6008" w:rsidRPr="00E10730" w:rsidRDefault="005C6008" w:rsidP="00115FA3">
            <w:pPr>
              <w:autoSpaceDE w:val="0"/>
              <w:autoSpaceDN w:val="0"/>
              <w:adjustRightInd w:val="0"/>
              <w:spacing w:after="0" w:line="240" w:lineRule="auto"/>
              <w:rPr>
                <w:rFonts w:eastAsia="Calibri" w:cs="Arial"/>
                <w:sz w:val="16"/>
                <w:szCs w:val="16"/>
              </w:rPr>
            </w:pPr>
            <w:r w:rsidRPr="00E10730">
              <w:rPr>
                <w:rFonts w:eastAsia="Calibri" w:cs="Arial"/>
                <w:sz w:val="16"/>
                <w:szCs w:val="16"/>
              </w:rPr>
              <w:t> </w:t>
            </w:r>
          </w:p>
        </w:tc>
        <w:tc>
          <w:tcPr>
            <w:tcW w:w="979" w:type="dxa"/>
            <w:tcBorders>
              <w:top w:val="nil"/>
              <w:left w:val="nil"/>
              <w:bottom w:val="nil"/>
              <w:right w:val="nil"/>
            </w:tcBorders>
            <w:shd w:val="clear" w:color="FFFFFF" w:fill="FFFFFF"/>
          </w:tcPr>
          <w:p w14:paraId="5C66CAFA" w14:textId="77777777" w:rsidR="005C6008" w:rsidRPr="00E10730" w:rsidRDefault="005C6008" w:rsidP="00115FA3">
            <w:pPr>
              <w:autoSpaceDE w:val="0"/>
              <w:autoSpaceDN w:val="0"/>
              <w:adjustRightInd w:val="0"/>
              <w:spacing w:after="0" w:line="240" w:lineRule="auto"/>
              <w:rPr>
                <w:rFonts w:eastAsia="Calibri" w:cs="Arial"/>
                <w:sz w:val="16"/>
                <w:szCs w:val="16"/>
              </w:rPr>
            </w:pPr>
            <w:r w:rsidRPr="00E10730">
              <w:rPr>
                <w:rFonts w:eastAsia="Calibri" w:cs="Arial"/>
                <w:sz w:val="16"/>
                <w:szCs w:val="16"/>
              </w:rPr>
              <w:t> </w:t>
            </w:r>
          </w:p>
        </w:tc>
        <w:tc>
          <w:tcPr>
            <w:tcW w:w="979" w:type="dxa"/>
            <w:tcBorders>
              <w:top w:val="nil"/>
              <w:left w:val="nil"/>
              <w:bottom w:val="nil"/>
              <w:right w:val="nil"/>
            </w:tcBorders>
            <w:shd w:val="clear" w:color="FFFFFF" w:fill="FFFFFF"/>
          </w:tcPr>
          <w:p w14:paraId="6E85D0DA" w14:textId="77777777" w:rsidR="005C6008" w:rsidRPr="00E10730" w:rsidRDefault="005C6008" w:rsidP="00115FA3">
            <w:pPr>
              <w:autoSpaceDE w:val="0"/>
              <w:autoSpaceDN w:val="0"/>
              <w:adjustRightInd w:val="0"/>
              <w:spacing w:after="0" w:line="240" w:lineRule="auto"/>
              <w:rPr>
                <w:rFonts w:eastAsia="Calibri" w:cs="Arial"/>
                <w:sz w:val="16"/>
                <w:szCs w:val="16"/>
              </w:rPr>
            </w:pPr>
            <w:r w:rsidRPr="00E10730">
              <w:rPr>
                <w:rFonts w:eastAsia="Calibri" w:cs="Arial"/>
                <w:sz w:val="16"/>
                <w:szCs w:val="16"/>
              </w:rPr>
              <w:t> </w:t>
            </w:r>
          </w:p>
        </w:tc>
        <w:tc>
          <w:tcPr>
            <w:tcW w:w="981" w:type="dxa"/>
            <w:tcBorders>
              <w:top w:val="nil"/>
              <w:left w:val="nil"/>
              <w:bottom w:val="nil"/>
              <w:right w:val="nil"/>
            </w:tcBorders>
            <w:shd w:val="clear" w:color="FFFFFF" w:fill="FFFFFF"/>
          </w:tcPr>
          <w:p w14:paraId="1EAA3AF3" w14:textId="77777777" w:rsidR="005C6008" w:rsidRPr="00E10730" w:rsidRDefault="005C6008" w:rsidP="00115FA3">
            <w:pPr>
              <w:autoSpaceDE w:val="0"/>
              <w:autoSpaceDN w:val="0"/>
              <w:adjustRightInd w:val="0"/>
              <w:spacing w:after="0" w:line="240" w:lineRule="auto"/>
              <w:rPr>
                <w:rFonts w:eastAsia="Calibri" w:cs="Arial"/>
                <w:sz w:val="16"/>
                <w:szCs w:val="16"/>
              </w:rPr>
            </w:pPr>
            <w:r w:rsidRPr="00E10730">
              <w:rPr>
                <w:rFonts w:eastAsia="Calibri" w:cs="Arial"/>
                <w:sz w:val="16"/>
                <w:szCs w:val="16"/>
              </w:rPr>
              <w:t> </w:t>
            </w:r>
          </w:p>
        </w:tc>
        <w:tc>
          <w:tcPr>
            <w:tcW w:w="981" w:type="dxa"/>
            <w:tcBorders>
              <w:top w:val="nil"/>
              <w:left w:val="nil"/>
              <w:bottom w:val="nil"/>
              <w:right w:val="nil"/>
            </w:tcBorders>
            <w:shd w:val="clear" w:color="FFFFFF" w:fill="FFFFFF"/>
          </w:tcPr>
          <w:p w14:paraId="03A44A95" w14:textId="77777777" w:rsidR="005C6008" w:rsidRPr="00E10730" w:rsidRDefault="005C6008" w:rsidP="00115FA3">
            <w:pPr>
              <w:autoSpaceDE w:val="0"/>
              <w:autoSpaceDN w:val="0"/>
              <w:adjustRightInd w:val="0"/>
              <w:spacing w:after="0" w:line="240" w:lineRule="auto"/>
              <w:rPr>
                <w:rFonts w:eastAsia="Calibri" w:cs="Arial"/>
                <w:sz w:val="16"/>
                <w:szCs w:val="16"/>
              </w:rPr>
            </w:pPr>
            <w:r w:rsidRPr="00E10730">
              <w:rPr>
                <w:rFonts w:eastAsia="Calibri" w:cs="Arial"/>
                <w:sz w:val="16"/>
                <w:szCs w:val="16"/>
              </w:rPr>
              <w:t> </w:t>
            </w:r>
          </w:p>
        </w:tc>
        <w:tc>
          <w:tcPr>
            <w:tcW w:w="979" w:type="dxa"/>
            <w:tcBorders>
              <w:top w:val="nil"/>
              <w:left w:val="nil"/>
              <w:bottom w:val="nil"/>
              <w:right w:val="nil"/>
            </w:tcBorders>
            <w:shd w:val="clear" w:color="FFFFFF" w:fill="FFFFFF"/>
          </w:tcPr>
          <w:p w14:paraId="50CDE27C" w14:textId="77777777" w:rsidR="005C6008" w:rsidRPr="00E10730" w:rsidRDefault="005C6008" w:rsidP="00115FA3">
            <w:pPr>
              <w:autoSpaceDE w:val="0"/>
              <w:autoSpaceDN w:val="0"/>
              <w:adjustRightInd w:val="0"/>
              <w:spacing w:after="0" w:line="240" w:lineRule="auto"/>
              <w:rPr>
                <w:rFonts w:eastAsia="Calibri" w:cs="Arial"/>
                <w:sz w:val="16"/>
                <w:szCs w:val="16"/>
              </w:rPr>
            </w:pPr>
            <w:r w:rsidRPr="00E10730">
              <w:rPr>
                <w:rFonts w:eastAsia="Calibri" w:cs="Arial"/>
                <w:sz w:val="16"/>
                <w:szCs w:val="16"/>
              </w:rPr>
              <w:t> </w:t>
            </w:r>
          </w:p>
        </w:tc>
      </w:tr>
      <w:tr w:rsidR="005C6008" w:rsidRPr="00E10730" w14:paraId="2B5E9937" w14:textId="77777777">
        <w:trPr>
          <w:trHeight w:val="238"/>
        </w:trPr>
        <w:tc>
          <w:tcPr>
            <w:tcW w:w="2578" w:type="dxa"/>
            <w:tcBorders>
              <w:top w:val="nil"/>
              <w:left w:val="nil"/>
              <w:bottom w:val="nil"/>
              <w:right w:val="nil"/>
            </w:tcBorders>
            <w:shd w:val="clear" w:color="FFFFFF" w:fill="FFFFFF"/>
          </w:tcPr>
          <w:p w14:paraId="327C1AF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Comprehensive income</w:t>
            </w:r>
          </w:p>
        </w:tc>
        <w:tc>
          <w:tcPr>
            <w:tcW w:w="1105" w:type="dxa"/>
            <w:tcBorders>
              <w:top w:val="nil"/>
              <w:left w:val="nil"/>
              <w:bottom w:val="nil"/>
              <w:right w:val="nil"/>
            </w:tcBorders>
            <w:shd w:val="clear" w:color="FFFFFF" w:fill="FFFFFF"/>
          </w:tcPr>
          <w:p w14:paraId="5E23205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049D773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27F2396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129079B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4B9A006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6E0F301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57B58C3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6AD034E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508A5A7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81" w:type="dxa"/>
            <w:tcBorders>
              <w:top w:val="nil"/>
              <w:left w:val="nil"/>
              <w:bottom w:val="nil"/>
              <w:right w:val="nil"/>
            </w:tcBorders>
            <w:shd w:val="clear" w:color="FFFFFF" w:fill="FFFFFF"/>
          </w:tcPr>
          <w:p w14:paraId="66BE157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81" w:type="dxa"/>
            <w:tcBorders>
              <w:top w:val="nil"/>
              <w:left w:val="nil"/>
              <w:bottom w:val="nil"/>
              <w:right w:val="nil"/>
            </w:tcBorders>
            <w:shd w:val="clear" w:color="FFFFFF" w:fill="FFFFFF"/>
          </w:tcPr>
          <w:p w14:paraId="254B89CC"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tcPr>
          <w:p w14:paraId="5DF216B9"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 </w:t>
            </w:r>
          </w:p>
        </w:tc>
      </w:tr>
      <w:tr w:rsidR="005C6008" w:rsidRPr="00E10730" w14:paraId="566BD131" w14:textId="77777777">
        <w:trPr>
          <w:trHeight w:val="238"/>
        </w:trPr>
        <w:tc>
          <w:tcPr>
            <w:tcW w:w="2578" w:type="dxa"/>
            <w:tcBorders>
              <w:top w:val="nil"/>
              <w:left w:val="nil"/>
              <w:bottom w:val="nil"/>
              <w:right w:val="nil"/>
            </w:tcBorders>
            <w:shd w:val="clear" w:color="FFFFFF" w:fill="FFFFFF"/>
          </w:tcPr>
          <w:p w14:paraId="67289CEF"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Surplus/(Deficit) for the period</w:t>
            </w:r>
          </w:p>
        </w:tc>
        <w:tc>
          <w:tcPr>
            <w:tcW w:w="1105" w:type="dxa"/>
            <w:tcBorders>
              <w:top w:val="nil"/>
              <w:left w:val="nil"/>
              <w:bottom w:val="nil"/>
              <w:right w:val="nil"/>
            </w:tcBorders>
            <w:shd w:val="clear" w:color="FFFFFF" w:fill="FFFFFF"/>
          </w:tcPr>
          <w:p w14:paraId="1C19616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186,829</w:t>
            </w:r>
          </w:p>
        </w:tc>
        <w:tc>
          <w:tcPr>
            <w:tcW w:w="979" w:type="dxa"/>
            <w:tcBorders>
              <w:top w:val="nil"/>
              <w:left w:val="nil"/>
              <w:bottom w:val="nil"/>
              <w:right w:val="nil"/>
            </w:tcBorders>
            <w:shd w:val="clear" w:color="FFFFFF" w:fill="FFFFFF"/>
          </w:tcPr>
          <w:p w14:paraId="14B996F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102,218</w:t>
            </w:r>
          </w:p>
        </w:tc>
        <w:tc>
          <w:tcPr>
            <w:tcW w:w="979" w:type="dxa"/>
            <w:tcBorders>
              <w:top w:val="nil"/>
              <w:left w:val="nil"/>
              <w:bottom w:val="nil"/>
              <w:right w:val="nil"/>
            </w:tcBorders>
            <w:shd w:val="clear" w:color="FFFFFF" w:fill="FFFFFF"/>
          </w:tcPr>
          <w:p w14:paraId="2EE040B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29,564</w:t>
            </w:r>
          </w:p>
        </w:tc>
        <w:tc>
          <w:tcPr>
            <w:tcW w:w="979" w:type="dxa"/>
            <w:tcBorders>
              <w:top w:val="nil"/>
              <w:left w:val="nil"/>
              <w:bottom w:val="nil"/>
              <w:right w:val="nil"/>
            </w:tcBorders>
            <w:shd w:val="clear" w:color="FFFFFF" w:fill="FFFFFF"/>
          </w:tcPr>
          <w:p w14:paraId="6C1F89E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xml:space="preserve"> -</w:t>
            </w:r>
          </w:p>
        </w:tc>
        <w:tc>
          <w:tcPr>
            <w:tcW w:w="979" w:type="dxa"/>
            <w:tcBorders>
              <w:top w:val="nil"/>
              <w:left w:val="nil"/>
              <w:bottom w:val="nil"/>
              <w:right w:val="nil"/>
            </w:tcBorders>
            <w:shd w:val="clear" w:color="FFFFFF" w:fill="FFFFFF"/>
          </w:tcPr>
          <w:p w14:paraId="10FAC34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7F21682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3FA5B4A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979" w:type="dxa"/>
            <w:tcBorders>
              <w:top w:val="nil"/>
              <w:left w:val="nil"/>
              <w:bottom w:val="nil"/>
              <w:right w:val="nil"/>
            </w:tcBorders>
            <w:shd w:val="clear" w:color="FFFFFF" w:fill="FFFFFF"/>
          </w:tcPr>
          <w:p w14:paraId="53112B4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54B6729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81" w:type="dxa"/>
            <w:tcBorders>
              <w:top w:val="nil"/>
              <w:left w:val="nil"/>
              <w:bottom w:val="nil"/>
              <w:right w:val="nil"/>
            </w:tcBorders>
            <w:shd w:val="clear" w:color="FFFFFF" w:fill="FFFFFF"/>
          </w:tcPr>
          <w:p w14:paraId="7656502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186,829</w:t>
            </w:r>
          </w:p>
        </w:tc>
        <w:tc>
          <w:tcPr>
            <w:tcW w:w="981" w:type="dxa"/>
            <w:tcBorders>
              <w:top w:val="nil"/>
              <w:left w:val="nil"/>
              <w:bottom w:val="nil"/>
              <w:right w:val="nil"/>
            </w:tcBorders>
            <w:shd w:val="clear" w:color="FFFFFF" w:fill="FFFFFF"/>
          </w:tcPr>
          <w:p w14:paraId="684F12A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102,218</w:t>
            </w:r>
          </w:p>
        </w:tc>
        <w:tc>
          <w:tcPr>
            <w:tcW w:w="979" w:type="dxa"/>
            <w:tcBorders>
              <w:top w:val="nil"/>
              <w:left w:val="nil"/>
              <w:bottom w:val="nil"/>
              <w:right w:val="nil"/>
            </w:tcBorders>
            <w:shd w:val="clear" w:color="FFFFFF" w:fill="FFFFFF"/>
          </w:tcPr>
          <w:p w14:paraId="3C8BB35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29,564</w:t>
            </w:r>
          </w:p>
        </w:tc>
      </w:tr>
      <w:tr w:rsidR="005C6008" w:rsidRPr="00E10730" w14:paraId="4DE97AF5" w14:textId="77777777">
        <w:trPr>
          <w:trHeight w:val="238"/>
        </w:trPr>
        <w:tc>
          <w:tcPr>
            <w:tcW w:w="2578" w:type="dxa"/>
            <w:tcBorders>
              <w:top w:val="nil"/>
              <w:left w:val="nil"/>
              <w:bottom w:val="nil"/>
              <w:right w:val="nil"/>
            </w:tcBorders>
            <w:shd w:val="clear" w:color="FFFFFF" w:fill="FFFFFF"/>
          </w:tcPr>
          <w:p w14:paraId="014534AC"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Other comprehensive income</w:t>
            </w:r>
          </w:p>
        </w:tc>
        <w:tc>
          <w:tcPr>
            <w:tcW w:w="1105" w:type="dxa"/>
            <w:tcBorders>
              <w:top w:val="nil"/>
              <w:left w:val="nil"/>
              <w:bottom w:val="nil"/>
              <w:right w:val="nil"/>
            </w:tcBorders>
            <w:shd w:val="clear" w:color="FFFFFF" w:fill="FFFFFF"/>
          </w:tcPr>
          <w:p w14:paraId="5702653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xml:space="preserve"> -</w:t>
            </w:r>
          </w:p>
        </w:tc>
        <w:tc>
          <w:tcPr>
            <w:tcW w:w="979" w:type="dxa"/>
            <w:tcBorders>
              <w:top w:val="nil"/>
              <w:left w:val="nil"/>
              <w:bottom w:val="nil"/>
              <w:right w:val="nil"/>
            </w:tcBorders>
            <w:shd w:val="clear" w:color="FFFFFF" w:fill="FFFFFF"/>
          </w:tcPr>
          <w:p w14:paraId="11F24B8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17471BE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1E05714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14,093</w:t>
            </w:r>
          </w:p>
        </w:tc>
        <w:tc>
          <w:tcPr>
            <w:tcW w:w="979" w:type="dxa"/>
            <w:tcBorders>
              <w:top w:val="nil"/>
              <w:left w:val="nil"/>
              <w:bottom w:val="nil"/>
              <w:right w:val="nil"/>
            </w:tcBorders>
            <w:shd w:val="clear" w:color="FFFFFF" w:fill="FFFFFF"/>
          </w:tcPr>
          <w:p w14:paraId="51D7E29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10,486</w:t>
            </w:r>
          </w:p>
        </w:tc>
        <w:tc>
          <w:tcPr>
            <w:tcW w:w="979" w:type="dxa"/>
            <w:tcBorders>
              <w:top w:val="nil"/>
              <w:left w:val="nil"/>
              <w:bottom w:val="nil"/>
              <w:right w:val="nil"/>
            </w:tcBorders>
            <w:shd w:val="clear" w:color="FFFFFF" w:fill="FFFFFF"/>
          </w:tcPr>
          <w:p w14:paraId="621CE2B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09319BB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979" w:type="dxa"/>
            <w:tcBorders>
              <w:top w:val="nil"/>
              <w:left w:val="nil"/>
              <w:bottom w:val="nil"/>
              <w:right w:val="nil"/>
            </w:tcBorders>
            <w:shd w:val="clear" w:color="FFFFFF" w:fill="FFFFFF"/>
          </w:tcPr>
          <w:p w14:paraId="4F2F4ED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64EF562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81" w:type="dxa"/>
            <w:tcBorders>
              <w:top w:val="nil"/>
              <w:left w:val="nil"/>
              <w:bottom w:val="nil"/>
              <w:right w:val="nil"/>
            </w:tcBorders>
            <w:shd w:val="clear" w:color="FFFFFF" w:fill="FFFFFF"/>
          </w:tcPr>
          <w:p w14:paraId="4CC9192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14,093</w:t>
            </w:r>
          </w:p>
        </w:tc>
        <w:tc>
          <w:tcPr>
            <w:tcW w:w="981" w:type="dxa"/>
            <w:tcBorders>
              <w:top w:val="nil"/>
              <w:left w:val="nil"/>
              <w:bottom w:val="nil"/>
              <w:right w:val="nil"/>
            </w:tcBorders>
            <w:shd w:val="clear" w:color="FFFFFF" w:fill="FFFFFF"/>
          </w:tcPr>
          <w:p w14:paraId="59D6676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10,486</w:t>
            </w:r>
          </w:p>
        </w:tc>
        <w:tc>
          <w:tcPr>
            <w:tcW w:w="979" w:type="dxa"/>
            <w:tcBorders>
              <w:top w:val="nil"/>
              <w:left w:val="nil"/>
              <w:bottom w:val="nil"/>
              <w:right w:val="nil"/>
            </w:tcBorders>
            <w:shd w:val="clear" w:color="FFFFFF" w:fill="FFFFFF"/>
          </w:tcPr>
          <w:p w14:paraId="11498E6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r>
      <w:tr w:rsidR="005C6008" w:rsidRPr="00E10730" w14:paraId="25966B75" w14:textId="77777777">
        <w:trPr>
          <w:trHeight w:val="238"/>
        </w:trPr>
        <w:tc>
          <w:tcPr>
            <w:tcW w:w="2578" w:type="dxa"/>
            <w:tcBorders>
              <w:top w:val="single" w:sz="4" w:space="0" w:color="auto"/>
              <w:left w:val="nil"/>
              <w:bottom w:val="single" w:sz="4" w:space="0" w:color="auto"/>
              <w:right w:val="nil"/>
            </w:tcBorders>
            <w:shd w:val="clear" w:color="FFFFFF" w:fill="FFFFFF"/>
          </w:tcPr>
          <w:p w14:paraId="111EEBEA"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comprehensive income/(loss)</w:t>
            </w:r>
          </w:p>
        </w:tc>
        <w:tc>
          <w:tcPr>
            <w:tcW w:w="1105" w:type="dxa"/>
            <w:tcBorders>
              <w:top w:val="single" w:sz="4" w:space="0" w:color="auto"/>
              <w:left w:val="nil"/>
              <w:bottom w:val="single" w:sz="4" w:space="0" w:color="auto"/>
              <w:right w:val="nil"/>
            </w:tcBorders>
            <w:shd w:val="clear" w:color="FFFFFF" w:fill="FFFFFF"/>
          </w:tcPr>
          <w:p w14:paraId="6A4D1A7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186,829</w:t>
            </w:r>
          </w:p>
        </w:tc>
        <w:tc>
          <w:tcPr>
            <w:tcW w:w="979" w:type="dxa"/>
            <w:tcBorders>
              <w:top w:val="single" w:sz="4" w:space="0" w:color="auto"/>
              <w:left w:val="nil"/>
              <w:bottom w:val="single" w:sz="4" w:space="0" w:color="auto"/>
              <w:right w:val="nil"/>
            </w:tcBorders>
            <w:shd w:val="clear" w:color="FFFFFF" w:fill="FFFFFF"/>
          </w:tcPr>
          <w:p w14:paraId="2AFE2D3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102,218</w:t>
            </w:r>
          </w:p>
        </w:tc>
        <w:tc>
          <w:tcPr>
            <w:tcW w:w="979" w:type="dxa"/>
            <w:tcBorders>
              <w:top w:val="single" w:sz="4" w:space="0" w:color="auto"/>
              <w:left w:val="nil"/>
              <w:bottom w:val="single" w:sz="4" w:space="0" w:color="auto"/>
              <w:right w:val="nil"/>
            </w:tcBorders>
            <w:shd w:val="clear" w:color="FFFFFF" w:fill="FFFFFF"/>
          </w:tcPr>
          <w:p w14:paraId="741A525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29,564</w:t>
            </w:r>
          </w:p>
        </w:tc>
        <w:tc>
          <w:tcPr>
            <w:tcW w:w="979" w:type="dxa"/>
            <w:tcBorders>
              <w:top w:val="single" w:sz="4" w:space="0" w:color="auto"/>
              <w:left w:val="nil"/>
              <w:bottom w:val="single" w:sz="4" w:space="0" w:color="auto"/>
              <w:right w:val="nil"/>
            </w:tcBorders>
            <w:shd w:val="clear" w:color="FFFFFF" w:fill="FFFFFF"/>
          </w:tcPr>
          <w:p w14:paraId="30D634B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14,093</w:t>
            </w:r>
          </w:p>
        </w:tc>
        <w:tc>
          <w:tcPr>
            <w:tcW w:w="979" w:type="dxa"/>
            <w:tcBorders>
              <w:top w:val="single" w:sz="4" w:space="0" w:color="auto"/>
              <w:left w:val="nil"/>
              <w:bottom w:val="single" w:sz="4" w:space="0" w:color="auto"/>
              <w:right w:val="nil"/>
            </w:tcBorders>
            <w:shd w:val="clear" w:color="FFFFFF" w:fill="FFFFFF"/>
          </w:tcPr>
          <w:p w14:paraId="24B036A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10,486</w:t>
            </w:r>
          </w:p>
        </w:tc>
        <w:tc>
          <w:tcPr>
            <w:tcW w:w="979" w:type="dxa"/>
            <w:tcBorders>
              <w:top w:val="single" w:sz="4" w:space="0" w:color="auto"/>
              <w:left w:val="nil"/>
              <w:bottom w:val="single" w:sz="4" w:space="0" w:color="auto"/>
              <w:right w:val="nil"/>
            </w:tcBorders>
            <w:shd w:val="clear" w:color="FFFFFF" w:fill="FFFFFF"/>
          </w:tcPr>
          <w:p w14:paraId="172D820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c>
          <w:tcPr>
            <w:tcW w:w="979" w:type="dxa"/>
            <w:tcBorders>
              <w:top w:val="single" w:sz="4" w:space="0" w:color="auto"/>
              <w:left w:val="nil"/>
              <w:bottom w:val="single" w:sz="4" w:space="0" w:color="auto"/>
              <w:right w:val="nil"/>
            </w:tcBorders>
            <w:shd w:val="clear" w:color="FFFFFF" w:fill="FFFFFF"/>
          </w:tcPr>
          <w:p w14:paraId="47E22CD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979" w:type="dxa"/>
            <w:tcBorders>
              <w:top w:val="single" w:sz="4" w:space="0" w:color="auto"/>
              <w:left w:val="nil"/>
              <w:bottom w:val="single" w:sz="4" w:space="0" w:color="auto"/>
              <w:right w:val="nil"/>
            </w:tcBorders>
            <w:shd w:val="clear" w:color="FFFFFF" w:fill="FFFFFF"/>
          </w:tcPr>
          <w:p w14:paraId="4ADE4BC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c>
          <w:tcPr>
            <w:tcW w:w="979" w:type="dxa"/>
            <w:tcBorders>
              <w:top w:val="single" w:sz="4" w:space="0" w:color="auto"/>
              <w:left w:val="nil"/>
              <w:bottom w:val="single" w:sz="4" w:space="0" w:color="auto"/>
              <w:right w:val="nil"/>
            </w:tcBorders>
            <w:shd w:val="clear" w:color="FFFFFF" w:fill="FFFFFF"/>
          </w:tcPr>
          <w:p w14:paraId="4D0EFDA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c>
          <w:tcPr>
            <w:tcW w:w="981" w:type="dxa"/>
            <w:tcBorders>
              <w:top w:val="single" w:sz="4" w:space="0" w:color="auto"/>
              <w:left w:val="nil"/>
              <w:bottom w:val="single" w:sz="4" w:space="0" w:color="auto"/>
              <w:right w:val="nil"/>
            </w:tcBorders>
            <w:shd w:val="clear" w:color="FFFFFF" w:fill="FFFFFF"/>
          </w:tcPr>
          <w:p w14:paraId="53266F2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200,922</w:t>
            </w:r>
          </w:p>
        </w:tc>
        <w:tc>
          <w:tcPr>
            <w:tcW w:w="981" w:type="dxa"/>
            <w:tcBorders>
              <w:top w:val="single" w:sz="4" w:space="0" w:color="auto"/>
              <w:left w:val="nil"/>
              <w:bottom w:val="single" w:sz="4" w:space="0" w:color="auto"/>
              <w:right w:val="nil"/>
            </w:tcBorders>
            <w:shd w:val="clear" w:color="FFFFFF" w:fill="FFFFFF"/>
          </w:tcPr>
          <w:p w14:paraId="0483D3F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112,704</w:t>
            </w:r>
          </w:p>
        </w:tc>
        <w:tc>
          <w:tcPr>
            <w:tcW w:w="979" w:type="dxa"/>
            <w:tcBorders>
              <w:top w:val="single" w:sz="4" w:space="0" w:color="auto"/>
              <w:left w:val="nil"/>
              <w:bottom w:val="single" w:sz="4" w:space="0" w:color="auto"/>
              <w:right w:val="nil"/>
            </w:tcBorders>
            <w:shd w:val="clear" w:color="FFFFFF" w:fill="FFFFFF"/>
          </w:tcPr>
          <w:p w14:paraId="50674A3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29,564</w:t>
            </w:r>
          </w:p>
        </w:tc>
      </w:tr>
      <w:tr w:rsidR="005C6008" w:rsidRPr="00E10730" w14:paraId="210D88EC" w14:textId="77777777">
        <w:trPr>
          <w:trHeight w:val="238"/>
        </w:trPr>
        <w:tc>
          <w:tcPr>
            <w:tcW w:w="2578" w:type="dxa"/>
            <w:tcBorders>
              <w:top w:val="nil"/>
              <w:left w:val="nil"/>
              <w:bottom w:val="nil"/>
              <w:right w:val="nil"/>
            </w:tcBorders>
            <w:shd w:val="clear" w:color="FFFFFF" w:fill="FFFFFF"/>
          </w:tcPr>
          <w:p w14:paraId="16A534AF"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 </w:t>
            </w:r>
          </w:p>
        </w:tc>
        <w:tc>
          <w:tcPr>
            <w:tcW w:w="1105" w:type="dxa"/>
            <w:tcBorders>
              <w:top w:val="nil"/>
              <w:left w:val="nil"/>
              <w:bottom w:val="nil"/>
              <w:right w:val="nil"/>
            </w:tcBorders>
            <w:shd w:val="clear" w:color="FFFFFF" w:fill="FFFFFF"/>
          </w:tcPr>
          <w:p w14:paraId="5AE2D47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4AFEEB7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tcPr>
          <w:p w14:paraId="309B500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tcPr>
          <w:p w14:paraId="515AE22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26A3E84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tcPr>
          <w:p w14:paraId="79130FB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tcPr>
          <w:p w14:paraId="6B4F899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655F690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tcPr>
          <w:p w14:paraId="184C604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81" w:type="dxa"/>
            <w:tcBorders>
              <w:top w:val="nil"/>
              <w:left w:val="nil"/>
              <w:bottom w:val="nil"/>
              <w:right w:val="nil"/>
            </w:tcBorders>
            <w:shd w:val="clear" w:color="FFFFFF" w:fill="FFFFFF"/>
          </w:tcPr>
          <w:p w14:paraId="451527A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81" w:type="dxa"/>
            <w:tcBorders>
              <w:top w:val="nil"/>
              <w:left w:val="nil"/>
              <w:bottom w:val="nil"/>
              <w:right w:val="nil"/>
            </w:tcBorders>
            <w:shd w:val="clear" w:color="FFFFFF" w:fill="FFFFFF"/>
          </w:tcPr>
          <w:p w14:paraId="579F188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tcPr>
          <w:p w14:paraId="0D7D756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r>
      <w:tr w:rsidR="005C6008" w:rsidRPr="00E10730" w14:paraId="6F37C91B" w14:textId="77777777">
        <w:trPr>
          <w:trHeight w:val="238"/>
        </w:trPr>
        <w:tc>
          <w:tcPr>
            <w:tcW w:w="2578" w:type="dxa"/>
            <w:tcBorders>
              <w:top w:val="nil"/>
              <w:left w:val="nil"/>
              <w:bottom w:val="nil"/>
              <w:right w:val="nil"/>
            </w:tcBorders>
            <w:shd w:val="clear" w:color="FFFFFF" w:fill="FFFFFF"/>
          </w:tcPr>
          <w:p w14:paraId="1F4A886C"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Contributions by owners</w:t>
            </w:r>
          </w:p>
        </w:tc>
        <w:tc>
          <w:tcPr>
            <w:tcW w:w="1105" w:type="dxa"/>
            <w:tcBorders>
              <w:top w:val="nil"/>
              <w:left w:val="nil"/>
              <w:bottom w:val="nil"/>
              <w:right w:val="nil"/>
            </w:tcBorders>
            <w:shd w:val="clear" w:color="FFFFFF" w:fill="FFFFFF"/>
          </w:tcPr>
          <w:p w14:paraId="0960640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51EA8E1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tcPr>
          <w:p w14:paraId="2E5962D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tcPr>
          <w:p w14:paraId="3630C5B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081CE20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tcPr>
          <w:p w14:paraId="57171DD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tcPr>
          <w:p w14:paraId="2CE1E83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tcPr>
          <w:p w14:paraId="7196C85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tcPr>
          <w:p w14:paraId="4090B88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81" w:type="dxa"/>
            <w:tcBorders>
              <w:top w:val="nil"/>
              <w:left w:val="nil"/>
              <w:bottom w:val="nil"/>
              <w:right w:val="nil"/>
            </w:tcBorders>
            <w:shd w:val="clear" w:color="FFFFFF" w:fill="FFFFFF"/>
          </w:tcPr>
          <w:p w14:paraId="0B04D84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81" w:type="dxa"/>
            <w:tcBorders>
              <w:top w:val="nil"/>
              <w:left w:val="nil"/>
              <w:bottom w:val="nil"/>
              <w:right w:val="nil"/>
            </w:tcBorders>
            <w:shd w:val="clear" w:color="FFFFFF" w:fill="FFFFFF"/>
          </w:tcPr>
          <w:p w14:paraId="53EB156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tcPr>
          <w:p w14:paraId="7CA208C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r>
      <w:tr w:rsidR="005C6008" w:rsidRPr="00E10730" w14:paraId="0EE77BF5" w14:textId="77777777">
        <w:trPr>
          <w:trHeight w:val="238"/>
        </w:trPr>
        <w:tc>
          <w:tcPr>
            <w:tcW w:w="2578" w:type="dxa"/>
            <w:tcBorders>
              <w:top w:val="nil"/>
              <w:left w:val="nil"/>
              <w:bottom w:val="nil"/>
              <w:right w:val="nil"/>
            </w:tcBorders>
            <w:shd w:val="clear" w:color="FFFFFF" w:fill="FFFFFF"/>
          </w:tcPr>
          <w:p w14:paraId="4A2AF2BD"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Equity injection</w:t>
            </w:r>
          </w:p>
        </w:tc>
        <w:tc>
          <w:tcPr>
            <w:tcW w:w="1105" w:type="dxa"/>
            <w:tcBorders>
              <w:top w:val="nil"/>
              <w:left w:val="nil"/>
              <w:bottom w:val="nil"/>
              <w:right w:val="nil"/>
            </w:tcBorders>
            <w:shd w:val="clear" w:color="FFFFFF" w:fill="FFFFFF"/>
          </w:tcPr>
          <w:p w14:paraId="6CAF261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1654E34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519FC0C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78B3960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1C8EFDB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34A8C68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49D4E97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4,709</w:t>
            </w:r>
          </w:p>
        </w:tc>
        <w:tc>
          <w:tcPr>
            <w:tcW w:w="979" w:type="dxa"/>
            <w:tcBorders>
              <w:top w:val="nil"/>
              <w:left w:val="nil"/>
              <w:bottom w:val="nil"/>
              <w:right w:val="nil"/>
            </w:tcBorders>
            <w:shd w:val="clear" w:color="FFFFFF" w:fill="FFFFFF"/>
          </w:tcPr>
          <w:p w14:paraId="080DF59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979" w:type="dxa"/>
            <w:tcBorders>
              <w:top w:val="nil"/>
              <w:left w:val="nil"/>
              <w:bottom w:val="nil"/>
              <w:right w:val="nil"/>
            </w:tcBorders>
            <w:shd w:val="clear" w:color="FFFFFF" w:fill="FFFFFF"/>
          </w:tcPr>
          <w:p w14:paraId="1A94716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4,709</w:t>
            </w:r>
          </w:p>
        </w:tc>
        <w:tc>
          <w:tcPr>
            <w:tcW w:w="981" w:type="dxa"/>
            <w:tcBorders>
              <w:top w:val="nil"/>
              <w:left w:val="nil"/>
              <w:bottom w:val="nil"/>
              <w:right w:val="nil"/>
            </w:tcBorders>
            <w:shd w:val="clear" w:color="FFFFFF" w:fill="FFFFFF"/>
          </w:tcPr>
          <w:p w14:paraId="4BCEA54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4,709</w:t>
            </w:r>
          </w:p>
        </w:tc>
        <w:tc>
          <w:tcPr>
            <w:tcW w:w="981" w:type="dxa"/>
            <w:tcBorders>
              <w:top w:val="nil"/>
              <w:left w:val="nil"/>
              <w:bottom w:val="nil"/>
              <w:right w:val="nil"/>
            </w:tcBorders>
            <w:shd w:val="clear" w:color="FFFFFF" w:fill="FFFFFF"/>
          </w:tcPr>
          <w:p w14:paraId="51A7651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c>
          <w:tcPr>
            <w:tcW w:w="979" w:type="dxa"/>
            <w:tcBorders>
              <w:top w:val="nil"/>
              <w:left w:val="nil"/>
              <w:bottom w:val="nil"/>
              <w:right w:val="nil"/>
            </w:tcBorders>
            <w:shd w:val="clear" w:color="FFFFFF" w:fill="FFFFFF"/>
          </w:tcPr>
          <w:p w14:paraId="1DDEFEF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4,709</w:t>
            </w:r>
          </w:p>
        </w:tc>
      </w:tr>
      <w:tr w:rsidR="005C6008" w:rsidRPr="00E10730" w14:paraId="410E77B8" w14:textId="77777777">
        <w:trPr>
          <w:trHeight w:val="238"/>
        </w:trPr>
        <w:tc>
          <w:tcPr>
            <w:tcW w:w="2578" w:type="dxa"/>
            <w:tcBorders>
              <w:top w:val="single" w:sz="4" w:space="0" w:color="auto"/>
              <w:left w:val="nil"/>
              <w:bottom w:val="single" w:sz="4" w:space="0" w:color="auto"/>
              <w:right w:val="nil"/>
            </w:tcBorders>
            <w:shd w:val="clear" w:color="FFFFFF" w:fill="FFFFFF"/>
          </w:tcPr>
          <w:p w14:paraId="618B2B03"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Sub-total contributions by owners</w:t>
            </w:r>
          </w:p>
        </w:tc>
        <w:tc>
          <w:tcPr>
            <w:tcW w:w="1105" w:type="dxa"/>
            <w:tcBorders>
              <w:top w:val="single" w:sz="4" w:space="0" w:color="auto"/>
              <w:left w:val="nil"/>
              <w:bottom w:val="single" w:sz="4" w:space="0" w:color="auto"/>
              <w:right w:val="nil"/>
            </w:tcBorders>
            <w:shd w:val="clear" w:color="FFFFFF" w:fill="FFFFFF"/>
          </w:tcPr>
          <w:p w14:paraId="32FDF71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979" w:type="dxa"/>
            <w:tcBorders>
              <w:top w:val="single" w:sz="4" w:space="0" w:color="auto"/>
              <w:left w:val="nil"/>
              <w:bottom w:val="single" w:sz="4" w:space="0" w:color="auto"/>
              <w:right w:val="nil"/>
            </w:tcBorders>
            <w:shd w:val="clear" w:color="FFFFFF" w:fill="FFFFFF"/>
          </w:tcPr>
          <w:p w14:paraId="53FD27D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c>
          <w:tcPr>
            <w:tcW w:w="979" w:type="dxa"/>
            <w:tcBorders>
              <w:top w:val="single" w:sz="4" w:space="0" w:color="auto"/>
              <w:left w:val="nil"/>
              <w:bottom w:val="single" w:sz="4" w:space="0" w:color="auto"/>
              <w:right w:val="nil"/>
            </w:tcBorders>
            <w:shd w:val="clear" w:color="FFFFFF" w:fill="FFFFFF"/>
          </w:tcPr>
          <w:p w14:paraId="31EF227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c>
          <w:tcPr>
            <w:tcW w:w="979" w:type="dxa"/>
            <w:tcBorders>
              <w:top w:val="single" w:sz="4" w:space="0" w:color="auto"/>
              <w:left w:val="nil"/>
              <w:bottom w:val="single" w:sz="4" w:space="0" w:color="auto"/>
              <w:right w:val="nil"/>
            </w:tcBorders>
            <w:shd w:val="clear" w:color="FFFFFF" w:fill="FFFFFF"/>
          </w:tcPr>
          <w:p w14:paraId="3E09757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979" w:type="dxa"/>
            <w:tcBorders>
              <w:top w:val="single" w:sz="4" w:space="0" w:color="auto"/>
              <w:left w:val="nil"/>
              <w:bottom w:val="single" w:sz="4" w:space="0" w:color="auto"/>
              <w:right w:val="nil"/>
            </w:tcBorders>
            <w:shd w:val="clear" w:color="FFFFFF" w:fill="FFFFFF"/>
          </w:tcPr>
          <w:p w14:paraId="0BEC07F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c>
          <w:tcPr>
            <w:tcW w:w="979" w:type="dxa"/>
            <w:tcBorders>
              <w:top w:val="single" w:sz="4" w:space="0" w:color="auto"/>
              <w:left w:val="nil"/>
              <w:bottom w:val="single" w:sz="4" w:space="0" w:color="auto"/>
              <w:right w:val="nil"/>
            </w:tcBorders>
            <w:shd w:val="clear" w:color="FFFFFF" w:fill="FFFFFF"/>
          </w:tcPr>
          <w:p w14:paraId="78FB196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c>
          <w:tcPr>
            <w:tcW w:w="979" w:type="dxa"/>
            <w:tcBorders>
              <w:top w:val="single" w:sz="4" w:space="0" w:color="auto"/>
              <w:left w:val="nil"/>
              <w:bottom w:val="single" w:sz="4" w:space="0" w:color="auto"/>
              <w:right w:val="nil"/>
            </w:tcBorders>
            <w:shd w:val="clear" w:color="FFFFFF" w:fill="FFFFFF"/>
          </w:tcPr>
          <w:p w14:paraId="540A498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4,709</w:t>
            </w:r>
          </w:p>
        </w:tc>
        <w:tc>
          <w:tcPr>
            <w:tcW w:w="979" w:type="dxa"/>
            <w:tcBorders>
              <w:top w:val="single" w:sz="4" w:space="0" w:color="auto"/>
              <w:left w:val="nil"/>
              <w:bottom w:val="single" w:sz="4" w:space="0" w:color="auto"/>
              <w:right w:val="nil"/>
            </w:tcBorders>
            <w:shd w:val="clear" w:color="FFFFFF" w:fill="FFFFFF"/>
          </w:tcPr>
          <w:p w14:paraId="29B29FA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c>
          <w:tcPr>
            <w:tcW w:w="979" w:type="dxa"/>
            <w:tcBorders>
              <w:top w:val="single" w:sz="4" w:space="0" w:color="auto"/>
              <w:left w:val="nil"/>
              <w:bottom w:val="single" w:sz="4" w:space="0" w:color="auto"/>
              <w:right w:val="nil"/>
            </w:tcBorders>
            <w:shd w:val="clear" w:color="FFFFFF" w:fill="FFFFFF"/>
          </w:tcPr>
          <w:p w14:paraId="44A274B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4,709</w:t>
            </w:r>
          </w:p>
        </w:tc>
        <w:tc>
          <w:tcPr>
            <w:tcW w:w="981" w:type="dxa"/>
            <w:tcBorders>
              <w:top w:val="single" w:sz="4" w:space="0" w:color="auto"/>
              <w:left w:val="nil"/>
              <w:bottom w:val="single" w:sz="4" w:space="0" w:color="auto"/>
              <w:right w:val="nil"/>
            </w:tcBorders>
            <w:shd w:val="clear" w:color="FFFFFF" w:fill="FFFFFF"/>
          </w:tcPr>
          <w:p w14:paraId="2764AE8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4,709</w:t>
            </w:r>
          </w:p>
        </w:tc>
        <w:tc>
          <w:tcPr>
            <w:tcW w:w="981" w:type="dxa"/>
            <w:tcBorders>
              <w:top w:val="single" w:sz="4" w:space="0" w:color="auto"/>
              <w:left w:val="nil"/>
              <w:bottom w:val="single" w:sz="4" w:space="0" w:color="auto"/>
              <w:right w:val="nil"/>
            </w:tcBorders>
            <w:shd w:val="clear" w:color="FFFFFF" w:fill="FFFFFF"/>
          </w:tcPr>
          <w:p w14:paraId="5C8767C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979" w:type="dxa"/>
            <w:tcBorders>
              <w:top w:val="single" w:sz="4" w:space="0" w:color="auto"/>
              <w:left w:val="nil"/>
              <w:bottom w:val="single" w:sz="4" w:space="0" w:color="auto"/>
              <w:right w:val="nil"/>
            </w:tcBorders>
            <w:shd w:val="clear" w:color="FFFFFF" w:fill="FFFFFF"/>
          </w:tcPr>
          <w:p w14:paraId="51A4F9C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4,709</w:t>
            </w:r>
          </w:p>
        </w:tc>
      </w:tr>
      <w:tr w:rsidR="005C6008" w:rsidRPr="00E10730" w14:paraId="336CFF56" w14:textId="77777777">
        <w:trPr>
          <w:trHeight w:val="238"/>
        </w:trPr>
        <w:tc>
          <w:tcPr>
            <w:tcW w:w="2578" w:type="dxa"/>
            <w:tcBorders>
              <w:top w:val="nil"/>
              <w:left w:val="nil"/>
              <w:bottom w:val="nil"/>
              <w:right w:val="nil"/>
            </w:tcBorders>
            <w:shd w:val="clear" w:color="FFFFFF" w:fill="FFFFFF"/>
            <w:vAlign w:val="bottom"/>
          </w:tcPr>
          <w:p w14:paraId="6313AB6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 </w:t>
            </w:r>
          </w:p>
        </w:tc>
        <w:tc>
          <w:tcPr>
            <w:tcW w:w="1105" w:type="dxa"/>
            <w:tcBorders>
              <w:top w:val="nil"/>
              <w:left w:val="nil"/>
              <w:bottom w:val="nil"/>
              <w:right w:val="nil"/>
            </w:tcBorders>
            <w:shd w:val="clear" w:color="FFFFFF" w:fill="FFFFFF"/>
            <w:vAlign w:val="bottom"/>
          </w:tcPr>
          <w:p w14:paraId="04A46FC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vAlign w:val="bottom"/>
          </w:tcPr>
          <w:p w14:paraId="336116C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vAlign w:val="bottom"/>
          </w:tcPr>
          <w:p w14:paraId="2EB4E42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vAlign w:val="bottom"/>
          </w:tcPr>
          <w:p w14:paraId="6CA1AE0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vAlign w:val="bottom"/>
          </w:tcPr>
          <w:p w14:paraId="119DC75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vAlign w:val="bottom"/>
          </w:tcPr>
          <w:p w14:paraId="6CF5200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vAlign w:val="bottom"/>
          </w:tcPr>
          <w:p w14:paraId="12DBB5E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79" w:type="dxa"/>
            <w:tcBorders>
              <w:top w:val="nil"/>
              <w:left w:val="nil"/>
              <w:bottom w:val="nil"/>
              <w:right w:val="nil"/>
            </w:tcBorders>
            <w:shd w:val="clear" w:color="FFFFFF" w:fill="FFFFFF"/>
            <w:vAlign w:val="bottom"/>
          </w:tcPr>
          <w:p w14:paraId="11DEC38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vAlign w:val="bottom"/>
          </w:tcPr>
          <w:p w14:paraId="29FFCCA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81" w:type="dxa"/>
            <w:tcBorders>
              <w:top w:val="nil"/>
              <w:left w:val="nil"/>
              <w:bottom w:val="nil"/>
              <w:right w:val="nil"/>
            </w:tcBorders>
            <w:shd w:val="clear" w:color="FFFFFF" w:fill="FFFFFF"/>
            <w:vAlign w:val="bottom"/>
          </w:tcPr>
          <w:p w14:paraId="555A64B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981" w:type="dxa"/>
            <w:tcBorders>
              <w:top w:val="nil"/>
              <w:left w:val="nil"/>
              <w:bottom w:val="nil"/>
              <w:right w:val="nil"/>
            </w:tcBorders>
            <w:shd w:val="clear" w:color="FFFFFF" w:fill="FFFFFF"/>
            <w:vAlign w:val="bottom"/>
          </w:tcPr>
          <w:p w14:paraId="07D61EE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c>
          <w:tcPr>
            <w:tcW w:w="979" w:type="dxa"/>
            <w:tcBorders>
              <w:top w:val="nil"/>
              <w:left w:val="nil"/>
              <w:bottom w:val="nil"/>
              <w:right w:val="nil"/>
            </w:tcBorders>
            <w:shd w:val="clear" w:color="FFFFFF" w:fill="FFFFFF"/>
            <w:vAlign w:val="bottom"/>
          </w:tcPr>
          <w:p w14:paraId="3C6CC27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w:t>
            </w:r>
          </w:p>
        </w:tc>
      </w:tr>
      <w:tr w:rsidR="005C6008" w:rsidRPr="00E10730" w14:paraId="72538E81" w14:textId="77777777">
        <w:trPr>
          <w:trHeight w:val="238"/>
        </w:trPr>
        <w:tc>
          <w:tcPr>
            <w:tcW w:w="2578" w:type="dxa"/>
            <w:tcBorders>
              <w:top w:val="single" w:sz="4" w:space="0" w:color="auto"/>
              <w:left w:val="nil"/>
              <w:bottom w:val="single" w:sz="4" w:space="0" w:color="auto"/>
              <w:right w:val="nil"/>
            </w:tcBorders>
            <w:shd w:val="clear" w:color="FFFFFF" w:fill="FFFFFF"/>
            <w:vAlign w:val="bottom"/>
          </w:tcPr>
          <w:p w14:paraId="778C513E"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Closing balance</w:t>
            </w:r>
          </w:p>
        </w:tc>
        <w:tc>
          <w:tcPr>
            <w:tcW w:w="1105" w:type="dxa"/>
            <w:tcBorders>
              <w:top w:val="single" w:sz="4" w:space="0" w:color="auto"/>
              <w:left w:val="nil"/>
              <w:bottom w:val="single" w:sz="4" w:space="0" w:color="auto"/>
              <w:right w:val="nil"/>
            </w:tcBorders>
            <w:shd w:val="clear" w:color="FFFFFF" w:fill="FFFFFF"/>
            <w:vAlign w:val="bottom"/>
          </w:tcPr>
          <w:p w14:paraId="5D15B0E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2,323,791</w:t>
            </w:r>
          </w:p>
        </w:tc>
        <w:tc>
          <w:tcPr>
            <w:tcW w:w="979" w:type="dxa"/>
            <w:tcBorders>
              <w:top w:val="single" w:sz="4" w:space="0" w:color="auto"/>
              <w:left w:val="nil"/>
              <w:bottom w:val="single" w:sz="4" w:space="0" w:color="auto"/>
              <w:right w:val="nil"/>
            </w:tcBorders>
            <w:shd w:val="clear" w:color="FFFFFF" w:fill="FFFFFF"/>
            <w:vAlign w:val="bottom"/>
          </w:tcPr>
          <w:p w14:paraId="2430980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2,136,962</w:t>
            </w:r>
          </w:p>
        </w:tc>
        <w:tc>
          <w:tcPr>
            <w:tcW w:w="979" w:type="dxa"/>
            <w:tcBorders>
              <w:top w:val="single" w:sz="4" w:space="0" w:color="auto"/>
              <w:left w:val="nil"/>
              <w:bottom w:val="single" w:sz="4" w:space="0" w:color="auto"/>
              <w:right w:val="nil"/>
            </w:tcBorders>
            <w:shd w:val="clear" w:color="FFFFFF" w:fill="FFFFFF"/>
            <w:vAlign w:val="bottom"/>
          </w:tcPr>
          <w:p w14:paraId="77447BD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2,020,411</w:t>
            </w:r>
          </w:p>
        </w:tc>
        <w:tc>
          <w:tcPr>
            <w:tcW w:w="979" w:type="dxa"/>
            <w:tcBorders>
              <w:top w:val="single" w:sz="4" w:space="0" w:color="auto"/>
              <w:left w:val="nil"/>
              <w:bottom w:val="single" w:sz="4" w:space="0" w:color="auto"/>
              <w:right w:val="nil"/>
            </w:tcBorders>
            <w:shd w:val="clear" w:color="FFFFFF" w:fill="FFFFFF"/>
            <w:vAlign w:val="bottom"/>
          </w:tcPr>
          <w:p w14:paraId="19509FC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71,495</w:t>
            </w:r>
          </w:p>
        </w:tc>
        <w:tc>
          <w:tcPr>
            <w:tcW w:w="979" w:type="dxa"/>
            <w:tcBorders>
              <w:top w:val="single" w:sz="4" w:space="0" w:color="auto"/>
              <w:left w:val="nil"/>
              <w:bottom w:val="single" w:sz="4" w:space="0" w:color="auto"/>
              <w:right w:val="nil"/>
            </w:tcBorders>
            <w:shd w:val="clear" w:color="FFFFFF" w:fill="FFFFFF"/>
            <w:vAlign w:val="bottom"/>
          </w:tcPr>
          <w:p w14:paraId="450E950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57,402</w:t>
            </w:r>
          </w:p>
        </w:tc>
        <w:tc>
          <w:tcPr>
            <w:tcW w:w="979" w:type="dxa"/>
            <w:tcBorders>
              <w:top w:val="single" w:sz="4" w:space="0" w:color="auto"/>
              <w:left w:val="nil"/>
              <w:bottom w:val="single" w:sz="4" w:space="0" w:color="auto"/>
              <w:right w:val="nil"/>
            </w:tcBorders>
            <w:shd w:val="clear" w:color="FFFFFF" w:fill="FFFFFF"/>
            <w:vAlign w:val="bottom"/>
          </w:tcPr>
          <w:p w14:paraId="5B78BB9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46,914</w:t>
            </w:r>
          </w:p>
        </w:tc>
        <w:tc>
          <w:tcPr>
            <w:tcW w:w="979" w:type="dxa"/>
            <w:tcBorders>
              <w:top w:val="single" w:sz="4" w:space="0" w:color="auto"/>
              <w:left w:val="nil"/>
              <w:bottom w:val="single" w:sz="4" w:space="0" w:color="auto"/>
              <w:right w:val="nil"/>
            </w:tcBorders>
            <w:shd w:val="clear" w:color="FFFFFF" w:fill="FFFFFF"/>
            <w:vAlign w:val="bottom"/>
          </w:tcPr>
          <w:p w14:paraId="41C1353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210,442</w:t>
            </w:r>
          </w:p>
        </w:tc>
        <w:tc>
          <w:tcPr>
            <w:tcW w:w="979" w:type="dxa"/>
            <w:tcBorders>
              <w:top w:val="single" w:sz="4" w:space="0" w:color="auto"/>
              <w:left w:val="nil"/>
              <w:bottom w:val="single" w:sz="4" w:space="0" w:color="auto"/>
              <w:right w:val="nil"/>
            </w:tcBorders>
            <w:shd w:val="clear" w:color="FFFFFF" w:fill="FFFFFF"/>
            <w:vAlign w:val="bottom"/>
          </w:tcPr>
          <w:p w14:paraId="2C247DD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205,733</w:t>
            </w:r>
          </w:p>
        </w:tc>
        <w:tc>
          <w:tcPr>
            <w:tcW w:w="979" w:type="dxa"/>
            <w:tcBorders>
              <w:top w:val="single" w:sz="4" w:space="0" w:color="auto"/>
              <w:left w:val="nil"/>
              <w:bottom w:val="single" w:sz="4" w:space="0" w:color="auto"/>
              <w:right w:val="nil"/>
            </w:tcBorders>
            <w:shd w:val="clear" w:color="FFFFFF" w:fill="FFFFFF"/>
            <w:vAlign w:val="bottom"/>
          </w:tcPr>
          <w:p w14:paraId="0EFD682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210,441</w:t>
            </w:r>
          </w:p>
        </w:tc>
        <w:tc>
          <w:tcPr>
            <w:tcW w:w="981" w:type="dxa"/>
            <w:tcBorders>
              <w:top w:val="single" w:sz="4" w:space="0" w:color="auto"/>
              <w:left w:val="nil"/>
              <w:bottom w:val="single" w:sz="4" w:space="0" w:color="auto"/>
              <w:right w:val="nil"/>
            </w:tcBorders>
            <w:vAlign w:val="bottom"/>
          </w:tcPr>
          <w:p w14:paraId="2A920E2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2,605,728</w:t>
            </w:r>
          </w:p>
        </w:tc>
        <w:tc>
          <w:tcPr>
            <w:tcW w:w="981" w:type="dxa"/>
            <w:tcBorders>
              <w:top w:val="single" w:sz="4" w:space="0" w:color="auto"/>
              <w:left w:val="nil"/>
              <w:bottom w:val="single" w:sz="4" w:space="0" w:color="auto"/>
              <w:right w:val="nil"/>
            </w:tcBorders>
            <w:vAlign w:val="bottom"/>
          </w:tcPr>
          <w:p w14:paraId="403550B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2,400,097</w:t>
            </w:r>
          </w:p>
        </w:tc>
        <w:tc>
          <w:tcPr>
            <w:tcW w:w="979" w:type="dxa"/>
            <w:tcBorders>
              <w:top w:val="single" w:sz="4" w:space="0" w:color="auto"/>
              <w:left w:val="nil"/>
              <w:bottom w:val="single" w:sz="4" w:space="0" w:color="auto"/>
              <w:right w:val="nil"/>
            </w:tcBorders>
            <w:shd w:val="clear" w:color="FFFFFF" w:fill="FFFFFF"/>
            <w:vAlign w:val="bottom"/>
          </w:tcPr>
          <w:p w14:paraId="5866944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2,277,766</w:t>
            </w:r>
          </w:p>
        </w:tc>
      </w:tr>
    </w:tbl>
    <w:p w14:paraId="5FFBECAE" w14:textId="77777777" w:rsidR="00D517E2" w:rsidRDefault="005C6008" w:rsidP="00CC47A6">
      <w:pPr>
        <w:autoSpaceDE w:val="0"/>
        <w:autoSpaceDN w:val="0"/>
        <w:adjustRightInd w:val="0"/>
        <w:spacing w:before="120" w:line="240" w:lineRule="auto"/>
        <w:rPr>
          <w:rFonts w:eastAsia="Calibri" w:cs="Arial"/>
          <w:sz w:val="18"/>
          <w:szCs w:val="18"/>
        </w:rPr>
      </w:pPr>
      <w:r w:rsidRPr="00E10730">
        <w:rPr>
          <w:rFonts w:eastAsia="Calibri" w:cs="Arial"/>
          <w:sz w:val="18"/>
          <w:szCs w:val="18"/>
        </w:rPr>
        <w:t>The above statement should be read in conjunction with the accompanying notes.</w:t>
      </w:r>
    </w:p>
    <w:p w14:paraId="28BA12E4" w14:textId="77777777" w:rsidR="005C6008" w:rsidRPr="00A60CBE"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after="40" w:line="240" w:lineRule="auto"/>
        <w:rPr>
          <w:rStyle w:val="Strong"/>
          <w:sz w:val="18"/>
          <w:szCs w:val="18"/>
        </w:rPr>
      </w:pPr>
      <w:r w:rsidRPr="00A60CBE">
        <w:rPr>
          <w:rStyle w:val="Strong"/>
          <w:sz w:val="18"/>
          <w:szCs w:val="18"/>
        </w:rPr>
        <w:t>Budget Variances Commentary</w:t>
      </w:r>
    </w:p>
    <w:p w14:paraId="057383CE" w14:textId="77777777" w:rsidR="005C6008" w:rsidRPr="00A60CBE"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after="40" w:line="240" w:lineRule="auto"/>
        <w:rPr>
          <w:rStyle w:val="Strong"/>
          <w:sz w:val="18"/>
          <w:szCs w:val="18"/>
        </w:rPr>
      </w:pPr>
      <w:r w:rsidRPr="00A60CBE">
        <w:rPr>
          <w:rStyle w:val="Strong"/>
          <w:sz w:val="18"/>
          <w:szCs w:val="18"/>
        </w:rPr>
        <w:t>Statement of Changes in Equity</w:t>
      </w:r>
    </w:p>
    <w:p w14:paraId="3B943A8C"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after="40" w:line="240" w:lineRule="auto"/>
        <w:rPr>
          <w:rFonts w:eastAsia="Calibri" w:cs="Arial"/>
          <w:sz w:val="18"/>
          <w:szCs w:val="18"/>
        </w:rPr>
      </w:pPr>
      <w:r w:rsidRPr="00E10730">
        <w:rPr>
          <w:rFonts w:eastAsia="Calibri" w:cs="Arial"/>
          <w:sz w:val="18"/>
          <w:szCs w:val="18"/>
        </w:rPr>
        <w:t xml:space="preserve">Major budget variances for balances contained in the Statement of Changes in Equity have been included in the budget variances commentary for the Statement of Comprehensive Income and the Statement of Financial Position. </w:t>
      </w:r>
    </w:p>
    <w:p w14:paraId="71F560D1" w14:textId="77777777" w:rsidR="00CC47A6" w:rsidRPr="00E10730" w:rsidRDefault="00CC47A6" w:rsidP="00CC47A6">
      <w:pPr>
        <w:autoSpaceDE w:val="0"/>
        <w:autoSpaceDN w:val="0"/>
        <w:adjustRightInd w:val="0"/>
        <w:spacing w:before="120" w:line="240" w:lineRule="auto"/>
        <w:rPr>
          <w:rFonts w:eastAsia="Calibri" w:cs="Arial"/>
          <w:sz w:val="18"/>
          <w:szCs w:val="18"/>
        </w:rPr>
      </w:pPr>
      <w:r w:rsidRPr="00E10730">
        <w:rPr>
          <w:rFonts w:eastAsia="Calibri" w:cs="Arial"/>
          <w:sz w:val="18"/>
          <w:szCs w:val="18"/>
          <w:vertAlign w:val="superscript"/>
        </w:rPr>
        <w:t xml:space="preserve">1 </w:t>
      </w:r>
      <w:r w:rsidRPr="00E10730">
        <w:rPr>
          <w:rFonts w:eastAsia="Calibri" w:cs="Arial"/>
          <w:sz w:val="18"/>
          <w:szCs w:val="18"/>
        </w:rPr>
        <w:t>Original Budget refers to the figures published in the 2025-26 Portfolio Budget Statements.</w:t>
      </w:r>
    </w:p>
    <w:p w14:paraId="759C2F89" w14:textId="77777777" w:rsidR="00CC47A6" w:rsidRPr="00E10730" w:rsidRDefault="00CC47A6" w:rsidP="00E67EFC">
      <w:pPr>
        <w:autoSpaceDE w:val="0"/>
        <w:autoSpaceDN w:val="0"/>
        <w:adjustRightInd w:val="0"/>
        <w:spacing w:before="120" w:line="240" w:lineRule="auto"/>
        <w:rPr>
          <w:rFonts w:eastAsia="Calibri" w:cs="Arial"/>
          <w:b/>
          <w:bCs/>
        </w:rPr>
        <w:sectPr w:rsidR="00CC47A6" w:rsidRPr="00E10730" w:rsidSect="00EB1047">
          <w:headerReference w:type="default" r:id="rId68"/>
          <w:footerReference w:type="default" r:id="rId69"/>
          <w:pgSz w:w="16838" w:h="11906" w:orient="landscape" w:code="9"/>
          <w:pgMar w:top="1247" w:right="1245" w:bottom="1247" w:left="1134" w:header="567" w:footer="567" w:gutter="0"/>
          <w:cols w:space="720"/>
          <w:noEndnote/>
          <w:docGrid w:linePitch="326"/>
        </w:sectPr>
      </w:pPr>
    </w:p>
    <w:p w14:paraId="03D898CE" w14:textId="77777777" w:rsidR="005C6008" w:rsidRPr="00A60CBE" w:rsidRDefault="005C6008" w:rsidP="00115FA3">
      <w:pPr>
        <w:autoSpaceDE w:val="0"/>
        <w:autoSpaceDN w:val="0"/>
        <w:adjustRightInd w:val="0"/>
        <w:spacing w:after="0" w:line="240" w:lineRule="auto"/>
        <w:rPr>
          <w:rStyle w:val="Strong"/>
        </w:rPr>
      </w:pPr>
      <w:r w:rsidRPr="00A60CBE">
        <w:rPr>
          <w:rStyle w:val="Strong"/>
        </w:rPr>
        <w:t>National Disability Insurance Agency</w:t>
      </w:r>
    </w:p>
    <w:p w14:paraId="276AB808" w14:textId="77777777" w:rsidR="005C6008" w:rsidRPr="00A60CBE" w:rsidRDefault="005C6008" w:rsidP="00115FA3">
      <w:pPr>
        <w:autoSpaceDE w:val="0"/>
        <w:autoSpaceDN w:val="0"/>
        <w:adjustRightInd w:val="0"/>
        <w:spacing w:after="0" w:line="240" w:lineRule="auto"/>
        <w:rPr>
          <w:rStyle w:val="Strong"/>
        </w:rPr>
      </w:pPr>
      <w:r w:rsidRPr="00A60CBE">
        <w:rPr>
          <w:rStyle w:val="Strong"/>
        </w:rPr>
        <w:t>CASH FLOW STATEMENT</w:t>
      </w:r>
    </w:p>
    <w:p w14:paraId="4422D04A" w14:textId="77777777" w:rsidR="005C6008" w:rsidRPr="00E10730" w:rsidRDefault="005C6008" w:rsidP="00115FA3">
      <w:pPr>
        <w:pBdr>
          <w:bottom w:val="single" w:sz="4" w:space="1" w:color="auto"/>
        </w:pBdr>
        <w:autoSpaceDE w:val="0"/>
        <w:autoSpaceDN w:val="0"/>
        <w:adjustRightInd w:val="0"/>
        <w:spacing w:after="0" w:line="240" w:lineRule="auto"/>
        <w:rPr>
          <w:rFonts w:eastAsia="Calibri" w:cs="Arial"/>
          <w:i/>
          <w:iCs/>
        </w:rPr>
      </w:pPr>
      <w:r w:rsidRPr="00E10730">
        <w:rPr>
          <w:rFonts w:eastAsia="Calibri" w:cs="Arial"/>
          <w:i/>
          <w:iCs/>
        </w:rPr>
        <w:t>for the year ended 30 June 2026</w:t>
      </w:r>
    </w:p>
    <w:p w14:paraId="069D885E" w14:textId="77777777" w:rsidR="005C6008" w:rsidRPr="00E10730" w:rsidRDefault="005C6008" w:rsidP="00115FA3">
      <w:pPr>
        <w:autoSpaceDE w:val="0"/>
        <w:autoSpaceDN w:val="0"/>
        <w:adjustRightInd w:val="0"/>
        <w:spacing w:after="0" w:line="240" w:lineRule="auto"/>
        <w:rPr>
          <w:rFonts w:eastAsia="Calibri" w:cs="Arial"/>
          <w:sz w:val="12"/>
          <w:szCs w:val="12"/>
        </w:rPr>
      </w:pPr>
    </w:p>
    <w:tbl>
      <w:tblPr>
        <w:tblW w:w="9074" w:type="dxa"/>
        <w:tblLayout w:type="fixed"/>
        <w:tblCellMar>
          <w:left w:w="57" w:type="dxa"/>
          <w:right w:w="57" w:type="dxa"/>
        </w:tblCellMar>
        <w:tblLook w:val="0000" w:firstRow="0" w:lastRow="0" w:firstColumn="0" w:lastColumn="0" w:noHBand="0" w:noVBand="0"/>
      </w:tblPr>
      <w:tblGrid>
        <w:gridCol w:w="4649"/>
        <w:gridCol w:w="1134"/>
        <w:gridCol w:w="1097"/>
        <w:gridCol w:w="1097"/>
        <w:gridCol w:w="1097"/>
      </w:tblGrid>
      <w:tr w:rsidR="005C6008" w:rsidRPr="00E10730" w14:paraId="202C7A12" w14:textId="77777777" w:rsidTr="00724A9C">
        <w:trPr>
          <w:trHeight w:val="227"/>
        </w:trPr>
        <w:tc>
          <w:tcPr>
            <w:tcW w:w="4649" w:type="dxa"/>
            <w:tcBorders>
              <w:top w:val="single" w:sz="8" w:space="0" w:color="800080"/>
              <w:left w:val="nil"/>
              <w:bottom w:val="nil"/>
              <w:right w:val="nil"/>
            </w:tcBorders>
            <w:shd w:val="clear" w:color="FFFFFF" w:fill="FFFFFF"/>
            <w:vAlign w:val="bottom"/>
          </w:tcPr>
          <w:p w14:paraId="64853DB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single" w:sz="8" w:space="0" w:color="800080"/>
              <w:left w:val="nil"/>
              <w:bottom w:val="nil"/>
              <w:right w:val="nil"/>
            </w:tcBorders>
            <w:shd w:val="clear" w:color="FFFFFF" w:fill="FFFFFF"/>
            <w:vAlign w:val="bottom"/>
          </w:tcPr>
          <w:p w14:paraId="669C63F9"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single" w:sz="8" w:space="0" w:color="800080"/>
              <w:left w:val="nil"/>
              <w:bottom w:val="nil"/>
              <w:right w:val="nil"/>
            </w:tcBorders>
            <w:shd w:val="clear" w:color="FFFFFF" w:fill="FFFFFF"/>
            <w:vAlign w:val="bottom"/>
          </w:tcPr>
          <w:p w14:paraId="18B43BE6"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097" w:type="dxa"/>
            <w:tcBorders>
              <w:top w:val="single" w:sz="8" w:space="0" w:color="800080"/>
              <w:left w:val="nil"/>
              <w:bottom w:val="nil"/>
              <w:right w:val="nil"/>
            </w:tcBorders>
            <w:shd w:val="clear" w:color="FFFFFF" w:fill="FFFFFF"/>
            <w:vAlign w:val="bottom"/>
          </w:tcPr>
          <w:p w14:paraId="556AA45F"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c>
          <w:tcPr>
            <w:tcW w:w="1097" w:type="dxa"/>
            <w:tcBorders>
              <w:top w:val="single" w:sz="8" w:space="0" w:color="800080"/>
              <w:left w:val="nil"/>
              <w:bottom w:val="nil"/>
              <w:right w:val="nil"/>
            </w:tcBorders>
            <w:shd w:val="clear" w:color="FFFFFF" w:fill="FFFFFF"/>
            <w:vAlign w:val="center"/>
          </w:tcPr>
          <w:p w14:paraId="7730A4BA" w14:textId="77777777" w:rsidR="005C6008" w:rsidRPr="00E10730" w:rsidRDefault="005C6008" w:rsidP="00115FA3">
            <w:pPr>
              <w:autoSpaceDE w:val="0"/>
              <w:autoSpaceDN w:val="0"/>
              <w:adjustRightInd w:val="0"/>
              <w:spacing w:after="0" w:line="240" w:lineRule="auto"/>
              <w:jc w:val="center"/>
              <w:rPr>
                <w:rFonts w:eastAsia="Calibri" w:cs="Arial"/>
                <w:color w:val="800080"/>
                <w:sz w:val="18"/>
                <w:szCs w:val="18"/>
              </w:rPr>
            </w:pPr>
            <w:r w:rsidRPr="00E10730">
              <w:rPr>
                <w:rFonts w:eastAsia="Calibri" w:cs="Arial"/>
                <w:color w:val="800080"/>
                <w:sz w:val="18"/>
                <w:szCs w:val="18"/>
              </w:rPr>
              <w:t>Original</w:t>
            </w:r>
            <w:r w:rsidRPr="00E10730">
              <w:rPr>
                <w:rFonts w:eastAsia="Calibri" w:cs="Arial"/>
                <w:color w:val="800080"/>
                <w:sz w:val="18"/>
                <w:szCs w:val="18"/>
              </w:rPr>
              <w:br/>
              <w:t>Budget</w:t>
            </w:r>
            <w:r w:rsidRPr="00E10730">
              <w:rPr>
                <w:rFonts w:eastAsia="Calibri" w:cs="Arial"/>
                <w:color w:val="800080"/>
                <w:sz w:val="18"/>
                <w:szCs w:val="18"/>
                <w:vertAlign w:val="superscript"/>
              </w:rPr>
              <w:t>1</w:t>
            </w:r>
          </w:p>
        </w:tc>
      </w:tr>
      <w:tr w:rsidR="005C6008" w:rsidRPr="00E10730" w14:paraId="074E8677" w14:textId="77777777" w:rsidTr="00724A9C">
        <w:trPr>
          <w:trHeight w:val="227"/>
        </w:trPr>
        <w:tc>
          <w:tcPr>
            <w:tcW w:w="4649" w:type="dxa"/>
            <w:tcBorders>
              <w:top w:val="nil"/>
              <w:left w:val="nil"/>
              <w:bottom w:val="nil"/>
              <w:right w:val="nil"/>
            </w:tcBorders>
            <w:shd w:val="clear" w:color="FFFFFF" w:fill="FFFFFF"/>
            <w:vAlign w:val="bottom"/>
          </w:tcPr>
          <w:p w14:paraId="6553B9D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nil"/>
              <w:right w:val="nil"/>
            </w:tcBorders>
            <w:shd w:val="clear" w:color="FFFFFF" w:fill="FFFFFF"/>
            <w:vAlign w:val="bottom"/>
          </w:tcPr>
          <w:p w14:paraId="580C4005"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6900E96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097" w:type="dxa"/>
            <w:tcBorders>
              <w:top w:val="nil"/>
              <w:left w:val="nil"/>
              <w:bottom w:val="nil"/>
              <w:right w:val="nil"/>
            </w:tcBorders>
            <w:shd w:val="clear" w:color="FFFFFF" w:fill="FFFFFF"/>
            <w:vAlign w:val="bottom"/>
          </w:tcPr>
          <w:p w14:paraId="6306788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c>
          <w:tcPr>
            <w:tcW w:w="1097" w:type="dxa"/>
            <w:tcBorders>
              <w:top w:val="nil"/>
              <w:left w:val="nil"/>
              <w:bottom w:val="nil"/>
              <w:right w:val="nil"/>
            </w:tcBorders>
            <w:shd w:val="clear" w:color="FFFFFF" w:fill="FFFFFF"/>
            <w:vAlign w:val="bottom"/>
          </w:tcPr>
          <w:p w14:paraId="0A4B56D3" w14:textId="77777777" w:rsidR="005C6008" w:rsidRPr="00E10730" w:rsidRDefault="005C6008" w:rsidP="00115FA3">
            <w:pPr>
              <w:autoSpaceDE w:val="0"/>
              <w:autoSpaceDN w:val="0"/>
              <w:adjustRightInd w:val="0"/>
              <w:spacing w:after="0" w:line="240" w:lineRule="auto"/>
              <w:jc w:val="center"/>
              <w:rPr>
                <w:rFonts w:eastAsia="Calibri" w:cs="Arial"/>
                <w:color w:val="800080"/>
                <w:sz w:val="18"/>
                <w:szCs w:val="18"/>
              </w:rPr>
            </w:pPr>
            <w:r w:rsidRPr="00E10730">
              <w:rPr>
                <w:rFonts w:eastAsia="Calibri" w:cs="Arial"/>
                <w:color w:val="800080"/>
                <w:sz w:val="18"/>
                <w:szCs w:val="18"/>
              </w:rPr>
              <w:t>2026</w:t>
            </w:r>
          </w:p>
        </w:tc>
      </w:tr>
      <w:tr w:rsidR="005C6008" w:rsidRPr="00E10730" w14:paraId="5F4A178B" w14:textId="77777777" w:rsidTr="00724A9C">
        <w:trPr>
          <w:trHeight w:val="227"/>
        </w:trPr>
        <w:tc>
          <w:tcPr>
            <w:tcW w:w="4649" w:type="dxa"/>
            <w:tcBorders>
              <w:top w:val="nil"/>
              <w:left w:val="nil"/>
              <w:bottom w:val="single" w:sz="8" w:space="0" w:color="800080"/>
              <w:right w:val="nil"/>
            </w:tcBorders>
            <w:shd w:val="clear" w:color="FFFFFF" w:fill="FFFFFF"/>
            <w:vAlign w:val="bottom"/>
          </w:tcPr>
          <w:p w14:paraId="6A894457"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34" w:type="dxa"/>
            <w:tcBorders>
              <w:top w:val="nil"/>
              <w:left w:val="nil"/>
              <w:bottom w:val="single" w:sz="8" w:space="0" w:color="800080"/>
              <w:right w:val="nil"/>
            </w:tcBorders>
            <w:shd w:val="clear" w:color="FFFFFF" w:fill="FFFFFF"/>
            <w:vAlign w:val="bottom"/>
          </w:tcPr>
          <w:p w14:paraId="2F0FB7E4" w14:textId="77777777" w:rsidR="005C6008" w:rsidRPr="00E10730" w:rsidRDefault="005C6008" w:rsidP="00115FA3">
            <w:pPr>
              <w:autoSpaceDE w:val="0"/>
              <w:autoSpaceDN w:val="0"/>
              <w:adjustRightInd w:val="0"/>
              <w:spacing w:after="0" w:line="240" w:lineRule="auto"/>
              <w:jc w:val="center"/>
              <w:rPr>
                <w:rFonts w:eastAsia="Calibri" w:cs="Arial"/>
                <w:b/>
                <w:bCs/>
                <w:sz w:val="18"/>
                <w:szCs w:val="18"/>
              </w:rPr>
            </w:pPr>
            <w:r w:rsidRPr="00E10730">
              <w:rPr>
                <w:rFonts w:eastAsia="Calibri" w:cs="Arial"/>
                <w:b/>
                <w:bCs/>
                <w:sz w:val="18"/>
                <w:szCs w:val="18"/>
              </w:rPr>
              <w:t>Notes</w:t>
            </w:r>
          </w:p>
        </w:tc>
        <w:tc>
          <w:tcPr>
            <w:tcW w:w="1097" w:type="dxa"/>
            <w:tcBorders>
              <w:top w:val="nil"/>
              <w:left w:val="nil"/>
              <w:bottom w:val="single" w:sz="8" w:space="0" w:color="800080"/>
              <w:right w:val="nil"/>
            </w:tcBorders>
            <w:shd w:val="clear" w:color="FFFFFF" w:fill="FFFFFF"/>
            <w:vAlign w:val="bottom"/>
          </w:tcPr>
          <w:p w14:paraId="090E6A1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097" w:type="dxa"/>
            <w:tcBorders>
              <w:top w:val="nil"/>
              <w:left w:val="nil"/>
              <w:bottom w:val="single" w:sz="8" w:space="0" w:color="800080"/>
              <w:right w:val="nil"/>
            </w:tcBorders>
            <w:shd w:val="clear" w:color="FFFFFF" w:fill="FFFFFF"/>
            <w:vAlign w:val="bottom"/>
          </w:tcPr>
          <w:p w14:paraId="0908BA0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c>
          <w:tcPr>
            <w:tcW w:w="1097" w:type="dxa"/>
            <w:tcBorders>
              <w:top w:val="nil"/>
              <w:left w:val="nil"/>
              <w:bottom w:val="single" w:sz="8" w:space="0" w:color="800080"/>
              <w:right w:val="nil"/>
            </w:tcBorders>
            <w:shd w:val="clear" w:color="FFFFFF" w:fill="FFFFFF"/>
            <w:vAlign w:val="center"/>
          </w:tcPr>
          <w:p w14:paraId="2ED5E8A0" w14:textId="77777777" w:rsidR="005C6008" w:rsidRPr="00E10730" w:rsidRDefault="005C6008" w:rsidP="00115FA3">
            <w:pPr>
              <w:autoSpaceDE w:val="0"/>
              <w:autoSpaceDN w:val="0"/>
              <w:adjustRightInd w:val="0"/>
              <w:spacing w:after="0" w:line="240" w:lineRule="auto"/>
              <w:jc w:val="center"/>
              <w:rPr>
                <w:rFonts w:eastAsia="Calibri" w:cs="Arial"/>
                <w:color w:val="800080"/>
                <w:sz w:val="18"/>
                <w:szCs w:val="18"/>
              </w:rPr>
            </w:pPr>
            <w:r w:rsidRPr="00E10730">
              <w:rPr>
                <w:rFonts w:eastAsia="Calibri" w:cs="Arial"/>
                <w:color w:val="800080"/>
                <w:sz w:val="18"/>
                <w:szCs w:val="18"/>
              </w:rPr>
              <w:t>$'000</w:t>
            </w:r>
          </w:p>
        </w:tc>
      </w:tr>
      <w:tr w:rsidR="005C6008" w:rsidRPr="00E10730" w14:paraId="2E532A41" w14:textId="77777777" w:rsidTr="00724A9C">
        <w:trPr>
          <w:trHeight w:val="227"/>
        </w:trPr>
        <w:tc>
          <w:tcPr>
            <w:tcW w:w="4649" w:type="dxa"/>
            <w:tcBorders>
              <w:top w:val="nil"/>
              <w:left w:val="nil"/>
              <w:bottom w:val="nil"/>
              <w:right w:val="nil"/>
            </w:tcBorders>
            <w:shd w:val="clear" w:color="FFFFFF" w:fill="FFFFFF"/>
            <w:vAlign w:val="bottom"/>
          </w:tcPr>
          <w:p w14:paraId="38760C09"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OPERATING ACTIVITIES</w:t>
            </w:r>
          </w:p>
        </w:tc>
        <w:tc>
          <w:tcPr>
            <w:tcW w:w="1134" w:type="dxa"/>
            <w:tcBorders>
              <w:top w:val="nil"/>
              <w:left w:val="nil"/>
              <w:bottom w:val="nil"/>
              <w:right w:val="nil"/>
            </w:tcBorders>
            <w:shd w:val="clear" w:color="FFFFFF" w:fill="FFFFFF"/>
            <w:vAlign w:val="bottom"/>
          </w:tcPr>
          <w:p w14:paraId="23B87543"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76774375"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5863E194"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0AD1D132"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5B9A9E47" w14:textId="77777777" w:rsidTr="00724A9C">
        <w:trPr>
          <w:trHeight w:val="227"/>
        </w:trPr>
        <w:tc>
          <w:tcPr>
            <w:tcW w:w="4649" w:type="dxa"/>
            <w:tcBorders>
              <w:top w:val="nil"/>
              <w:left w:val="nil"/>
              <w:bottom w:val="nil"/>
              <w:right w:val="nil"/>
            </w:tcBorders>
            <w:shd w:val="clear" w:color="FFFFFF" w:fill="FFFFFF"/>
            <w:vAlign w:val="bottom"/>
          </w:tcPr>
          <w:p w14:paraId="4788D734"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Cash received</w:t>
            </w:r>
          </w:p>
        </w:tc>
        <w:tc>
          <w:tcPr>
            <w:tcW w:w="1134" w:type="dxa"/>
            <w:tcBorders>
              <w:top w:val="nil"/>
              <w:left w:val="nil"/>
              <w:bottom w:val="nil"/>
              <w:right w:val="nil"/>
            </w:tcBorders>
            <w:shd w:val="clear" w:color="FFFFFF" w:fill="FFFFFF"/>
            <w:vAlign w:val="bottom"/>
          </w:tcPr>
          <w:p w14:paraId="67B4CCB1"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1E1D843C"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6D66B4C8"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18324555"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749455C0" w14:textId="77777777" w:rsidTr="00724A9C">
        <w:trPr>
          <w:trHeight w:val="227"/>
        </w:trPr>
        <w:tc>
          <w:tcPr>
            <w:tcW w:w="4649" w:type="dxa"/>
            <w:tcBorders>
              <w:top w:val="nil"/>
              <w:left w:val="nil"/>
              <w:bottom w:val="nil"/>
              <w:right w:val="nil"/>
            </w:tcBorders>
            <w:shd w:val="clear" w:color="FFFFFF" w:fill="FFFFFF"/>
            <w:vAlign w:val="bottom"/>
          </w:tcPr>
          <w:p w14:paraId="55B6DFCF"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Receipts from Government</w:t>
            </w:r>
          </w:p>
        </w:tc>
        <w:tc>
          <w:tcPr>
            <w:tcW w:w="1134" w:type="dxa"/>
            <w:tcBorders>
              <w:top w:val="nil"/>
              <w:left w:val="nil"/>
              <w:bottom w:val="nil"/>
              <w:right w:val="nil"/>
            </w:tcBorders>
            <w:shd w:val="clear" w:color="FFFFFF" w:fill="FFFFFF"/>
            <w:vAlign w:val="bottom"/>
          </w:tcPr>
          <w:p w14:paraId="63B4F61E"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3052C8A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2,390,498</w:t>
            </w:r>
          </w:p>
        </w:tc>
        <w:tc>
          <w:tcPr>
            <w:tcW w:w="1097" w:type="dxa"/>
            <w:tcBorders>
              <w:top w:val="nil"/>
              <w:left w:val="nil"/>
              <w:bottom w:val="nil"/>
              <w:right w:val="nil"/>
            </w:tcBorders>
            <w:shd w:val="clear" w:color="FFFFFF" w:fill="FFFFFF"/>
            <w:vAlign w:val="bottom"/>
          </w:tcPr>
          <w:p w14:paraId="72E8436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2,252,660</w:t>
            </w:r>
          </w:p>
        </w:tc>
        <w:tc>
          <w:tcPr>
            <w:tcW w:w="1097" w:type="dxa"/>
            <w:tcBorders>
              <w:top w:val="nil"/>
              <w:left w:val="nil"/>
              <w:bottom w:val="nil"/>
              <w:right w:val="nil"/>
            </w:tcBorders>
            <w:shd w:val="clear" w:color="FFFFFF" w:fill="FFFFFF"/>
            <w:vAlign w:val="bottom"/>
          </w:tcPr>
          <w:p w14:paraId="536F6C2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2,428,247</w:t>
            </w:r>
          </w:p>
        </w:tc>
      </w:tr>
      <w:tr w:rsidR="005C6008" w:rsidRPr="00E10730" w14:paraId="6AA2AB99" w14:textId="77777777" w:rsidTr="00724A9C">
        <w:trPr>
          <w:trHeight w:val="227"/>
        </w:trPr>
        <w:tc>
          <w:tcPr>
            <w:tcW w:w="4649" w:type="dxa"/>
            <w:tcBorders>
              <w:top w:val="nil"/>
              <w:left w:val="nil"/>
              <w:bottom w:val="nil"/>
              <w:right w:val="nil"/>
            </w:tcBorders>
            <w:shd w:val="clear" w:color="FFFFFF" w:fill="FFFFFF"/>
            <w:vAlign w:val="bottom"/>
          </w:tcPr>
          <w:p w14:paraId="79AA9B2F"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Rendering of services</w:t>
            </w:r>
          </w:p>
        </w:tc>
        <w:tc>
          <w:tcPr>
            <w:tcW w:w="1134" w:type="dxa"/>
            <w:tcBorders>
              <w:top w:val="nil"/>
              <w:left w:val="nil"/>
              <w:bottom w:val="nil"/>
              <w:right w:val="nil"/>
            </w:tcBorders>
            <w:shd w:val="clear" w:color="FFFFFF" w:fill="FFFFFF"/>
            <w:vAlign w:val="bottom"/>
          </w:tcPr>
          <w:p w14:paraId="211064C5"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0CF6957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50,340,215</w:t>
            </w:r>
          </w:p>
        </w:tc>
        <w:tc>
          <w:tcPr>
            <w:tcW w:w="1097" w:type="dxa"/>
            <w:tcBorders>
              <w:top w:val="nil"/>
              <w:left w:val="nil"/>
              <w:bottom w:val="nil"/>
              <w:right w:val="nil"/>
            </w:tcBorders>
            <w:shd w:val="clear" w:color="FFFFFF" w:fill="FFFFFF"/>
            <w:vAlign w:val="bottom"/>
          </w:tcPr>
          <w:p w14:paraId="6ACFA22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45,258,424</w:t>
            </w:r>
          </w:p>
        </w:tc>
        <w:tc>
          <w:tcPr>
            <w:tcW w:w="1097" w:type="dxa"/>
            <w:tcBorders>
              <w:top w:val="nil"/>
              <w:left w:val="nil"/>
              <w:bottom w:val="nil"/>
              <w:right w:val="nil"/>
            </w:tcBorders>
            <w:shd w:val="clear" w:color="FFFFFF" w:fill="FFFFFF"/>
            <w:vAlign w:val="bottom"/>
          </w:tcPr>
          <w:p w14:paraId="3A8DBD4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48,959,801</w:t>
            </w:r>
          </w:p>
        </w:tc>
      </w:tr>
      <w:tr w:rsidR="005C6008" w:rsidRPr="00E10730" w14:paraId="5F8340A6" w14:textId="77777777" w:rsidTr="00724A9C">
        <w:trPr>
          <w:trHeight w:val="227"/>
        </w:trPr>
        <w:tc>
          <w:tcPr>
            <w:tcW w:w="4649" w:type="dxa"/>
            <w:tcBorders>
              <w:top w:val="nil"/>
              <w:left w:val="nil"/>
              <w:bottom w:val="nil"/>
              <w:right w:val="nil"/>
            </w:tcBorders>
            <w:shd w:val="clear" w:color="FFFFFF" w:fill="FFFFFF"/>
            <w:vAlign w:val="bottom"/>
          </w:tcPr>
          <w:p w14:paraId="7D9DFADF"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Interest received</w:t>
            </w:r>
          </w:p>
        </w:tc>
        <w:tc>
          <w:tcPr>
            <w:tcW w:w="1134" w:type="dxa"/>
            <w:tcBorders>
              <w:top w:val="nil"/>
              <w:left w:val="nil"/>
              <w:bottom w:val="nil"/>
              <w:right w:val="nil"/>
            </w:tcBorders>
            <w:shd w:val="clear" w:color="FFFFFF" w:fill="FFFFFF"/>
            <w:vAlign w:val="bottom"/>
          </w:tcPr>
          <w:p w14:paraId="30AE4B9A"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29971FE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489,599</w:t>
            </w:r>
          </w:p>
        </w:tc>
        <w:tc>
          <w:tcPr>
            <w:tcW w:w="1097" w:type="dxa"/>
            <w:tcBorders>
              <w:top w:val="nil"/>
              <w:left w:val="nil"/>
              <w:bottom w:val="nil"/>
              <w:right w:val="nil"/>
            </w:tcBorders>
            <w:shd w:val="clear" w:color="FFFFFF" w:fill="FFFFFF"/>
            <w:vAlign w:val="bottom"/>
          </w:tcPr>
          <w:p w14:paraId="25AF82F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491,103</w:t>
            </w:r>
          </w:p>
        </w:tc>
        <w:tc>
          <w:tcPr>
            <w:tcW w:w="1097" w:type="dxa"/>
            <w:tcBorders>
              <w:top w:val="nil"/>
              <w:left w:val="nil"/>
              <w:bottom w:val="nil"/>
              <w:right w:val="nil"/>
            </w:tcBorders>
            <w:shd w:val="clear" w:color="FFFFFF" w:fill="FFFFFF"/>
            <w:vAlign w:val="bottom"/>
          </w:tcPr>
          <w:p w14:paraId="593EF67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431,828</w:t>
            </w:r>
          </w:p>
        </w:tc>
      </w:tr>
      <w:tr w:rsidR="005C6008" w:rsidRPr="00E10730" w14:paraId="6C3C290C" w14:textId="77777777" w:rsidTr="00724A9C">
        <w:trPr>
          <w:trHeight w:val="227"/>
        </w:trPr>
        <w:tc>
          <w:tcPr>
            <w:tcW w:w="4649" w:type="dxa"/>
            <w:tcBorders>
              <w:top w:val="nil"/>
              <w:left w:val="nil"/>
              <w:bottom w:val="nil"/>
              <w:right w:val="nil"/>
            </w:tcBorders>
            <w:shd w:val="clear" w:color="FFFFFF" w:fill="FFFFFF"/>
            <w:vAlign w:val="bottom"/>
          </w:tcPr>
          <w:p w14:paraId="49540A54"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GST received</w:t>
            </w:r>
          </w:p>
        </w:tc>
        <w:tc>
          <w:tcPr>
            <w:tcW w:w="1134" w:type="dxa"/>
            <w:tcBorders>
              <w:top w:val="nil"/>
              <w:left w:val="nil"/>
              <w:bottom w:val="nil"/>
              <w:right w:val="nil"/>
            </w:tcBorders>
            <w:shd w:val="clear" w:color="FFFFFF" w:fill="FFFFFF"/>
            <w:vAlign w:val="bottom"/>
          </w:tcPr>
          <w:p w14:paraId="381D132E"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4E759D4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173,664</w:t>
            </w:r>
          </w:p>
        </w:tc>
        <w:tc>
          <w:tcPr>
            <w:tcW w:w="1097" w:type="dxa"/>
            <w:tcBorders>
              <w:top w:val="nil"/>
              <w:left w:val="nil"/>
              <w:bottom w:val="nil"/>
              <w:right w:val="nil"/>
            </w:tcBorders>
            <w:shd w:val="clear" w:color="FFFFFF" w:fill="FFFFFF"/>
            <w:vAlign w:val="bottom"/>
          </w:tcPr>
          <w:p w14:paraId="1120B22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153,479</w:t>
            </w:r>
          </w:p>
        </w:tc>
        <w:tc>
          <w:tcPr>
            <w:tcW w:w="1097" w:type="dxa"/>
            <w:tcBorders>
              <w:top w:val="nil"/>
              <w:left w:val="nil"/>
              <w:bottom w:val="nil"/>
              <w:right w:val="nil"/>
            </w:tcBorders>
            <w:shd w:val="clear" w:color="FFFFFF" w:fill="FFFFFF"/>
            <w:vAlign w:val="bottom"/>
          </w:tcPr>
          <w:p w14:paraId="2E5E219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102,313</w:t>
            </w:r>
          </w:p>
        </w:tc>
      </w:tr>
      <w:tr w:rsidR="005C6008" w:rsidRPr="00E10730" w14:paraId="21D9DD99" w14:textId="77777777" w:rsidTr="00724A9C">
        <w:trPr>
          <w:trHeight w:val="227"/>
        </w:trPr>
        <w:tc>
          <w:tcPr>
            <w:tcW w:w="4649" w:type="dxa"/>
            <w:tcBorders>
              <w:top w:val="nil"/>
              <w:left w:val="nil"/>
              <w:bottom w:val="nil"/>
              <w:right w:val="nil"/>
            </w:tcBorders>
            <w:shd w:val="clear" w:color="FFFFFF" w:fill="FFFFFF"/>
            <w:vAlign w:val="bottom"/>
          </w:tcPr>
          <w:p w14:paraId="5AFFA738"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Other</w:t>
            </w:r>
          </w:p>
        </w:tc>
        <w:tc>
          <w:tcPr>
            <w:tcW w:w="1134" w:type="dxa"/>
            <w:tcBorders>
              <w:top w:val="nil"/>
              <w:left w:val="nil"/>
              <w:bottom w:val="nil"/>
              <w:right w:val="nil"/>
            </w:tcBorders>
            <w:shd w:val="clear" w:color="FFFFFF" w:fill="FFFFFF"/>
            <w:vAlign w:val="bottom"/>
          </w:tcPr>
          <w:p w14:paraId="1CBF04E9"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672C11E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66,881</w:t>
            </w:r>
          </w:p>
        </w:tc>
        <w:tc>
          <w:tcPr>
            <w:tcW w:w="1097" w:type="dxa"/>
            <w:tcBorders>
              <w:top w:val="nil"/>
              <w:left w:val="nil"/>
              <w:bottom w:val="nil"/>
              <w:right w:val="nil"/>
            </w:tcBorders>
            <w:shd w:val="clear" w:color="FFFFFF" w:fill="FFFFFF"/>
            <w:vAlign w:val="bottom"/>
          </w:tcPr>
          <w:p w14:paraId="20B7615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70,431</w:t>
            </w:r>
          </w:p>
        </w:tc>
        <w:tc>
          <w:tcPr>
            <w:tcW w:w="1097" w:type="dxa"/>
            <w:tcBorders>
              <w:top w:val="nil"/>
              <w:left w:val="nil"/>
              <w:bottom w:val="nil"/>
              <w:right w:val="nil"/>
            </w:tcBorders>
            <w:shd w:val="clear" w:color="FFFFFF" w:fill="FFFFFF"/>
            <w:vAlign w:val="bottom"/>
          </w:tcPr>
          <w:p w14:paraId="361D6C8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30,000</w:t>
            </w:r>
          </w:p>
        </w:tc>
      </w:tr>
      <w:tr w:rsidR="005C6008" w:rsidRPr="00E10730" w14:paraId="13673064" w14:textId="77777777" w:rsidTr="00724A9C">
        <w:trPr>
          <w:trHeight w:val="227"/>
        </w:trPr>
        <w:tc>
          <w:tcPr>
            <w:tcW w:w="4649" w:type="dxa"/>
            <w:tcBorders>
              <w:top w:val="nil"/>
              <w:left w:val="nil"/>
              <w:bottom w:val="nil"/>
              <w:right w:val="nil"/>
            </w:tcBorders>
            <w:shd w:val="clear" w:color="FFFFFF" w:fill="FFFFFF"/>
            <w:vAlign w:val="bottom"/>
          </w:tcPr>
          <w:p w14:paraId="3E170CE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cash received</w:t>
            </w:r>
          </w:p>
        </w:tc>
        <w:tc>
          <w:tcPr>
            <w:tcW w:w="1134" w:type="dxa"/>
            <w:tcBorders>
              <w:top w:val="nil"/>
              <w:left w:val="nil"/>
              <w:bottom w:val="nil"/>
              <w:right w:val="nil"/>
            </w:tcBorders>
            <w:shd w:val="clear" w:color="FFFFFF" w:fill="FFFFFF"/>
            <w:vAlign w:val="bottom"/>
          </w:tcPr>
          <w:p w14:paraId="1556B6FD"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shd w:val="clear" w:color="FFFFFF" w:fill="FFFFFF"/>
            <w:vAlign w:val="bottom"/>
          </w:tcPr>
          <w:p w14:paraId="3AB6BCC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53,460,857</w:t>
            </w:r>
          </w:p>
        </w:tc>
        <w:tc>
          <w:tcPr>
            <w:tcW w:w="1097" w:type="dxa"/>
            <w:tcBorders>
              <w:top w:val="single" w:sz="4" w:space="0" w:color="auto"/>
              <w:left w:val="nil"/>
              <w:bottom w:val="single" w:sz="4" w:space="0" w:color="auto"/>
              <w:right w:val="nil"/>
            </w:tcBorders>
            <w:shd w:val="clear" w:color="FFFFFF" w:fill="FFFFFF"/>
            <w:vAlign w:val="bottom"/>
          </w:tcPr>
          <w:p w14:paraId="0F76342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48,226,097</w:t>
            </w:r>
          </w:p>
        </w:tc>
        <w:tc>
          <w:tcPr>
            <w:tcW w:w="1097" w:type="dxa"/>
            <w:tcBorders>
              <w:top w:val="single" w:sz="4" w:space="0" w:color="auto"/>
              <w:left w:val="nil"/>
              <w:bottom w:val="single" w:sz="4" w:space="0" w:color="auto"/>
              <w:right w:val="nil"/>
            </w:tcBorders>
            <w:shd w:val="clear" w:color="FFFFFF" w:fill="FFFFFF"/>
            <w:vAlign w:val="bottom"/>
          </w:tcPr>
          <w:p w14:paraId="44BCA08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51,952,189</w:t>
            </w:r>
          </w:p>
        </w:tc>
      </w:tr>
      <w:tr w:rsidR="005C6008" w:rsidRPr="00E10730" w14:paraId="27B81941" w14:textId="77777777" w:rsidTr="00724A9C">
        <w:trPr>
          <w:trHeight w:val="227"/>
        </w:trPr>
        <w:tc>
          <w:tcPr>
            <w:tcW w:w="4649" w:type="dxa"/>
            <w:tcBorders>
              <w:top w:val="nil"/>
              <w:left w:val="nil"/>
              <w:bottom w:val="nil"/>
              <w:right w:val="nil"/>
            </w:tcBorders>
            <w:shd w:val="clear" w:color="FFFFFF" w:fill="FFFFFF"/>
            <w:vAlign w:val="bottom"/>
          </w:tcPr>
          <w:p w14:paraId="78B81B88" w14:textId="77777777" w:rsidR="005C6008" w:rsidRPr="00E10730" w:rsidRDefault="005C6008"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c>
          <w:tcPr>
            <w:tcW w:w="1134" w:type="dxa"/>
            <w:tcBorders>
              <w:top w:val="nil"/>
              <w:left w:val="nil"/>
              <w:bottom w:val="nil"/>
              <w:right w:val="nil"/>
            </w:tcBorders>
            <w:shd w:val="clear" w:color="FFFFFF" w:fill="FFFFFF"/>
            <w:vAlign w:val="bottom"/>
          </w:tcPr>
          <w:p w14:paraId="4A051AE1" w14:textId="77777777" w:rsidR="005C6008" w:rsidRPr="00E10730" w:rsidRDefault="005C6008" w:rsidP="00115FA3">
            <w:pPr>
              <w:autoSpaceDE w:val="0"/>
              <w:autoSpaceDN w:val="0"/>
              <w:adjustRightInd w:val="0"/>
              <w:spacing w:after="0" w:line="240" w:lineRule="auto"/>
              <w:jc w:val="center"/>
              <w:rPr>
                <w:rFonts w:eastAsia="Calibri" w:cs="Arial"/>
                <w:color w:val="FFFFFF"/>
                <w:sz w:val="8"/>
                <w:szCs w:val="8"/>
              </w:rPr>
            </w:pPr>
            <w:r w:rsidRPr="00E10730">
              <w:rPr>
                <w:rFonts w:eastAsia="Calibri" w:cs="Arial"/>
                <w:color w:val="FFFFFF"/>
                <w:sz w:val="8"/>
                <w:szCs w:val="8"/>
              </w:rPr>
              <w:t>-</w:t>
            </w:r>
          </w:p>
        </w:tc>
        <w:tc>
          <w:tcPr>
            <w:tcW w:w="1097" w:type="dxa"/>
            <w:tcBorders>
              <w:top w:val="nil"/>
              <w:left w:val="nil"/>
              <w:bottom w:val="nil"/>
              <w:right w:val="nil"/>
            </w:tcBorders>
            <w:shd w:val="clear" w:color="FFFFFF" w:fill="FFFFFF"/>
            <w:vAlign w:val="bottom"/>
          </w:tcPr>
          <w:p w14:paraId="40E507EC" w14:textId="77777777" w:rsidR="005C6008" w:rsidRPr="00E10730" w:rsidRDefault="005C6008"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c>
          <w:tcPr>
            <w:tcW w:w="1097" w:type="dxa"/>
            <w:tcBorders>
              <w:top w:val="nil"/>
              <w:left w:val="nil"/>
              <w:bottom w:val="nil"/>
              <w:right w:val="nil"/>
            </w:tcBorders>
            <w:shd w:val="clear" w:color="FFFFFF" w:fill="FFFFFF"/>
            <w:vAlign w:val="bottom"/>
          </w:tcPr>
          <w:p w14:paraId="2D6DCEF0" w14:textId="77777777" w:rsidR="005C6008" w:rsidRPr="00E10730" w:rsidRDefault="005C6008"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c>
          <w:tcPr>
            <w:tcW w:w="1097" w:type="dxa"/>
            <w:tcBorders>
              <w:top w:val="nil"/>
              <w:left w:val="nil"/>
              <w:bottom w:val="nil"/>
              <w:right w:val="nil"/>
            </w:tcBorders>
            <w:shd w:val="clear" w:color="FFFFFF" w:fill="FFFFFF"/>
            <w:vAlign w:val="bottom"/>
          </w:tcPr>
          <w:p w14:paraId="68A89DBC" w14:textId="77777777" w:rsidR="005C6008" w:rsidRPr="00E10730" w:rsidRDefault="005C6008"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r>
      <w:tr w:rsidR="005C6008" w:rsidRPr="00E10730" w14:paraId="42394784" w14:textId="77777777" w:rsidTr="00724A9C">
        <w:trPr>
          <w:trHeight w:val="227"/>
        </w:trPr>
        <w:tc>
          <w:tcPr>
            <w:tcW w:w="4649" w:type="dxa"/>
            <w:tcBorders>
              <w:top w:val="nil"/>
              <w:left w:val="nil"/>
              <w:bottom w:val="nil"/>
              <w:right w:val="nil"/>
            </w:tcBorders>
            <w:shd w:val="clear" w:color="FFFFFF" w:fill="FFFFFF"/>
            <w:vAlign w:val="bottom"/>
          </w:tcPr>
          <w:p w14:paraId="5CAD91E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Cash used</w:t>
            </w:r>
          </w:p>
        </w:tc>
        <w:tc>
          <w:tcPr>
            <w:tcW w:w="1134" w:type="dxa"/>
            <w:tcBorders>
              <w:top w:val="nil"/>
              <w:left w:val="nil"/>
              <w:bottom w:val="nil"/>
              <w:right w:val="nil"/>
            </w:tcBorders>
            <w:shd w:val="clear" w:color="FFFFFF" w:fill="FFFFFF"/>
            <w:vAlign w:val="bottom"/>
          </w:tcPr>
          <w:p w14:paraId="09C41D99"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43B02AA8"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58615216"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2896F4C7"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23DF29CE" w14:textId="77777777" w:rsidTr="00724A9C">
        <w:trPr>
          <w:trHeight w:val="227"/>
        </w:trPr>
        <w:tc>
          <w:tcPr>
            <w:tcW w:w="4649" w:type="dxa"/>
            <w:tcBorders>
              <w:top w:val="nil"/>
              <w:left w:val="nil"/>
              <w:bottom w:val="nil"/>
              <w:right w:val="nil"/>
            </w:tcBorders>
            <w:shd w:val="clear" w:color="FFFFFF" w:fill="FFFFFF"/>
            <w:vAlign w:val="bottom"/>
          </w:tcPr>
          <w:p w14:paraId="2A7968E6"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Employee benefits</w:t>
            </w:r>
          </w:p>
        </w:tc>
        <w:tc>
          <w:tcPr>
            <w:tcW w:w="1134" w:type="dxa"/>
            <w:tcBorders>
              <w:top w:val="nil"/>
              <w:left w:val="nil"/>
              <w:bottom w:val="nil"/>
              <w:right w:val="nil"/>
            </w:tcBorders>
            <w:shd w:val="clear" w:color="FFFFFF" w:fill="FFFFFF"/>
            <w:vAlign w:val="bottom"/>
          </w:tcPr>
          <w:p w14:paraId="0EBA0025"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10A454F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1,261,385</w:t>
            </w:r>
          </w:p>
        </w:tc>
        <w:tc>
          <w:tcPr>
            <w:tcW w:w="1097" w:type="dxa"/>
            <w:tcBorders>
              <w:top w:val="nil"/>
              <w:left w:val="nil"/>
              <w:bottom w:val="nil"/>
              <w:right w:val="nil"/>
            </w:tcBorders>
            <w:shd w:val="clear" w:color="FFFFFF" w:fill="FFFFFF"/>
            <w:vAlign w:val="bottom"/>
          </w:tcPr>
          <w:p w14:paraId="0B5BA90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1,010,521</w:t>
            </w:r>
          </w:p>
        </w:tc>
        <w:tc>
          <w:tcPr>
            <w:tcW w:w="1097" w:type="dxa"/>
            <w:tcBorders>
              <w:top w:val="nil"/>
              <w:left w:val="nil"/>
              <w:bottom w:val="nil"/>
              <w:right w:val="nil"/>
            </w:tcBorders>
            <w:shd w:val="clear" w:color="FFFFFF" w:fill="FFFFFF"/>
            <w:vAlign w:val="bottom"/>
          </w:tcPr>
          <w:p w14:paraId="56700E3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1,099,698</w:t>
            </w:r>
          </w:p>
        </w:tc>
      </w:tr>
      <w:tr w:rsidR="005C6008" w:rsidRPr="00E10730" w14:paraId="27B8D316" w14:textId="77777777" w:rsidTr="00724A9C">
        <w:trPr>
          <w:trHeight w:val="227"/>
        </w:trPr>
        <w:tc>
          <w:tcPr>
            <w:tcW w:w="4649" w:type="dxa"/>
            <w:tcBorders>
              <w:top w:val="nil"/>
              <w:left w:val="nil"/>
              <w:bottom w:val="nil"/>
              <w:right w:val="nil"/>
            </w:tcBorders>
            <w:shd w:val="clear" w:color="FFFFFF" w:fill="FFFFFF"/>
            <w:vAlign w:val="bottom"/>
          </w:tcPr>
          <w:p w14:paraId="4353900A"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Supplier expenses</w:t>
            </w:r>
          </w:p>
        </w:tc>
        <w:tc>
          <w:tcPr>
            <w:tcW w:w="1134" w:type="dxa"/>
            <w:tcBorders>
              <w:top w:val="nil"/>
              <w:left w:val="nil"/>
              <w:bottom w:val="nil"/>
              <w:right w:val="nil"/>
            </w:tcBorders>
            <w:shd w:val="clear" w:color="FFFFFF" w:fill="FFFFFF"/>
            <w:vAlign w:val="bottom"/>
          </w:tcPr>
          <w:p w14:paraId="77C99F0E"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0CE7CA9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1,014,060</w:t>
            </w:r>
          </w:p>
        </w:tc>
        <w:tc>
          <w:tcPr>
            <w:tcW w:w="1097" w:type="dxa"/>
            <w:tcBorders>
              <w:top w:val="nil"/>
              <w:left w:val="nil"/>
              <w:bottom w:val="nil"/>
              <w:right w:val="nil"/>
            </w:tcBorders>
            <w:shd w:val="clear" w:color="FFFFFF" w:fill="FFFFFF"/>
            <w:vAlign w:val="bottom"/>
          </w:tcPr>
          <w:p w14:paraId="3354732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919,408</w:t>
            </w:r>
          </w:p>
        </w:tc>
        <w:tc>
          <w:tcPr>
            <w:tcW w:w="1097" w:type="dxa"/>
            <w:tcBorders>
              <w:top w:val="nil"/>
              <w:left w:val="nil"/>
              <w:bottom w:val="nil"/>
              <w:right w:val="nil"/>
            </w:tcBorders>
            <w:shd w:val="clear" w:color="FFFFFF" w:fill="FFFFFF"/>
            <w:vAlign w:val="bottom"/>
          </w:tcPr>
          <w:p w14:paraId="49D266A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1,684,758</w:t>
            </w:r>
          </w:p>
        </w:tc>
      </w:tr>
      <w:tr w:rsidR="005C6008" w:rsidRPr="00E10730" w14:paraId="5BD78A9C" w14:textId="77777777" w:rsidTr="00724A9C">
        <w:trPr>
          <w:trHeight w:val="227"/>
        </w:trPr>
        <w:tc>
          <w:tcPr>
            <w:tcW w:w="4649" w:type="dxa"/>
            <w:tcBorders>
              <w:top w:val="nil"/>
              <w:left w:val="nil"/>
              <w:bottom w:val="nil"/>
              <w:right w:val="nil"/>
            </w:tcBorders>
            <w:shd w:val="clear" w:color="FFFFFF" w:fill="FFFFFF"/>
            <w:vAlign w:val="bottom"/>
          </w:tcPr>
          <w:p w14:paraId="7886B23B"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Interest payments on lease liabilities</w:t>
            </w:r>
          </w:p>
        </w:tc>
        <w:tc>
          <w:tcPr>
            <w:tcW w:w="1134" w:type="dxa"/>
            <w:tcBorders>
              <w:top w:val="nil"/>
              <w:left w:val="nil"/>
              <w:bottom w:val="nil"/>
              <w:right w:val="nil"/>
            </w:tcBorders>
            <w:shd w:val="clear" w:color="FFFFFF" w:fill="FFFFFF"/>
            <w:vAlign w:val="bottom"/>
          </w:tcPr>
          <w:p w14:paraId="627066F6"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0D2ACA0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4,465</w:t>
            </w:r>
          </w:p>
        </w:tc>
        <w:tc>
          <w:tcPr>
            <w:tcW w:w="1097" w:type="dxa"/>
            <w:tcBorders>
              <w:top w:val="nil"/>
              <w:left w:val="nil"/>
              <w:bottom w:val="nil"/>
              <w:right w:val="nil"/>
            </w:tcBorders>
            <w:shd w:val="clear" w:color="FFFFFF" w:fill="FFFFFF"/>
            <w:vAlign w:val="bottom"/>
          </w:tcPr>
          <w:p w14:paraId="3D944BA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3,805</w:t>
            </w:r>
          </w:p>
        </w:tc>
        <w:tc>
          <w:tcPr>
            <w:tcW w:w="1097" w:type="dxa"/>
            <w:tcBorders>
              <w:top w:val="nil"/>
              <w:left w:val="nil"/>
              <w:bottom w:val="nil"/>
              <w:right w:val="nil"/>
            </w:tcBorders>
            <w:shd w:val="clear" w:color="FFFFFF" w:fill="FFFFFF"/>
            <w:vAlign w:val="bottom"/>
          </w:tcPr>
          <w:p w14:paraId="7D26FD7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2,611</w:t>
            </w:r>
          </w:p>
        </w:tc>
      </w:tr>
      <w:tr w:rsidR="005C6008" w:rsidRPr="00E10730" w14:paraId="2CAAD677" w14:textId="77777777" w:rsidTr="00724A9C">
        <w:trPr>
          <w:trHeight w:val="227"/>
        </w:trPr>
        <w:tc>
          <w:tcPr>
            <w:tcW w:w="4649" w:type="dxa"/>
            <w:tcBorders>
              <w:top w:val="nil"/>
              <w:left w:val="nil"/>
              <w:bottom w:val="nil"/>
              <w:right w:val="nil"/>
            </w:tcBorders>
            <w:shd w:val="clear" w:color="FFFFFF" w:fill="FFFFFF"/>
            <w:vAlign w:val="bottom"/>
          </w:tcPr>
          <w:p w14:paraId="76ED7994"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Community partnership costs</w:t>
            </w:r>
          </w:p>
        </w:tc>
        <w:tc>
          <w:tcPr>
            <w:tcW w:w="1134" w:type="dxa"/>
            <w:tcBorders>
              <w:top w:val="nil"/>
              <w:left w:val="nil"/>
              <w:bottom w:val="nil"/>
              <w:right w:val="nil"/>
            </w:tcBorders>
            <w:shd w:val="clear" w:color="FFFFFF" w:fill="FFFFFF"/>
            <w:vAlign w:val="bottom"/>
          </w:tcPr>
          <w:p w14:paraId="0F5E2D16"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2AF4647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651,581</w:t>
            </w:r>
          </w:p>
        </w:tc>
        <w:tc>
          <w:tcPr>
            <w:tcW w:w="1097" w:type="dxa"/>
            <w:tcBorders>
              <w:top w:val="nil"/>
              <w:left w:val="nil"/>
              <w:bottom w:val="nil"/>
              <w:right w:val="nil"/>
            </w:tcBorders>
            <w:shd w:val="clear" w:color="FFFFFF" w:fill="FFFFFF"/>
            <w:vAlign w:val="bottom"/>
          </w:tcPr>
          <w:p w14:paraId="7CBEB09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654,096</w:t>
            </w:r>
          </w:p>
        </w:tc>
        <w:tc>
          <w:tcPr>
            <w:tcW w:w="1097" w:type="dxa"/>
            <w:tcBorders>
              <w:top w:val="nil"/>
              <w:left w:val="nil"/>
              <w:bottom w:val="nil"/>
              <w:right w:val="nil"/>
            </w:tcBorders>
            <w:shd w:val="clear" w:color="FFFFFF" w:fill="FFFFFF"/>
            <w:vAlign w:val="bottom"/>
          </w:tcPr>
          <w:p w14:paraId="3A88C99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r>
      <w:tr w:rsidR="005C6008" w:rsidRPr="00E10730" w14:paraId="7F94335B" w14:textId="77777777" w:rsidTr="00724A9C">
        <w:trPr>
          <w:trHeight w:val="227"/>
        </w:trPr>
        <w:tc>
          <w:tcPr>
            <w:tcW w:w="4649" w:type="dxa"/>
            <w:tcBorders>
              <w:top w:val="nil"/>
              <w:left w:val="nil"/>
              <w:bottom w:val="nil"/>
              <w:right w:val="nil"/>
            </w:tcBorders>
            <w:shd w:val="clear" w:color="FFFFFF" w:fill="FFFFFF"/>
            <w:vAlign w:val="bottom"/>
          </w:tcPr>
          <w:p w14:paraId="30F24B94"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Participant plan expenses</w:t>
            </w:r>
          </w:p>
        </w:tc>
        <w:tc>
          <w:tcPr>
            <w:tcW w:w="1134" w:type="dxa"/>
            <w:tcBorders>
              <w:top w:val="nil"/>
              <w:left w:val="nil"/>
              <w:bottom w:val="nil"/>
              <w:right w:val="nil"/>
            </w:tcBorders>
            <w:shd w:val="clear" w:color="FFFFFF" w:fill="FFFFFF"/>
            <w:vAlign w:val="bottom"/>
          </w:tcPr>
          <w:p w14:paraId="5A4A3705"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6C2D94E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50,533,934</w:t>
            </w:r>
          </w:p>
        </w:tc>
        <w:tc>
          <w:tcPr>
            <w:tcW w:w="1097" w:type="dxa"/>
            <w:tcBorders>
              <w:top w:val="nil"/>
              <w:left w:val="nil"/>
              <w:bottom w:val="nil"/>
              <w:right w:val="nil"/>
            </w:tcBorders>
            <w:shd w:val="clear" w:color="FFFFFF" w:fill="FFFFFF"/>
            <w:vAlign w:val="bottom"/>
          </w:tcPr>
          <w:p w14:paraId="2BB5625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45,000,879</w:t>
            </w:r>
          </w:p>
        </w:tc>
        <w:tc>
          <w:tcPr>
            <w:tcW w:w="1097" w:type="dxa"/>
            <w:tcBorders>
              <w:top w:val="nil"/>
              <w:left w:val="nil"/>
              <w:bottom w:val="nil"/>
              <w:right w:val="nil"/>
            </w:tcBorders>
            <w:shd w:val="clear" w:color="FFFFFF" w:fill="FFFFFF"/>
            <w:vAlign w:val="bottom"/>
          </w:tcPr>
          <w:p w14:paraId="68898A8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48,511,064</w:t>
            </w:r>
          </w:p>
        </w:tc>
      </w:tr>
      <w:tr w:rsidR="005C6008" w:rsidRPr="00E10730" w14:paraId="1A6BE4A1" w14:textId="77777777" w:rsidTr="00724A9C">
        <w:trPr>
          <w:trHeight w:val="227"/>
        </w:trPr>
        <w:tc>
          <w:tcPr>
            <w:tcW w:w="4649" w:type="dxa"/>
            <w:tcBorders>
              <w:top w:val="nil"/>
              <w:left w:val="nil"/>
              <w:bottom w:val="nil"/>
              <w:right w:val="nil"/>
            </w:tcBorders>
            <w:shd w:val="clear" w:color="FFFFFF" w:fill="FFFFFF"/>
            <w:vAlign w:val="bottom"/>
          </w:tcPr>
          <w:p w14:paraId="738333D9"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GST paid</w:t>
            </w:r>
          </w:p>
        </w:tc>
        <w:tc>
          <w:tcPr>
            <w:tcW w:w="1134" w:type="dxa"/>
            <w:tcBorders>
              <w:top w:val="nil"/>
              <w:left w:val="nil"/>
              <w:bottom w:val="nil"/>
              <w:right w:val="nil"/>
            </w:tcBorders>
            <w:shd w:val="clear" w:color="FFFFFF" w:fill="FFFFFF"/>
            <w:vAlign w:val="bottom"/>
          </w:tcPr>
          <w:p w14:paraId="0B690D89"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5839046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097" w:type="dxa"/>
            <w:tcBorders>
              <w:top w:val="nil"/>
              <w:left w:val="nil"/>
              <w:bottom w:val="nil"/>
              <w:right w:val="nil"/>
            </w:tcBorders>
            <w:shd w:val="clear" w:color="FFFFFF" w:fill="FFFFFF"/>
            <w:vAlign w:val="bottom"/>
          </w:tcPr>
          <w:p w14:paraId="1E6BCAA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1097" w:type="dxa"/>
            <w:tcBorders>
              <w:top w:val="nil"/>
              <w:left w:val="nil"/>
              <w:bottom w:val="nil"/>
              <w:right w:val="nil"/>
            </w:tcBorders>
            <w:shd w:val="clear" w:color="FFFFFF" w:fill="FFFFFF"/>
            <w:vAlign w:val="bottom"/>
          </w:tcPr>
          <w:p w14:paraId="28492DB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102,387</w:t>
            </w:r>
          </w:p>
        </w:tc>
      </w:tr>
      <w:tr w:rsidR="005C6008" w:rsidRPr="00E10730" w14:paraId="77A30704" w14:textId="77777777" w:rsidTr="00724A9C">
        <w:trPr>
          <w:trHeight w:val="227"/>
        </w:trPr>
        <w:tc>
          <w:tcPr>
            <w:tcW w:w="4649" w:type="dxa"/>
            <w:tcBorders>
              <w:top w:val="nil"/>
              <w:left w:val="nil"/>
              <w:bottom w:val="nil"/>
              <w:right w:val="nil"/>
            </w:tcBorders>
            <w:shd w:val="clear" w:color="FFFFFF" w:fill="FFFFFF"/>
            <w:vAlign w:val="bottom"/>
          </w:tcPr>
          <w:p w14:paraId="382EC6D6"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Grant payments</w:t>
            </w:r>
          </w:p>
        </w:tc>
        <w:tc>
          <w:tcPr>
            <w:tcW w:w="1134" w:type="dxa"/>
            <w:tcBorders>
              <w:top w:val="nil"/>
              <w:left w:val="nil"/>
              <w:bottom w:val="nil"/>
              <w:right w:val="nil"/>
            </w:tcBorders>
            <w:shd w:val="clear" w:color="FFFFFF" w:fill="FFFFFF"/>
            <w:vAlign w:val="bottom"/>
          </w:tcPr>
          <w:p w14:paraId="758ECB1E"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021333C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36,416</w:t>
            </w:r>
          </w:p>
        </w:tc>
        <w:tc>
          <w:tcPr>
            <w:tcW w:w="1097" w:type="dxa"/>
            <w:tcBorders>
              <w:top w:val="nil"/>
              <w:left w:val="nil"/>
              <w:bottom w:val="nil"/>
              <w:right w:val="nil"/>
            </w:tcBorders>
            <w:shd w:val="clear" w:color="FFFFFF" w:fill="FFFFFF"/>
            <w:vAlign w:val="bottom"/>
          </w:tcPr>
          <w:p w14:paraId="35B58F0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13,269</w:t>
            </w:r>
          </w:p>
        </w:tc>
        <w:tc>
          <w:tcPr>
            <w:tcW w:w="1097" w:type="dxa"/>
            <w:tcBorders>
              <w:top w:val="nil"/>
              <w:left w:val="nil"/>
              <w:bottom w:val="nil"/>
              <w:right w:val="nil"/>
            </w:tcBorders>
            <w:shd w:val="clear" w:color="FFFFFF" w:fill="FFFFFF"/>
            <w:vAlign w:val="bottom"/>
          </w:tcPr>
          <w:p w14:paraId="113D4C4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r>
      <w:tr w:rsidR="005C6008" w:rsidRPr="00E10730" w14:paraId="0B650A5A" w14:textId="77777777" w:rsidTr="00724A9C">
        <w:trPr>
          <w:trHeight w:val="227"/>
        </w:trPr>
        <w:tc>
          <w:tcPr>
            <w:tcW w:w="4649" w:type="dxa"/>
            <w:tcBorders>
              <w:top w:val="nil"/>
              <w:left w:val="nil"/>
              <w:bottom w:val="nil"/>
              <w:right w:val="nil"/>
            </w:tcBorders>
            <w:shd w:val="clear" w:color="FFFFFF" w:fill="FFFFFF"/>
            <w:vAlign w:val="bottom"/>
          </w:tcPr>
          <w:p w14:paraId="44512781"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cash used</w:t>
            </w:r>
          </w:p>
        </w:tc>
        <w:tc>
          <w:tcPr>
            <w:tcW w:w="1134" w:type="dxa"/>
            <w:tcBorders>
              <w:top w:val="nil"/>
              <w:left w:val="nil"/>
              <w:bottom w:val="nil"/>
              <w:right w:val="nil"/>
            </w:tcBorders>
            <w:shd w:val="clear" w:color="FFFFFF" w:fill="FFFFFF"/>
            <w:vAlign w:val="bottom"/>
          </w:tcPr>
          <w:p w14:paraId="78654DDC"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shd w:val="clear" w:color="FFFFFF" w:fill="FFFFFF"/>
            <w:vAlign w:val="bottom"/>
          </w:tcPr>
          <w:p w14:paraId="6168F47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53,501,841</w:t>
            </w:r>
          </w:p>
        </w:tc>
        <w:tc>
          <w:tcPr>
            <w:tcW w:w="1097" w:type="dxa"/>
            <w:tcBorders>
              <w:top w:val="single" w:sz="4" w:space="0" w:color="auto"/>
              <w:left w:val="nil"/>
              <w:bottom w:val="single" w:sz="4" w:space="0" w:color="auto"/>
              <w:right w:val="nil"/>
            </w:tcBorders>
            <w:shd w:val="clear" w:color="FFFFFF" w:fill="FFFFFF"/>
            <w:vAlign w:val="bottom"/>
          </w:tcPr>
          <w:p w14:paraId="1278847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47,601,978</w:t>
            </w:r>
          </w:p>
        </w:tc>
        <w:tc>
          <w:tcPr>
            <w:tcW w:w="1097" w:type="dxa"/>
            <w:tcBorders>
              <w:top w:val="single" w:sz="4" w:space="0" w:color="auto"/>
              <w:left w:val="nil"/>
              <w:bottom w:val="single" w:sz="4" w:space="0" w:color="auto"/>
              <w:right w:val="nil"/>
            </w:tcBorders>
            <w:shd w:val="clear" w:color="FFFFFF" w:fill="FFFFFF"/>
            <w:vAlign w:val="bottom"/>
          </w:tcPr>
          <w:p w14:paraId="347F1C1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51,400,518</w:t>
            </w:r>
          </w:p>
        </w:tc>
      </w:tr>
      <w:tr w:rsidR="005C6008" w:rsidRPr="00E10730" w14:paraId="2F8A02B2" w14:textId="77777777" w:rsidTr="00724A9C">
        <w:trPr>
          <w:trHeight w:val="227"/>
        </w:trPr>
        <w:tc>
          <w:tcPr>
            <w:tcW w:w="4649" w:type="dxa"/>
            <w:tcBorders>
              <w:top w:val="nil"/>
              <w:left w:val="nil"/>
              <w:bottom w:val="nil"/>
              <w:right w:val="nil"/>
            </w:tcBorders>
            <w:shd w:val="clear" w:color="FFFFFF" w:fill="FFFFFF"/>
            <w:vAlign w:val="bottom"/>
          </w:tcPr>
          <w:p w14:paraId="3E4AE56E"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Net cash from / (used by) operating activities</w:t>
            </w:r>
          </w:p>
        </w:tc>
        <w:tc>
          <w:tcPr>
            <w:tcW w:w="1134" w:type="dxa"/>
            <w:tcBorders>
              <w:top w:val="nil"/>
              <w:left w:val="nil"/>
              <w:bottom w:val="nil"/>
              <w:right w:val="nil"/>
            </w:tcBorders>
            <w:shd w:val="clear" w:color="FFFFFF" w:fill="FFFFFF"/>
            <w:vAlign w:val="bottom"/>
          </w:tcPr>
          <w:p w14:paraId="5A50726B"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single" w:sz="4" w:space="0" w:color="auto"/>
              <w:right w:val="nil"/>
            </w:tcBorders>
            <w:shd w:val="clear" w:color="FFFFFF" w:fill="FFFFFF"/>
            <w:vAlign w:val="bottom"/>
          </w:tcPr>
          <w:p w14:paraId="5B425B5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(40,984)</w:t>
            </w:r>
          </w:p>
        </w:tc>
        <w:tc>
          <w:tcPr>
            <w:tcW w:w="1097" w:type="dxa"/>
            <w:tcBorders>
              <w:top w:val="nil"/>
              <w:left w:val="nil"/>
              <w:bottom w:val="single" w:sz="4" w:space="0" w:color="auto"/>
              <w:right w:val="nil"/>
            </w:tcBorders>
            <w:shd w:val="clear" w:color="FFFFFF" w:fill="FFFFFF"/>
            <w:vAlign w:val="bottom"/>
          </w:tcPr>
          <w:p w14:paraId="1BB63A9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624,119</w:t>
            </w:r>
          </w:p>
        </w:tc>
        <w:tc>
          <w:tcPr>
            <w:tcW w:w="1097" w:type="dxa"/>
            <w:tcBorders>
              <w:top w:val="nil"/>
              <w:left w:val="nil"/>
              <w:bottom w:val="single" w:sz="4" w:space="0" w:color="auto"/>
              <w:right w:val="nil"/>
            </w:tcBorders>
            <w:shd w:val="clear" w:color="FFFFFF" w:fill="FFFFFF"/>
            <w:vAlign w:val="bottom"/>
          </w:tcPr>
          <w:p w14:paraId="38F1CE7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551,671</w:t>
            </w:r>
          </w:p>
        </w:tc>
      </w:tr>
      <w:tr w:rsidR="005C6008" w:rsidRPr="00E10730" w14:paraId="45C89A66" w14:textId="77777777" w:rsidTr="00724A9C">
        <w:trPr>
          <w:trHeight w:val="227"/>
        </w:trPr>
        <w:tc>
          <w:tcPr>
            <w:tcW w:w="4649" w:type="dxa"/>
            <w:tcBorders>
              <w:top w:val="nil"/>
              <w:left w:val="nil"/>
              <w:bottom w:val="nil"/>
              <w:right w:val="nil"/>
            </w:tcBorders>
            <w:shd w:val="clear" w:color="FFFFFF" w:fill="FFFFFF"/>
            <w:vAlign w:val="bottom"/>
          </w:tcPr>
          <w:p w14:paraId="5C96363D" w14:textId="77777777" w:rsidR="005C6008" w:rsidRPr="00E10730" w:rsidRDefault="005C6008"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c>
          <w:tcPr>
            <w:tcW w:w="1134" w:type="dxa"/>
            <w:tcBorders>
              <w:top w:val="nil"/>
              <w:left w:val="nil"/>
              <w:bottom w:val="nil"/>
              <w:right w:val="nil"/>
            </w:tcBorders>
            <w:shd w:val="clear" w:color="FFFFFF" w:fill="FFFFFF"/>
            <w:vAlign w:val="bottom"/>
          </w:tcPr>
          <w:p w14:paraId="09AB9842" w14:textId="77777777" w:rsidR="005C6008" w:rsidRPr="00E10730" w:rsidRDefault="005C6008" w:rsidP="00115FA3">
            <w:pPr>
              <w:autoSpaceDE w:val="0"/>
              <w:autoSpaceDN w:val="0"/>
              <w:adjustRightInd w:val="0"/>
              <w:spacing w:after="0" w:line="240" w:lineRule="auto"/>
              <w:jc w:val="center"/>
              <w:rPr>
                <w:rFonts w:eastAsia="Calibri" w:cs="Arial"/>
                <w:color w:val="FFFFFF"/>
                <w:sz w:val="8"/>
                <w:szCs w:val="8"/>
              </w:rPr>
            </w:pPr>
            <w:r w:rsidRPr="00E10730">
              <w:rPr>
                <w:rFonts w:eastAsia="Calibri" w:cs="Arial"/>
                <w:color w:val="FFFFFF"/>
                <w:sz w:val="8"/>
                <w:szCs w:val="8"/>
              </w:rPr>
              <w:t>-</w:t>
            </w:r>
          </w:p>
        </w:tc>
        <w:tc>
          <w:tcPr>
            <w:tcW w:w="1097" w:type="dxa"/>
            <w:tcBorders>
              <w:top w:val="nil"/>
              <w:left w:val="nil"/>
              <w:bottom w:val="nil"/>
              <w:right w:val="nil"/>
            </w:tcBorders>
            <w:shd w:val="clear" w:color="FFFFFF" w:fill="FFFFFF"/>
            <w:vAlign w:val="bottom"/>
          </w:tcPr>
          <w:p w14:paraId="16FCC424" w14:textId="77777777" w:rsidR="005C6008" w:rsidRPr="00E10730" w:rsidRDefault="005C6008"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c>
          <w:tcPr>
            <w:tcW w:w="1097" w:type="dxa"/>
            <w:tcBorders>
              <w:top w:val="nil"/>
              <w:left w:val="nil"/>
              <w:bottom w:val="nil"/>
              <w:right w:val="nil"/>
            </w:tcBorders>
            <w:shd w:val="clear" w:color="FFFFFF" w:fill="FFFFFF"/>
            <w:vAlign w:val="bottom"/>
          </w:tcPr>
          <w:p w14:paraId="79FD5A56" w14:textId="77777777" w:rsidR="005C6008" w:rsidRPr="00E10730" w:rsidRDefault="005C6008"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c>
          <w:tcPr>
            <w:tcW w:w="1097" w:type="dxa"/>
            <w:tcBorders>
              <w:top w:val="nil"/>
              <w:left w:val="nil"/>
              <w:bottom w:val="nil"/>
              <w:right w:val="nil"/>
            </w:tcBorders>
            <w:shd w:val="clear" w:color="FFFFFF" w:fill="FFFFFF"/>
            <w:vAlign w:val="bottom"/>
          </w:tcPr>
          <w:p w14:paraId="077F9D77" w14:textId="77777777" w:rsidR="005C6008" w:rsidRPr="00E10730" w:rsidRDefault="005C6008"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r>
      <w:tr w:rsidR="005C6008" w:rsidRPr="00E10730" w14:paraId="273F44B6" w14:textId="77777777" w:rsidTr="00724A9C">
        <w:trPr>
          <w:trHeight w:val="227"/>
        </w:trPr>
        <w:tc>
          <w:tcPr>
            <w:tcW w:w="4649" w:type="dxa"/>
            <w:tcBorders>
              <w:top w:val="nil"/>
              <w:left w:val="nil"/>
              <w:bottom w:val="nil"/>
              <w:right w:val="nil"/>
            </w:tcBorders>
            <w:shd w:val="clear" w:color="FFFFFF" w:fill="FFFFFF"/>
            <w:vAlign w:val="bottom"/>
          </w:tcPr>
          <w:p w14:paraId="3BD80F6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INVESTING ACTIVITIES</w:t>
            </w:r>
          </w:p>
        </w:tc>
        <w:tc>
          <w:tcPr>
            <w:tcW w:w="1134" w:type="dxa"/>
            <w:tcBorders>
              <w:top w:val="nil"/>
              <w:left w:val="nil"/>
              <w:bottom w:val="nil"/>
              <w:right w:val="nil"/>
            </w:tcBorders>
            <w:shd w:val="clear" w:color="FFFFFF" w:fill="FFFFFF"/>
            <w:vAlign w:val="bottom"/>
          </w:tcPr>
          <w:p w14:paraId="6AD4904D"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77B0D3A7"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55B4AD45"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0F6816CC"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431583F4" w14:textId="77777777" w:rsidTr="00724A9C">
        <w:trPr>
          <w:trHeight w:val="227"/>
        </w:trPr>
        <w:tc>
          <w:tcPr>
            <w:tcW w:w="4649" w:type="dxa"/>
            <w:tcBorders>
              <w:top w:val="nil"/>
              <w:left w:val="nil"/>
              <w:bottom w:val="nil"/>
              <w:right w:val="nil"/>
            </w:tcBorders>
            <w:shd w:val="clear" w:color="FFFFFF" w:fill="FFFFFF"/>
            <w:vAlign w:val="bottom"/>
          </w:tcPr>
          <w:p w14:paraId="413BC139"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Cash received</w:t>
            </w:r>
          </w:p>
        </w:tc>
        <w:tc>
          <w:tcPr>
            <w:tcW w:w="1134" w:type="dxa"/>
            <w:tcBorders>
              <w:top w:val="nil"/>
              <w:left w:val="nil"/>
              <w:bottom w:val="nil"/>
              <w:right w:val="nil"/>
            </w:tcBorders>
            <w:shd w:val="clear" w:color="FFFFFF" w:fill="FFFFFF"/>
            <w:vAlign w:val="bottom"/>
          </w:tcPr>
          <w:p w14:paraId="2C709002"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75517092"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505874B1"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6C819A9E"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15824B1B" w14:textId="77777777" w:rsidTr="00724A9C">
        <w:trPr>
          <w:trHeight w:val="227"/>
        </w:trPr>
        <w:tc>
          <w:tcPr>
            <w:tcW w:w="4649" w:type="dxa"/>
            <w:tcBorders>
              <w:top w:val="nil"/>
              <w:left w:val="nil"/>
              <w:bottom w:val="nil"/>
              <w:right w:val="nil"/>
            </w:tcBorders>
            <w:shd w:val="clear" w:color="FFFFFF" w:fill="FFFFFF"/>
            <w:vAlign w:val="bottom"/>
          </w:tcPr>
          <w:p w14:paraId="2B73F87D" w14:textId="4AE6F29C" w:rsidR="005C6008" w:rsidRPr="00E10730" w:rsidRDefault="005C6008" w:rsidP="00115FA3">
            <w:pPr>
              <w:autoSpaceDE w:val="0"/>
              <w:autoSpaceDN w:val="0"/>
              <w:adjustRightInd w:val="0"/>
              <w:spacing w:after="0" w:line="240" w:lineRule="auto"/>
              <w:ind w:left="181"/>
              <w:rPr>
                <w:rFonts w:eastAsia="Calibri" w:cs="Arial"/>
                <w:sz w:val="18"/>
                <w:szCs w:val="18"/>
              </w:rPr>
            </w:pPr>
            <w:r w:rsidRPr="00E10730">
              <w:rPr>
                <w:rFonts w:eastAsia="Calibri" w:cs="Arial"/>
                <w:sz w:val="18"/>
                <w:szCs w:val="18"/>
              </w:rPr>
              <w:t xml:space="preserve">Proceeds from sales of property, </w:t>
            </w:r>
            <w:r w:rsidR="00AD014C">
              <w:rPr>
                <w:rFonts w:eastAsia="Calibri" w:cs="Arial"/>
                <w:sz w:val="18"/>
                <w:szCs w:val="18"/>
              </w:rPr>
              <w:t>p</w:t>
            </w:r>
            <w:r w:rsidRPr="00E10730">
              <w:rPr>
                <w:rFonts w:eastAsia="Calibri" w:cs="Arial"/>
                <w:sz w:val="18"/>
                <w:szCs w:val="18"/>
              </w:rPr>
              <w:t>lant and equipment</w:t>
            </w:r>
          </w:p>
        </w:tc>
        <w:tc>
          <w:tcPr>
            <w:tcW w:w="1134" w:type="dxa"/>
            <w:tcBorders>
              <w:top w:val="nil"/>
              <w:left w:val="nil"/>
              <w:bottom w:val="nil"/>
              <w:right w:val="nil"/>
            </w:tcBorders>
            <w:shd w:val="clear" w:color="FFFFFF" w:fill="FFFFFF"/>
            <w:vAlign w:val="bottom"/>
          </w:tcPr>
          <w:p w14:paraId="1B10ACE1"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69C4E29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767</w:t>
            </w:r>
          </w:p>
        </w:tc>
        <w:tc>
          <w:tcPr>
            <w:tcW w:w="1097" w:type="dxa"/>
            <w:tcBorders>
              <w:top w:val="nil"/>
              <w:left w:val="nil"/>
              <w:bottom w:val="nil"/>
              <w:right w:val="nil"/>
            </w:tcBorders>
            <w:shd w:val="clear" w:color="FFFFFF" w:fill="FFFFFF"/>
            <w:vAlign w:val="bottom"/>
          </w:tcPr>
          <w:p w14:paraId="4134C2A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1,014</w:t>
            </w:r>
          </w:p>
        </w:tc>
        <w:tc>
          <w:tcPr>
            <w:tcW w:w="1097" w:type="dxa"/>
            <w:tcBorders>
              <w:top w:val="nil"/>
              <w:left w:val="nil"/>
              <w:bottom w:val="nil"/>
              <w:right w:val="nil"/>
            </w:tcBorders>
            <w:shd w:val="clear" w:color="FFFFFF" w:fill="FFFFFF"/>
            <w:vAlign w:val="bottom"/>
          </w:tcPr>
          <w:p w14:paraId="201D0CD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r>
      <w:tr w:rsidR="005C6008" w:rsidRPr="00E10730" w14:paraId="1333C6F3" w14:textId="77777777" w:rsidTr="00724A9C">
        <w:trPr>
          <w:trHeight w:val="227"/>
        </w:trPr>
        <w:tc>
          <w:tcPr>
            <w:tcW w:w="4649" w:type="dxa"/>
            <w:tcBorders>
              <w:top w:val="nil"/>
              <w:left w:val="nil"/>
              <w:bottom w:val="nil"/>
              <w:right w:val="nil"/>
            </w:tcBorders>
            <w:shd w:val="clear" w:color="FFFFFF" w:fill="FFFFFF"/>
            <w:vAlign w:val="bottom"/>
          </w:tcPr>
          <w:p w14:paraId="42880AB9"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cash received</w:t>
            </w:r>
          </w:p>
        </w:tc>
        <w:tc>
          <w:tcPr>
            <w:tcW w:w="1134" w:type="dxa"/>
            <w:tcBorders>
              <w:top w:val="nil"/>
              <w:left w:val="nil"/>
              <w:bottom w:val="nil"/>
              <w:right w:val="nil"/>
            </w:tcBorders>
            <w:shd w:val="clear" w:color="FFFFFF" w:fill="FFFFFF"/>
            <w:vAlign w:val="bottom"/>
          </w:tcPr>
          <w:p w14:paraId="781032B8"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shd w:val="clear" w:color="FFFFFF" w:fill="FFFFFF"/>
            <w:vAlign w:val="bottom"/>
          </w:tcPr>
          <w:p w14:paraId="2076C30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767</w:t>
            </w:r>
          </w:p>
        </w:tc>
        <w:tc>
          <w:tcPr>
            <w:tcW w:w="1097" w:type="dxa"/>
            <w:tcBorders>
              <w:top w:val="single" w:sz="4" w:space="0" w:color="auto"/>
              <w:left w:val="nil"/>
              <w:bottom w:val="single" w:sz="4" w:space="0" w:color="auto"/>
              <w:right w:val="nil"/>
            </w:tcBorders>
            <w:shd w:val="clear" w:color="FFFFFF" w:fill="FFFFFF"/>
            <w:vAlign w:val="bottom"/>
          </w:tcPr>
          <w:p w14:paraId="07253CC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1,014</w:t>
            </w:r>
          </w:p>
        </w:tc>
        <w:tc>
          <w:tcPr>
            <w:tcW w:w="1097" w:type="dxa"/>
            <w:tcBorders>
              <w:top w:val="single" w:sz="4" w:space="0" w:color="auto"/>
              <w:left w:val="nil"/>
              <w:bottom w:val="single" w:sz="4" w:space="0" w:color="auto"/>
              <w:right w:val="nil"/>
            </w:tcBorders>
            <w:shd w:val="clear" w:color="FFFFFF" w:fill="FFFFFF"/>
            <w:vAlign w:val="bottom"/>
          </w:tcPr>
          <w:p w14:paraId="3A98CE6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r>
      <w:tr w:rsidR="005C6008" w:rsidRPr="00E10730" w14:paraId="69E88F5D" w14:textId="77777777" w:rsidTr="00724A9C">
        <w:trPr>
          <w:trHeight w:val="227"/>
        </w:trPr>
        <w:tc>
          <w:tcPr>
            <w:tcW w:w="4649" w:type="dxa"/>
            <w:tcBorders>
              <w:top w:val="nil"/>
              <w:left w:val="nil"/>
              <w:bottom w:val="nil"/>
              <w:right w:val="nil"/>
            </w:tcBorders>
            <w:shd w:val="clear" w:color="FFFFFF" w:fill="FFFFFF"/>
            <w:vAlign w:val="bottom"/>
          </w:tcPr>
          <w:p w14:paraId="44641738"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Cash used</w:t>
            </w:r>
          </w:p>
        </w:tc>
        <w:tc>
          <w:tcPr>
            <w:tcW w:w="1134" w:type="dxa"/>
            <w:tcBorders>
              <w:top w:val="nil"/>
              <w:left w:val="nil"/>
              <w:bottom w:val="nil"/>
              <w:right w:val="nil"/>
            </w:tcBorders>
            <w:shd w:val="clear" w:color="FFFFFF" w:fill="FFFFFF"/>
            <w:vAlign w:val="bottom"/>
          </w:tcPr>
          <w:p w14:paraId="4EDB88FF"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57238DAE"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09FF2D66"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shd w:val="clear" w:color="FFFFFF" w:fill="FFFFFF"/>
            <w:vAlign w:val="bottom"/>
          </w:tcPr>
          <w:p w14:paraId="1D7D45B9"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20B1A2CA" w14:textId="77777777" w:rsidTr="00E10730">
        <w:trPr>
          <w:trHeight w:val="227"/>
        </w:trPr>
        <w:tc>
          <w:tcPr>
            <w:tcW w:w="4649" w:type="dxa"/>
            <w:tcBorders>
              <w:top w:val="nil"/>
              <w:left w:val="nil"/>
              <w:bottom w:val="nil"/>
              <w:right w:val="nil"/>
            </w:tcBorders>
            <w:vAlign w:val="bottom"/>
          </w:tcPr>
          <w:p w14:paraId="19D0D5BA" w14:textId="5B35612A" w:rsidR="005C6008" w:rsidRPr="00E10730" w:rsidRDefault="005C6008" w:rsidP="00115FA3">
            <w:pPr>
              <w:autoSpaceDE w:val="0"/>
              <w:autoSpaceDN w:val="0"/>
              <w:adjustRightInd w:val="0"/>
              <w:spacing w:after="0" w:line="240" w:lineRule="auto"/>
              <w:ind w:left="181"/>
              <w:rPr>
                <w:rFonts w:eastAsia="Calibri" w:cs="Arial"/>
                <w:sz w:val="18"/>
                <w:szCs w:val="18"/>
              </w:rPr>
            </w:pPr>
            <w:r w:rsidRPr="00E10730">
              <w:rPr>
                <w:rFonts w:eastAsia="Calibri" w:cs="Arial"/>
                <w:sz w:val="18"/>
                <w:szCs w:val="18"/>
              </w:rPr>
              <w:t xml:space="preserve">Purchase of property, </w:t>
            </w:r>
            <w:r w:rsidR="00AD014C">
              <w:rPr>
                <w:rFonts w:eastAsia="Calibri" w:cs="Arial"/>
                <w:sz w:val="18"/>
                <w:szCs w:val="18"/>
              </w:rPr>
              <w:t>p</w:t>
            </w:r>
            <w:r w:rsidRPr="00E10730">
              <w:rPr>
                <w:rFonts w:eastAsia="Calibri" w:cs="Arial"/>
                <w:sz w:val="18"/>
                <w:szCs w:val="18"/>
              </w:rPr>
              <w:t xml:space="preserve">lant </w:t>
            </w:r>
            <w:r w:rsidR="00CB6746" w:rsidRPr="00E10730">
              <w:rPr>
                <w:rFonts w:eastAsia="Calibri" w:cs="Arial"/>
                <w:sz w:val="18"/>
                <w:szCs w:val="18"/>
              </w:rPr>
              <w:t>and</w:t>
            </w:r>
            <w:r w:rsidRPr="00E10730">
              <w:rPr>
                <w:rFonts w:eastAsia="Calibri" w:cs="Arial"/>
                <w:sz w:val="18"/>
                <w:szCs w:val="18"/>
              </w:rPr>
              <w:t xml:space="preserve"> equipment</w:t>
            </w:r>
            <w:r w:rsidR="00CB6746" w:rsidRPr="00E10730">
              <w:rPr>
                <w:rFonts w:eastAsia="Calibri" w:cs="Arial"/>
                <w:sz w:val="18"/>
                <w:szCs w:val="18"/>
              </w:rPr>
              <w:t xml:space="preserve"> and computer software</w:t>
            </w:r>
          </w:p>
        </w:tc>
        <w:tc>
          <w:tcPr>
            <w:tcW w:w="1134" w:type="dxa"/>
            <w:tcBorders>
              <w:top w:val="nil"/>
              <w:left w:val="nil"/>
              <w:bottom w:val="nil"/>
              <w:right w:val="nil"/>
            </w:tcBorders>
            <w:vAlign w:val="bottom"/>
          </w:tcPr>
          <w:p w14:paraId="7BA40C78" w14:textId="77777777" w:rsidR="005C6008" w:rsidRPr="00E10730" w:rsidRDefault="005C6008"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vAlign w:val="bottom"/>
          </w:tcPr>
          <w:p w14:paraId="5F7F57D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98,289</w:t>
            </w:r>
          </w:p>
        </w:tc>
        <w:tc>
          <w:tcPr>
            <w:tcW w:w="1097" w:type="dxa"/>
            <w:tcBorders>
              <w:top w:val="nil"/>
              <w:left w:val="nil"/>
              <w:bottom w:val="nil"/>
              <w:right w:val="nil"/>
            </w:tcBorders>
            <w:vAlign w:val="bottom"/>
          </w:tcPr>
          <w:p w14:paraId="335ADEA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18,077</w:t>
            </w:r>
          </w:p>
        </w:tc>
        <w:tc>
          <w:tcPr>
            <w:tcW w:w="1097" w:type="dxa"/>
            <w:tcBorders>
              <w:top w:val="nil"/>
              <w:left w:val="nil"/>
              <w:bottom w:val="nil"/>
              <w:right w:val="nil"/>
            </w:tcBorders>
            <w:vAlign w:val="bottom"/>
          </w:tcPr>
          <w:p w14:paraId="401C81F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72,382</w:t>
            </w:r>
          </w:p>
        </w:tc>
      </w:tr>
      <w:tr w:rsidR="00ED4203" w:rsidRPr="00E10730" w14:paraId="07B2A1F3" w14:textId="77777777" w:rsidTr="00E10730">
        <w:trPr>
          <w:trHeight w:val="227"/>
        </w:trPr>
        <w:tc>
          <w:tcPr>
            <w:tcW w:w="4649" w:type="dxa"/>
            <w:tcBorders>
              <w:top w:val="nil"/>
              <w:left w:val="nil"/>
              <w:bottom w:val="nil"/>
              <w:right w:val="nil"/>
            </w:tcBorders>
            <w:vAlign w:val="bottom"/>
          </w:tcPr>
          <w:p w14:paraId="34C2618C" w14:textId="087F4155" w:rsidR="00ED4203" w:rsidRPr="00E10730" w:rsidRDefault="00ED4203"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Purchase of financial instruments</w:t>
            </w:r>
          </w:p>
        </w:tc>
        <w:tc>
          <w:tcPr>
            <w:tcW w:w="1134" w:type="dxa"/>
            <w:tcBorders>
              <w:top w:val="nil"/>
              <w:left w:val="nil"/>
              <w:bottom w:val="nil"/>
              <w:right w:val="nil"/>
            </w:tcBorders>
            <w:vAlign w:val="bottom"/>
          </w:tcPr>
          <w:p w14:paraId="20250BA2" w14:textId="77777777" w:rsidR="00ED4203" w:rsidRPr="00E10730" w:rsidRDefault="00ED4203" w:rsidP="00115FA3">
            <w:pPr>
              <w:autoSpaceDE w:val="0"/>
              <w:autoSpaceDN w:val="0"/>
              <w:adjustRightInd w:val="0"/>
              <w:spacing w:after="0" w:line="240" w:lineRule="auto"/>
              <w:jc w:val="center"/>
              <w:rPr>
                <w:rFonts w:eastAsia="Calibri" w:cs="Arial"/>
                <w:color w:val="FFFFFF"/>
                <w:sz w:val="18"/>
                <w:szCs w:val="18"/>
              </w:rPr>
            </w:pPr>
          </w:p>
        </w:tc>
        <w:tc>
          <w:tcPr>
            <w:tcW w:w="1097" w:type="dxa"/>
            <w:tcBorders>
              <w:top w:val="nil"/>
              <w:left w:val="nil"/>
              <w:bottom w:val="nil"/>
              <w:right w:val="nil"/>
            </w:tcBorders>
          </w:tcPr>
          <w:p w14:paraId="483BFC2D" w14:textId="415BB567" w:rsidR="00ED4203" w:rsidRPr="00E10730" w:rsidRDefault="00ED4203" w:rsidP="00115FA3">
            <w:pPr>
              <w:autoSpaceDE w:val="0"/>
              <w:autoSpaceDN w:val="0"/>
              <w:adjustRightInd w:val="0"/>
              <w:spacing w:after="0" w:line="240" w:lineRule="auto"/>
              <w:jc w:val="right"/>
              <w:rPr>
                <w:rFonts w:eastAsia="Calibri" w:cs="Arial"/>
                <w:b/>
                <w:bCs/>
                <w:sz w:val="18"/>
                <w:szCs w:val="18"/>
              </w:rPr>
            </w:pPr>
            <w:r w:rsidRPr="00E10730">
              <w:rPr>
                <w:rFonts w:cs="Arial"/>
                <w:b/>
                <w:spacing w:val="-10"/>
                <w:sz w:val="18"/>
              </w:rPr>
              <w:t>-</w:t>
            </w:r>
          </w:p>
        </w:tc>
        <w:tc>
          <w:tcPr>
            <w:tcW w:w="1097" w:type="dxa"/>
            <w:tcBorders>
              <w:top w:val="nil"/>
              <w:left w:val="nil"/>
              <w:bottom w:val="nil"/>
              <w:right w:val="nil"/>
            </w:tcBorders>
          </w:tcPr>
          <w:p w14:paraId="40461846" w14:textId="764B0083"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cs="Arial"/>
                <w:spacing w:val="-2"/>
                <w:sz w:val="18"/>
              </w:rPr>
              <w:t>3,700,000</w:t>
            </w:r>
          </w:p>
        </w:tc>
        <w:tc>
          <w:tcPr>
            <w:tcW w:w="1097" w:type="dxa"/>
            <w:tcBorders>
              <w:top w:val="nil"/>
              <w:left w:val="nil"/>
              <w:bottom w:val="nil"/>
              <w:right w:val="nil"/>
            </w:tcBorders>
          </w:tcPr>
          <w:p w14:paraId="5C1E0BAC" w14:textId="365FA876"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cs="Arial"/>
                <w:spacing w:val="-10"/>
                <w:sz w:val="18"/>
              </w:rPr>
              <w:t>-</w:t>
            </w:r>
          </w:p>
        </w:tc>
      </w:tr>
      <w:tr w:rsidR="00ED4203" w:rsidRPr="00E10730" w14:paraId="1A0D1FC3" w14:textId="77777777" w:rsidTr="00E10730">
        <w:trPr>
          <w:trHeight w:val="227"/>
        </w:trPr>
        <w:tc>
          <w:tcPr>
            <w:tcW w:w="4649" w:type="dxa"/>
            <w:tcBorders>
              <w:top w:val="nil"/>
              <w:left w:val="nil"/>
              <w:bottom w:val="nil"/>
              <w:right w:val="nil"/>
            </w:tcBorders>
            <w:vAlign w:val="bottom"/>
          </w:tcPr>
          <w:p w14:paraId="59BEE79D" w14:textId="77777777" w:rsidR="00ED4203" w:rsidRPr="00E10730" w:rsidRDefault="00ED4203"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cash used</w:t>
            </w:r>
          </w:p>
        </w:tc>
        <w:tc>
          <w:tcPr>
            <w:tcW w:w="1134" w:type="dxa"/>
            <w:tcBorders>
              <w:top w:val="nil"/>
              <w:left w:val="nil"/>
              <w:bottom w:val="nil"/>
              <w:right w:val="nil"/>
            </w:tcBorders>
            <w:vAlign w:val="bottom"/>
          </w:tcPr>
          <w:p w14:paraId="0BC84FC6" w14:textId="77777777" w:rsidR="00ED4203" w:rsidRPr="00E10730" w:rsidRDefault="00ED4203"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vAlign w:val="bottom"/>
          </w:tcPr>
          <w:p w14:paraId="1EA91B53" w14:textId="77777777" w:rsidR="00ED4203" w:rsidRPr="00E10730" w:rsidRDefault="00ED4203"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98,289</w:t>
            </w:r>
          </w:p>
        </w:tc>
        <w:tc>
          <w:tcPr>
            <w:tcW w:w="1097" w:type="dxa"/>
            <w:tcBorders>
              <w:top w:val="single" w:sz="4" w:space="0" w:color="auto"/>
              <w:left w:val="nil"/>
              <w:bottom w:val="single" w:sz="4" w:space="0" w:color="auto"/>
              <w:right w:val="nil"/>
            </w:tcBorders>
            <w:vAlign w:val="bottom"/>
          </w:tcPr>
          <w:p w14:paraId="588A0210" w14:textId="65B682F5" w:rsidR="00ED4203" w:rsidRPr="00E10730" w:rsidRDefault="00AB074E"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3,718,077</w:t>
            </w:r>
          </w:p>
        </w:tc>
        <w:tc>
          <w:tcPr>
            <w:tcW w:w="1097" w:type="dxa"/>
            <w:tcBorders>
              <w:top w:val="single" w:sz="4" w:space="0" w:color="auto"/>
              <w:left w:val="nil"/>
              <w:bottom w:val="single" w:sz="4" w:space="0" w:color="auto"/>
              <w:right w:val="nil"/>
            </w:tcBorders>
            <w:vAlign w:val="bottom"/>
          </w:tcPr>
          <w:p w14:paraId="417E0185"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72,382</w:t>
            </w:r>
          </w:p>
        </w:tc>
      </w:tr>
      <w:tr w:rsidR="00ED4203" w:rsidRPr="00E10730" w14:paraId="753E1E07" w14:textId="77777777" w:rsidTr="00E10730">
        <w:trPr>
          <w:trHeight w:val="227"/>
        </w:trPr>
        <w:tc>
          <w:tcPr>
            <w:tcW w:w="4649" w:type="dxa"/>
            <w:tcBorders>
              <w:top w:val="nil"/>
              <w:left w:val="nil"/>
              <w:bottom w:val="nil"/>
              <w:right w:val="nil"/>
            </w:tcBorders>
            <w:vAlign w:val="bottom"/>
          </w:tcPr>
          <w:p w14:paraId="04884A85" w14:textId="77777777" w:rsidR="00ED4203" w:rsidRPr="00E10730" w:rsidRDefault="00ED4203"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Net cash from / (used by) investing activities</w:t>
            </w:r>
          </w:p>
        </w:tc>
        <w:tc>
          <w:tcPr>
            <w:tcW w:w="1134" w:type="dxa"/>
            <w:tcBorders>
              <w:top w:val="nil"/>
              <w:left w:val="nil"/>
              <w:bottom w:val="nil"/>
              <w:right w:val="nil"/>
            </w:tcBorders>
            <w:vAlign w:val="bottom"/>
          </w:tcPr>
          <w:p w14:paraId="7B9F7926" w14:textId="77777777" w:rsidR="00ED4203" w:rsidRPr="00E10730" w:rsidRDefault="00ED4203"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single" w:sz="4" w:space="0" w:color="auto"/>
              <w:right w:val="nil"/>
            </w:tcBorders>
            <w:vAlign w:val="bottom"/>
          </w:tcPr>
          <w:p w14:paraId="2FF7A6C9" w14:textId="77777777" w:rsidR="00ED4203" w:rsidRPr="00E10730" w:rsidRDefault="00ED4203"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(97,522)</w:t>
            </w:r>
          </w:p>
        </w:tc>
        <w:tc>
          <w:tcPr>
            <w:tcW w:w="1097" w:type="dxa"/>
            <w:tcBorders>
              <w:top w:val="nil"/>
              <w:left w:val="nil"/>
              <w:bottom w:val="single" w:sz="4" w:space="0" w:color="auto"/>
              <w:right w:val="nil"/>
            </w:tcBorders>
            <w:vAlign w:val="bottom"/>
          </w:tcPr>
          <w:p w14:paraId="4AC629C9" w14:textId="26920971"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r w:rsidR="00AB074E" w:rsidRPr="00E10730">
              <w:rPr>
                <w:rFonts w:eastAsia="Calibri" w:cs="Arial"/>
                <w:sz w:val="18"/>
                <w:szCs w:val="18"/>
              </w:rPr>
              <w:t>3</w:t>
            </w:r>
            <w:r w:rsidR="00F64091" w:rsidRPr="00E10730">
              <w:rPr>
                <w:rFonts w:eastAsia="Calibri" w:cs="Arial"/>
                <w:sz w:val="18"/>
                <w:szCs w:val="18"/>
              </w:rPr>
              <w:t>,7</w:t>
            </w:r>
            <w:r w:rsidRPr="00E10730">
              <w:rPr>
                <w:rFonts w:eastAsia="Calibri" w:cs="Arial"/>
                <w:sz w:val="18"/>
                <w:szCs w:val="18"/>
              </w:rPr>
              <w:t>17,063)</w:t>
            </w:r>
          </w:p>
        </w:tc>
        <w:tc>
          <w:tcPr>
            <w:tcW w:w="1097" w:type="dxa"/>
            <w:tcBorders>
              <w:top w:val="nil"/>
              <w:left w:val="nil"/>
              <w:bottom w:val="single" w:sz="4" w:space="0" w:color="auto"/>
              <w:right w:val="nil"/>
            </w:tcBorders>
            <w:vAlign w:val="bottom"/>
          </w:tcPr>
          <w:p w14:paraId="2F3DE9C6"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(72,382)</w:t>
            </w:r>
          </w:p>
        </w:tc>
      </w:tr>
      <w:tr w:rsidR="00ED4203" w:rsidRPr="00E10730" w14:paraId="1D88BB2C" w14:textId="77777777" w:rsidTr="00E10730">
        <w:trPr>
          <w:trHeight w:val="227"/>
        </w:trPr>
        <w:tc>
          <w:tcPr>
            <w:tcW w:w="4649" w:type="dxa"/>
            <w:tcBorders>
              <w:top w:val="nil"/>
              <w:left w:val="nil"/>
              <w:bottom w:val="nil"/>
              <w:right w:val="nil"/>
            </w:tcBorders>
            <w:vAlign w:val="bottom"/>
          </w:tcPr>
          <w:p w14:paraId="6B12EF39" w14:textId="77777777" w:rsidR="00ED4203" w:rsidRPr="00E10730" w:rsidRDefault="00ED4203"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c>
          <w:tcPr>
            <w:tcW w:w="1134" w:type="dxa"/>
            <w:tcBorders>
              <w:top w:val="nil"/>
              <w:left w:val="nil"/>
              <w:bottom w:val="nil"/>
              <w:right w:val="nil"/>
            </w:tcBorders>
            <w:vAlign w:val="bottom"/>
          </w:tcPr>
          <w:p w14:paraId="50704123" w14:textId="77777777" w:rsidR="00ED4203" w:rsidRPr="00E10730" w:rsidRDefault="00ED4203" w:rsidP="00115FA3">
            <w:pPr>
              <w:autoSpaceDE w:val="0"/>
              <w:autoSpaceDN w:val="0"/>
              <w:adjustRightInd w:val="0"/>
              <w:spacing w:after="0" w:line="240" w:lineRule="auto"/>
              <w:jc w:val="center"/>
              <w:rPr>
                <w:rFonts w:eastAsia="Calibri" w:cs="Arial"/>
                <w:color w:val="FFFFFF"/>
                <w:sz w:val="8"/>
                <w:szCs w:val="8"/>
              </w:rPr>
            </w:pPr>
            <w:r w:rsidRPr="00E10730">
              <w:rPr>
                <w:rFonts w:eastAsia="Calibri" w:cs="Arial"/>
                <w:color w:val="FFFFFF"/>
                <w:sz w:val="8"/>
                <w:szCs w:val="8"/>
              </w:rPr>
              <w:t>-</w:t>
            </w:r>
          </w:p>
        </w:tc>
        <w:tc>
          <w:tcPr>
            <w:tcW w:w="1097" w:type="dxa"/>
            <w:tcBorders>
              <w:top w:val="nil"/>
              <w:left w:val="nil"/>
              <w:bottom w:val="nil"/>
              <w:right w:val="nil"/>
            </w:tcBorders>
            <w:vAlign w:val="bottom"/>
          </w:tcPr>
          <w:p w14:paraId="7D7FB70D" w14:textId="77777777" w:rsidR="00ED4203" w:rsidRPr="00E10730" w:rsidRDefault="00ED4203"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c>
          <w:tcPr>
            <w:tcW w:w="1097" w:type="dxa"/>
            <w:tcBorders>
              <w:top w:val="nil"/>
              <w:left w:val="nil"/>
              <w:bottom w:val="nil"/>
              <w:right w:val="nil"/>
            </w:tcBorders>
            <w:vAlign w:val="bottom"/>
          </w:tcPr>
          <w:p w14:paraId="279E57AC" w14:textId="77777777" w:rsidR="00ED4203" w:rsidRPr="00E10730" w:rsidRDefault="00ED4203"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c>
          <w:tcPr>
            <w:tcW w:w="1097" w:type="dxa"/>
            <w:tcBorders>
              <w:top w:val="nil"/>
              <w:left w:val="nil"/>
              <w:bottom w:val="nil"/>
              <w:right w:val="nil"/>
            </w:tcBorders>
            <w:vAlign w:val="bottom"/>
          </w:tcPr>
          <w:p w14:paraId="00963555" w14:textId="77777777" w:rsidR="00ED4203" w:rsidRPr="00E10730" w:rsidRDefault="00ED4203"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r>
      <w:tr w:rsidR="00ED4203" w:rsidRPr="00E10730" w14:paraId="61066057" w14:textId="77777777" w:rsidTr="00E10730">
        <w:trPr>
          <w:trHeight w:val="227"/>
        </w:trPr>
        <w:tc>
          <w:tcPr>
            <w:tcW w:w="4649" w:type="dxa"/>
            <w:tcBorders>
              <w:top w:val="nil"/>
              <w:left w:val="nil"/>
              <w:bottom w:val="nil"/>
              <w:right w:val="nil"/>
            </w:tcBorders>
            <w:vAlign w:val="bottom"/>
          </w:tcPr>
          <w:p w14:paraId="218150CB" w14:textId="77777777" w:rsidR="00ED4203" w:rsidRPr="00E10730" w:rsidRDefault="00ED4203"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FINANCING ACTIVITIES</w:t>
            </w:r>
          </w:p>
        </w:tc>
        <w:tc>
          <w:tcPr>
            <w:tcW w:w="1134" w:type="dxa"/>
            <w:tcBorders>
              <w:top w:val="nil"/>
              <w:left w:val="nil"/>
              <w:bottom w:val="nil"/>
              <w:right w:val="nil"/>
            </w:tcBorders>
            <w:vAlign w:val="bottom"/>
          </w:tcPr>
          <w:p w14:paraId="79053780" w14:textId="77777777" w:rsidR="00ED4203" w:rsidRPr="00E10730" w:rsidRDefault="00ED4203"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vAlign w:val="bottom"/>
          </w:tcPr>
          <w:p w14:paraId="582F1116" w14:textId="77777777" w:rsidR="00ED4203" w:rsidRPr="00E10730" w:rsidRDefault="00ED4203"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vAlign w:val="bottom"/>
          </w:tcPr>
          <w:p w14:paraId="20AF6AA9" w14:textId="77777777" w:rsidR="00ED4203" w:rsidRPr="00E10730" w:rsidRDefault="00ED4203"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vAlign w:val="bottom"/>
          </w:tcPr>
          <w:p w14:paraId="049B9DEE" w14:textId="77777777" w:rsidR="00ED4203" w:rsidRPr="00E10730" w:rsidRDefault="00ED4203"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ED4203" w:rsidRPr="00E10730" w14:paraId="44A4083E" w14:textId="77777777" w:rsidTr="00E10730">
        <w:trPr>
          <w:trHeight w:val="227"/>
        </w:trPr>
        <w:tc>
          <w:tcPr>
            <w:tcW w:w="4649" w:type="dxa"/>
            <w:tcBorders>
              <w:top w:val="nil"/>
              <w:left w:val="nil"/>
              <w:bottom w:val="nil"/>
              <w:right w:val="nil"/>
            </w:tcBorders>
            <w:vAlign w:val="bottom"/>
          </w:tcPr>
          <w:p w14:paraId="4CAAE23D" w14:textId="77777777" w:rsidR="00ED4203" w:rsidRPr="00E10730" w:rsidRDefault="00ED4203"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Cash received</w:t>
            </w:r>
          </w:p>
        </w:tc>
        <w:tc>
          <w:tcPr>
            <w:tcW w:w="1134" w:type="dxa"/>
            <w:tcBorders>
              <w:top w:val="nil"/>
              <w:left w:val="nil"/>
              <w:bottom w:val="nil"/>
              <w:right w:val="nil"/>
            </w:tcBorders>
            <w:vAlign w:val="bottom"/>
          </w:tcPr>
          <w:p w14:paraId="52B628EF" w14:textId="77777777" w:rsidR="00ED4203" w:rsidRPr="00E10730" w:rsidRDefault="00ED4203"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vAlign w:val="bottom"/>
          </w:tcPr>
          <w:p w14:paraId="314D2C72" w14:textId="77777777" w:rsidR="00ED4203" w:rsidRPr="00E10730" w:rsidRDefault="00ED4203"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vAlign w:val="bottom"/>
          </w:tcPr>
          <w:p w14:paraId="78AEE029" w14:textId="77777777" w:rsidR="00ED4203" w:rsidRPr="00E10730" w:rsidRDefault="00ED4203"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vAlign w:val="bottom"/>
          </w:tcPr>
          <w:p w14:paraId="67DA816C" w14:textId="77777777" w:rsidR="00ED4203" w:rsidRPr="00E10730" w:rsidRDefault="00ED4203"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ED4203" w:rsidRPr="00E10730" w14:paraId="739936AE" w14:textId="77777777" w:rsidTr="00E10730">
        <w:trPr>
          <w:trHeight w:val="227"/>
        </w:trPr>
        <w:tc>
          <w:tcPr>
            <w:tcW w:w="4649" w:type="dxa"/>
            <w:tcBorders>
              <w:top w:val="nil"/>
              <w:left w:val="nil"/>
              <w:bottom w:val="nil"/>
              <w:right w:val="nil"/>
            </w:tcBorders>
            <w:vAlign w:val="bottom"/>
          </w:tcPr>
          <w:p w14:paraId="63DCFD9A" w14:textId="77777777" w:rsidR="00ED4203" w:rsidRPr="00E10730" w:rsidRDefault="00ED4203"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Contributed equity</w:t>
            </w:r>
          </w:p>
        </w:tc>
        <w:tc>
          <w:tcPr>
            <w:tcW w:w="1134" w:type="dxa"/>
            <w:tcBorders>
              <w:top w:val="nil"/>
              <w:left w:val="nil"/>
              <w:bottom w:val="nil"/>
              <w:right w:val="nil"/>
            </w:tcBorders>
            <w:vAlign w:val="bottom"/>
          </w:tcPr>
          <w:p w14:paraId="2FF9D6EF" w14:textId="77777777" w:rsidR="00ED4203" w:rsidRPr="00E10730" w:rsidRDefault="00ED4203"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vAlign w:val="bottom"/>
          </w:tcPr>
          <w:p w14:paraId="1EB76E6F" w14:textId="77777777" w:rsidR="00ED4203" w:rsidRPr="00E10730" w:rsidRDefault="00ED4203"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4,709</w:t>
            </w:r>
          </w:p>
        </w:tc>
        <w:tc>
          <w:tcPr>
            <w:tcW w:w="1097" w:type="dxa"/>
            <w:tcBorders>
              <w:top w:val="nil"/>
              <w:left w:val="nil"/>
              <w:bottom w:val="nil"/>
              <w:right w:val="nil"/>
            </w:tcBorders>
            <w:vAlign w:val="bottom"/>
          </w:tcPr>
          <w:p w14:paraId="7E146978"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 xml:space="preserve"> -</w:t>
            </w:r>
          </w:p>
        </w:tc>
        <w:tc>
          <w:tcPr>
            <w:tcW w:w="1097" w:type="dxa"/>
            <w:tcBorders>
              <w:top w:val="nil"/>
              <w:left w:val="nil"/>
              <w:bottom w:val="nil"/>
              <w:right w:val="nil"/>
            </w:tcBorders>
            <w:vAlign w:val="bottom"/>
          </w:tcPr>
          <w:p w14:paraId="701F15EE"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4,709</w:t>
            </w:r>
          </w:p>
        </w:tc>
      </w:tr>
      <w:tr w:rsidR="00ED4203" w:rsidRPr="00E10730" w14:paraId="577965A8" w14:textId="77777777" w:rsidTr="00E10730">
        <w:trPr>
          <w:trHeight w:val="227"/>
        </w:trPr>
        <w:tc>
          <w:tcPr>
            <w:tcW w:w="4649" w:type="dxa"/>
            <w:tcBorders>
              <w:top w:val="nil"/>
              <w:left w:val="nil"/>
              <w:bottom w:val="nil"/>
              <w:right w:val="nil"/>
            </w:tcBorders>
            <w:vAlign w:val="bottom"/>
          </w:tcPr>
          <w:p w14:paraId="57D3AEB7" w14:textId="77777777" w:rsidR="00ED4203" w:rsidRPr="00E10730" w:rsidRDefault="00ED4203"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Cash used</w:t>
            </w:r>
          </w:p>
        </w:tc>
        <w:tc>
          <w:tcPr>
            <w:tcW w:w="1134" w:type="dxa"/>
            <w:tcBorders>
              <w:top w:val="nil"/>
              <w:left w:val="nil"/>
              <w:bottom w:val="nil"/>
              <w:right w:val="nil"/>
            </w:tcBorders>
            <w:vAlign w:val="bottom"/>
          </w:tcPr>
          <w:p w14:paraId="6EE285E8" w14:textId="77777777" w:rsidR="00ED4203" w:rsidRPr="00E10730" w:rsidRDefault="00ED4203"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vAlign w:val="bottom"/>
          </w:tcPr>
          <w:p w14:paraId="033816E9" w14:textId="77777777" w:rsidR="00ED4203" w:rsidRPr="00E10730" w:rsidRDefault="00ED4203"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vAlign w:val="bottom"/>
          </w:tcPr>
          <w:p w14:paraId="19D3A56A" w14:textId="77777777" w:rsidR="00ED4203" w:rsidRPr="00E10730" w:rsidRDefault="00ED4203"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vAlign w:val="bottom"/>
          </w:tcPr>
          <w:p w14:paraId="677D92E6" w14:textId="77777777" w:rsidR="00ED4203" w:rsidRPr="00E10730" w:rsidRDefault="00ED4203"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ED4203" w:rsidRPr="00E10730" w14:paraId="2682DA46" w14:textId="77777777" w:rsidTr="00E10730">
        <w:trPr>
          <w:trHeight w:val="227"/>
        </w:trPr>
        <w:tc>
          <w:tcPr>
            <w:tcW w:w="4649" w:type="dxa"/>
            <w:tcBorders>
              <w:top w:val="nil"/>
              <w:left w:val="nil"/>
              <w:bottom w:val="nil"/>
              <w:right w:val="nil"/>
            </w:tcBorders>
            <w:vAlign w:val="bottom"/>
          </w:tcPr>
          <w:p w14:paraId="673DD1A5" w14:textId="77777777" w:rsidR="00ED4203" w:rsidRPr="00E10730" w:rsidRDefault="00ED4203"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Principal payments of lease liabilities</w:t>
            </w:r>
          </w:p>
        </w:tc>
        <w:tc>
          <w:tcPr>
            <w:tcW w:w="1134" w:type="dxa"/>
            <w:tcBorders>
              <w:top w:val="nil"/>
              <w:left w:val="nil"/>
              <w:bottom w:val="nil"/>
              <w:right w:val="nil"/>
            </w:tcBorders>
            <w:vAlign w:val="bottom"/>
          </w:tcPr>
          <w:p w14:paraId="49A08B32" w14:textId="77777777" w:rsidR="00ED4203" w:rsidRPr="00E10730" w:rsidRDefault="00ED4203"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vAlign w:val="bottom"/>
          </w:tcPr>
          <w:p w14:paraId="2F08D85A" w14:textId="77777777" w:rsidR="00ED4203" w:rsidRPr="00E10730" w:rsidRDefault="00ED4203"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39,355</w:t>
            </w:r>
          </w:p>
        </w:tc>
        <w:tc>
          <w:tcPr>
            <w:tcW w:w="1097" w:type="dxa"/>
            <w:tcBorders>
              <w:top w:val="nil"/>
              <w:left w:val="nil"/>
              <w:bottom w:val="nil"/>
              <w:right w:val="nil"/>
            </w:tcBorders>
            <w:vAlign w:val="bottom"/>
          </w:tcPr>
          <w:p w14:paraId="0160D0B6"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37,646</w:t>
            </w:r>
          </w:p>
        </w:tc>
        <w:tc>
          <w:tcPr>
            <w:tcW w:w="1097" w:type="dxa"/>
            <w:tcBorders>
              <w:top w:val="nil"/>
              <w:left w:val="nil"/>
              <w:bottom w:val="nil"/>
              <w:right w:val="nil"/>
            </w:tcBorders>
            <w:vAlign w:val="bottom"/>
          </w:tcPr>
          <w:p w14:paraId="7A338BB0"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45,213</w:t>
            </w:r>
          </w:p>
        </w:tc>
      </w:tr>
      <w:tr w:rsidR="00ED4203" w:rsidRPr="00E10730" w14:paraId="2EDB8851" w14:textId="77777777" w:rsidTr="00E10730">
        <w:trPr>
          <w:trHeight w:val="227"/>
        </w:trPr>
        <w:tc>
          <w:tcPr>
            <w:tcW w:w="4649" w:type="dxa"/>
            <w:tcBorders>
              <w:top w:val="nil"/>
              <w:left w:val="nil"/>
              <w:bottom w:val="nil"/>
              <w:right w:val="nil"/>
            </w:tcBorders>
            <w:vAlign w:val="bottom"/>
          </w:tcPr>
          <w:p w14:paraId="04FC6DB3" w14:textId="77777777" w:rsidR="00ED4203" w:rsidRPr="00E10730" w:rsidRDefault="00ED4203"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cash used</w:t>
            </w:r>
          </w:p>
        </w:tc>
        <w:tc>
          <w:tcPr>
            <w:tcW w:w="1134" w:type="dxa"/>
            <w:tcBorders>
              <w:top w:val="nil"/>
              <w:left w:val="nil"/>
              <w:bottom w:val="nil"/>
              <w:right w:val="nil"/>
            </w:tcBorders>
            <w:vAlign w:val="bottom"/>
          </w:tcPr>
          <w:p w14:paraId="63091D54" w14:textId="77777777" w:rsidR="00ED4203" w:rsidRPr="00E10730" w:rsidRDefault="00ED4203"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vAlign w:val="bottom"/>
          </w:tcPr>
          <w:p w14:paraId="6FB70D48" w14:textId="77777777" w:rsidR="00ED4203" w:rsidRPr="00E10730" w:rsidRDefault="00ED4203"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39,355</w:t>
            </w:r>
          </w:p>
        </w:tc>
        <w:tc>
          <w:tcPr>
            <w:tcW w:w="1097" w:type="dxa"/>
            <w:tcBorders>
              <w:top w:val="single" w:sz="4" w:space="0" w:color="auto"/>
              <w:left w:val="nil"/>
              <w:bottom w:val="single" w:sz="4" w:space="0" w:color="auto"/>
              <w:right w:val="nil"/>
            </w:tcBorders>
            <w:vAlign w:val="bottom"/>
          </w:tcPr>
          <w:p w14:paraId="5C858754"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37,646</w:t>
            </w:r>
          </w:p>
        </w:tc>
        <w:tc>
          <w:tcPr>
            <w:tcW w:w="1097" w:type="dxa"/>
            <w:tcBorders>
              <w:top w:val="single" w:sz="4" w:space="0" w:color="auto"/>
              <w:left w:val="nil"/>
              <w:bottom w:val="single" w:sz="4" w:space="0" w:color="auto"/>
              <w:right w:val="nil"/>
            </w:tcBorders>
            <w:vAlign w:val="bottom"/>
          </w:tcPr>
          <w:p w14:paraId="09A58B3E"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45,213</w:t>
            </w:r>
          </w:p>
        </w:tc>
      </w:tr>
      <w:tr w:rsidR="00ED4203" w:rsidRPr="00E10730" w14:paraId="0D55FE76" w14:textId="77777777" w:rsidTr="00E10730">
        <w:trPr>
          <w:trHeight w:val="227"/>
        </w:trPr>
        <w:tc>
          <w:tcPr>
            <w:tcW w:w="4649" w:type="dxa"/>
            <w:tcBorders>
              <w:top w:val="nil"/>
              <w:left w:val="nil"/>
              <w:bottom w:val="nil"/>
              <w:right w:val="nil"/>
            </w:tcBorders>
            <w:vAlign w:val="bottom"/>
          </w:tcPr>
          <w:p w14:paraId="37094725" w14:textId="77777777" w:rsidR="00ED4203" w:rsidRPr="00E10730" w:rsidRDefault="00ED4203"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Net cash from / (used by) financing activities</w:t>
            </w:r>
          </w:p>
        </w:tc>
        <w:tc>
          <w:tcPr>
            <w:tcW w:w="1134" w:type="dxa"/>
            <w:tcBorders>
              <w:top w:val="nil"/>
              <w:left w:val="nil"/>
              <w:bottom w:val="nil"/>
              <w:right w:val="nil"/>
            </w:tcBorders>
            <w:vAlign w:val="bottom"/>
          </w:tcPr>
          <w:p w14:paraId="79FB275C" w14:textId="77777777" w:rsidR="00ED4203" w:rsidRPr="00E10730" w:rsidRDefault="00ED4203"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single" w:sz="4" w:space="0" w:color="auto"/>
              <w:right w:val="nil"/>
            </w:tcBorders>
            <w:vAlign w:val="bottom"/>
          </w:tcPr>
          <w:p w14:paraId="3321FB38" w14:textId="77777777" w:rsidR="00ED4203" w:rsidRPr="00E10730" w:rsidRDefault="00ED4203"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(34,646)</w:t>
            </w:r>
          </w:p>
        </w:tc>
        <w:tc>
          <w:tcPr>
            <w:tcW w:w="1097" w:type="dxa"/>
            <w:tcBorders>
              <w:top w:val="nil"/>
              <w:left w:val="nil"/>
              <w:bottom w:val="single" w:sz="4" w:space="0" w:color="auto"/>
              <w:right w:val="nil"/>
            </w:tcBorders>
            <w:vAlign w:val="bottom"/>
          </w:tcPr>
          <w:p w14:paraId="39AF647E"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(37,646)</w:t>
            </w:r>
          </w:p>
        </w:tc>
        <w:tc>
          <w:tcPr>
            <w:tcW w:w="1097" w:type="dxa"/>
            <w:tcBorders>
              <w:top w:val="nil"/>
              <w:left w:val="nil"/>
              <w:bottom w:val="single" w:sz="4" w:space="0" w:color="auto"/>
              <w:right w:val="nil"/>
            </w:tcBorders>
            <w:vAlign w:val="bottom"/>
          </w:tcPr>
          <w:p w14:paraId="18AF04C0"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(40,504)</w:t>
            </w:r>
          </w:p>
        </w:tc>
      </w:tr>
      <w:tr w:rsidR="00ED4203" w:rsidRPr="00E10730" w14:paraId="324CAA17" w14:textId="77777777" w:rsidTr="00E10730">
        <w:trPr>
          <w:trHeight w:val="227"/>
        </w:trPr>
        <w:tc>
          <w:tcPr>
            <w:tcW w:w="4649" w:type="dxa"/>
            <w:tcBorders>
              <w:top w:val="nil"/>
              <w:left w:val="nil"/>
              <w:bottom w:val="nil"/>
              <w:right w:val="nil"/>
            </w:tcBorders>
            <w:vAlign w:val="bottom"/>
          </w:tcPr>
          <w:p w14:paraId="370FBE00" w14:textId="77777777" w:rsidR="00ED4203" w:rsidRPr="00E10730" w:rsidRDefault="00ED4203"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c>
          <w:tcPr>
            <w:tcW w:w="1134" w:type="dxa"/>
            <w:tcBorders>
              <w:top w:val="nil"/>
              <w:left w:val="nil"/>
              <w:bottom w:val="nil"/>
              <w:right w:val="nil"/>
            </w:tcBorders>
            <w:vAlign w:val="bottom"/>
          </w:tcPr>
          <w:p w14:paraId="71F8C443" w14:textId="77777777" w:rsidR="00ED4203" w:rsidRPr="00E10730" w:rsidRDefault="00ED4203" w:rsidP="00115FA3">
            <w:pPr>
              <w:autoSpaceDE w:val="0"/>
              <w:autoSpaceDN w:val="0"/>
              <w:adjustRightInd w:val="0"/>
              <w:spacing w:after="0" w:line="240" w:lineRule="auto"/>
              <w:jc w:val="center"/>
              <w:rPr>
                <w:rFonts w:eastAsia="Calibri" w:cs="Arial"/>
                <w:color w:val="FFFFFF"/>
                <w:sz w:val="8"/>
                <w:szCs w:val="8"/>
              </w:rPr>
            </w:pPr>
            <w:r w:rsidRPr="00E10730">
              <w:rPr>
                <w:rFonts w:eastAsia="Calibri" w:cs="Arial"/>
                <w:color w:val="FFFFFF"/>
                <w:sz w:val="8"/>
                <w:szCs w:val="8"/>
              </w:rPr>
              <w:t>-</w:t>
            </w:r>
          </w:p>
        </w:tc>
        <w:tc>
          <w:tcPr>
            <w:tcW w:w="1097" w:type="dxa"/>
            <w:tcBorders>
              <w:top w:val="nil"/>
              <w:left w:val="nil"/>
              <w:bottom w:val="nil"/>
              <w:right w:val="nil"/>
            </w:tcBorders>
            <w:vAlign w:val="bottom"/>
          </w:tcPr>
          <w:p w14:paraId="6F8E3C5E" w14:textId="77777777" w:rsidR="00ED4203" w:rsidRPr="00E10730" w:rsidRDefault="00ED4203"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c>
          <w:tcPr>
            <w:tcW w:w="1097" w:type="dxa"/>
            <w:tcBorders>
              <w:top w:val="nil"/>
              <w:left w:val="nil"/>
              <w:bottom w:val="nil"/>
              <w:right w:val="nil"/>
            </w:tcBorders>
            <w:vAlign w:val="bottom"/>
          </w:tcPr>
          <w:p w14:paraId="3EAED012" w14:textId="77777777" w:rsidR="00ED4203" w:rsidRPr="00E10730" w:rsidRDefault="00ED4203"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c>
          <w:tcPr>
            <w:tcW w:w="1097" w:type="dxa"/>
            <w:tcBorders>
              <w:top w:val="nil"/>
              <w:left w:val="nil"/>
              <w:bottom w:val="nil"/>
              <w:right w:val="nil"/>
            </w:tcBorders>
            <w:vAlign w:val="bottom"/>
          </w:tcPr>
          <w:p w14:paraId="537107FF" w14:textId="77777777" w:rsidR="00ED4203" w:rsidRPr="00E10730" w:rsidRDefault="00ED4203" w:rsidP="00115FA3">
            <w:pPr>
              <w:autoSpaceDE w:val="0"/>
              <w:autoSpaceDN w:val="0"/>
              <w:adjustRightInd w:val="0"/>
              <w:spacing w:after="0" w:line="240" w:lineRule="auto"/>
              <w:rPr>
                <w:rFonts w:eastAsia="Calibri" w:cs="Arial"/>
                <w:color w:val="FFFFFF"/>
                <w:sz w:val="8"/>
                <w:szCs w:val="8"/>
              </w:rPr>
            </w:pPr>
            <w:r w:rsidRPr="00E10730">
              <w:rPr>
                <w:rFonts w:eastAsia="Calibri" w:cs="Arial"/>
                <w:color w:val="FFFFFF"/>
                <w:sz w:val="8"/>
                <w:szCs w:val="8"/>
              </w:rPr>
              <w:t>-</w:t>
            </w:r>
          </w:p>
        </w:tc>
      </w:tr>
      <w:tr w:rsidR="00ED4203" w:rsidRPr="00E10730" w14:paraId="12D1B548" w14:textId="77777777" w:rsidTr="00E10730">
        <w:trPr>
          <w:trHeight w:val="227"/>
        </w:trPr>
        <w:tc>
          <w:tcPr>
            <w:tcW w:w="4649" w:type="dxa"/>
            <w:tcBorders>
              <w:top w:val="nil"/>
              <w:left w:val="nil"/>
              <w:bottom w:val="nil"/>
              <w:right w:val="nil"/>
            </w:tcBorders>
            <w:vAlign w:val="bottom"/>
          </w:tcPr>
          <w:p w14:paraId="4225EFC6" w14:textId="77777777" w:rsidR="00ED4203" w:rsidRPr="00E10730" w:rsidRDefault="00ED4203"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Net increase / (decrease) in cash held</w:t>
            </w:r>
          </w:p>
        </w:tc>
        <w:tc>
          <w:tcPr>
            <w:tcW w:w="1134" w:type="dxa"/>
            <w:tcBorders>
              <w:top w:val="nil"/>
              <w:left w:val="nil"/>
              <w:bottom w:val="nil"/>
              <w:right w:val="nil"/>
            </w:tcBorders>
            <w:vAlign w:val="bottom"/>
          </w:tcPr>
          <w:p w14:paraId="446C5A58" w14:textId="77777777" w:rsidR="00ED4203" w:rsidRPr="00E10730" w:rsidRDefault="00ED4203"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single" w:sz="4" w:space="0" w:color="auto"/>
              <w:left w:val="nil"/>
              <w:bottom w:val="single" w:sz="4" w:space="0" w:color="auto"/>
              <w:right w:val="nil"/>
            </w:tcBorders>
            <w:vAlign w:val="bottom"/>
          </w:tcPr>
          <w:p w14:paraId="0BD2AC87" w14:textId="77777777" w:rsidR="00ED4203" w:rsidRPr="00E10730" w:rsidRDefault="00ED4203"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(173,152)</w:t>
            </w:r>
          </w:p>
        </w:tc>
        <w:tc>
          <w:tcPr>
            <w:tcW w:w="1097" w:type="dxa"/>
            <w:tcBorders>
              <w:top w:val="single" w:sz="4" w:space="0" w:color="auto"/>
              <w:left w:val="nil"/>
              <w:bottom w:val="single" w:sz="4" w:space="0" w:color="auto"/>
              <w:right w:val="nil"/>
            </w:tcBorders>
            <w:vAlign w:val="bottom"/>
          </w:tcPr>
          <w:p w14:paraId="2C316041" w14:textId="375AF983" w:rsidR="00ED4203" w:rsidRPr="00E10730" w:rsidRDefault="005B63C0"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(3,130,590)</w:t>
            </w:r>
          </w:p>
        </w:tc>
        <w:tc>
          <w:tcPr>
            <w:tcW w:w="1097" w:type="dxa"/>
            <w:tcBorders>
              <w:top w:val="single" w:sz="4" w:space="0" w:color="auto"/>
              <w:left w:val="nil"/>
              <w:bottom w:val="single" w:sz="4" w:space="0" w:color="auto"/>
              <w:right w:val="nil"/>
            </w:tcBorders>
            <w:vAlign w:val="bottom"/>
          </w:tcPr>
          <w:p w14:paraId="7D4673B4"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438,785</w:t>
            </w:r>
          </w:p>
        </w:tc>
      </w:tr>
      <w:tr w:rsidR="00ED4203" w:rsidRPr="00E10730" w14:paraId="0484FFC5" w14:textId="77777777" w:rsidTr="00E10730">
        <w:trPr>
          <w:trHeight w:val="227"/>
        </w:trPr>
        <w:tc>
          <w:tcPr>
            <w:tcW w:w="4649" w:type="dxa"/>
            <w:tcBorders>
              <w:top w:val="nil"/>
              <w:left w:val="nil"/>
              <w:bottom w:val="nil"/>
              <w:right w:val="nil"/>
            </w:tcBorders>
            <w:vAlign w:val="bottom"/>
          </w:tcPr>
          <w:p w14:paraId="12244C6C" w14:textId="77777777" w:rsidR="00ED4203" w:rsidRPr="00E10730" w:rsidRDefault="00ED4203" w:rsidP="00115FA3">
            <w:pPr>
              <w:autoSpaceDE w:val="0"/>
              <w:autoSpaceDN w:val="0"/>
              <w:adjustRightInd w:val="0"/>
              <w:spacing w:after="0" w:line="240" w:lineRule="auto"/>
              <w:ind w:left="181"/>
              <w:rPr>
                <w:rFonts w:eastAsia="Calibri" w:cs="Arial"/>
                <w:sz w:val="18"/>
                <w:szCs w:val="18"/>
              </w:rPr>
            </w:pPr>
            <w:r w:rsidRPr="00E10730">
              <w:rPr>
                <w:rFonts w:eastAsia="Calibri" w:cs="Arial"/>
                <w:sz w:val="18"/>
                <w:szCs w:val="18"/>
              </w:rPr>
              <w:t>Cash and cash equivalents at the beginning of the reporting period</w:t>
            </w:r>
          </w:p>
        </w:tc>
        <w:tc>
          <w:tcPr>
            <w:tcW w:w="1134" w:type="dxa"/>
            <w:tcBorders>
              <w:top w:val="nil"/>
              <w:left w:val="nil"/>
              <w:bottom w:val="nil"/>
              <w:right w:val="nil"/>
            </w:tcBorders>
            <w:vAlign w:val="bottom"/>
          </w:tcPr>
          <w:p w14:paraId="159486BB" w14:textId="77777777" w:rsidR="00ED4203" w:rsidRPr="00E10730" w:rsidRDefault="00ED4203" w:rsidP="00115FA3">
            <w:pPr>
              <w:autoSpaceDE w:val="0"/>
              <w:autoSpaceDN w:val="0"/>
              <w:adjustRightInd w:val="0"/>
              <w:spacing w:after="0" w:line="240" w:lineRule="auto"/>
              <w:jc w:val="center"/>
              <w:rPr>
                <w:rFonts w:eastAsia="Calibri" w:cs="Arial"/>
                <w:color w:val="FFFFFF"/>
                <w:sz w:val="18"/>
                <w:szCs w:val="18"/>
              </w:rPr>
            </w:pPr>
            <w:r w:rsidRPr="00E10730">
              <w:rPr>
                <w:rFonts w:eastAsia="Calibri" w:cs="Arial"/>
                <w:color w:val="FFFFFF"/>
                <w:sz w:val="18"/>
                <w:szCs w:val="18"/>
              </w:rPr>
              <w:t>-</w:t>
            </w:r>
          </w:p>
        </w:tc>
        <w:tc>
          <w:tcPr>
            <w:tcW w:w="1097" w:type="dxa"/>
            <w:tcBorders>
              <w:top w:val="nil"/>
              <w:left w:val="nil"/>
              <w:bottom w:val="nil"/>
              <w:right w:val="nil"/>
            </w:tcBorders>
            <w:vAlign w:val="bottom"/>
          </w:tcPr>
          <w:p w14:paraId="7E016FF3" w14:textId="6D350DBA" w:rsidR="00ED4203" w:rsidRPr="00E10730" w:rsidRDefault="00F64091"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2,528,958</w:t>
            </w:r>
          </w:p>
        </w:tc>
        <w:tc>
          <w:tcPr>
            <w:tcW w:w="1097" w:type="dxa"/>
            <w:tcBorders>
              <w:top w:val="nil"/>
              <w:left w:val="nil"/>
              <w:bottom w:val="nil"/>
              <w:right w:val="nil"/>
            </w:tcBorders>
            <w:vAlign w:val="bottom"/>
          </w:tcPr>
          <w:p w14:paraId="1830AA13"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5,659,548</w:t>
            </w:r>
          </w:p>
        </w:tc>
        <w:tc>
          <w:tcPr>
            <w:tcW w:w="1097" w:type="dxa"/>
            <w:tcBorders>
              <w:top w:val="nil"/>
              <w:left w:val="nil"/>
              <w:bottom w:val="nil"/>
              <w:right w:val="nil"/>
            </w:tcBorders>
            <w:vAlign w:val="bottom"/>
          </w:tcPr>
          <w:p w14:paraId="1DF96ADA"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5,881,786</w:t>
            </w:r>
          </w:p>
        </w:tc>
      </w:tr>
      <w:tr w:rsidR="00D865A0" w:rsidRPr="00E10730" w14:paraId="1DC61F89" w14:textId="77777777" w:rsidTr="00E10730">
        <w:trPr>
          <w:trHeight w:val="227"/>
        </w:trPr>
        <w:tc>
          <w:tcPr>
            <w:tcW w:w="4649" w:type="dxa"/>
            <w:tcBorders>
              <w:top w:val="nil"/>
              <w:left w:val="nil"/>
              <w:bottom w:val="nil"/>
              <w:right w:val="nil"/>
            </w:tcBorders>
            <w:vAlign w:val="bottom"/>
          </w:tcPr>
          <w:p w14:paraId="7BC7E75C" w14:textId="79BE5FB4" w:rsidR="00D865A0" w:rsidRPr="00E10730" w:rsidRDefault="00D865A0" w:rsidP="00115FA3">
            <w:pPr>
              <w:autoSpaceDE w:val="0"/>
              <w:autoSpaceDN w:val="0"/>
              <w:adjustRightInd w:val="0"/>
              <w:spacing w:before="120" w:after="0" w:line="240" w:lineRule="auto"/>
              <w:ind w:left="181"/>
              <w:rPr>
                <w:rFonts w:eastAsia="Calibri" w:cs="Arial"/>
                <w:sz w:val="18"/>
                <w:szCs w:val="18"/>
                <w:vertAlign w:val="superscript"/>
              </w:rPr>
            </w:pPr>
            <w:r w:rsidRPr="00E10730">
              <w:rPr>
                <w:rFonts w:eastAsia="Calibri" w:cs="Arial"/>
                <w:sz w:val="18"/>
                <w:szCs w:val="18"/>
              </w:rPr>
              <w:t>Opening Balance Adjustment – Term Deposits</w:t>
            </w:r>
            <w:r w:rsidRPr="00E10730">
              <w:rPr>
                <w:rFonts w:eastAsia="Calibri" w:cs="Arial"/>
                <w:sz w:val="18"/>
                <w:szCs w:val="18"/>
                <w:vertAlign w:val="superscript"/>
              </w:rPr>
              <w:t>2</w:t>
            </w:r>
          </w:p>
        </w:tc>
        <w:tc>
          <w:tcPr>
            <w:tcW w:w="1134" w:type="dxa"/>
            <w:tcBorders>
              <w:top w:val="nil"/>
              <w:left w:val="nil"/>
              <w:bottom w:val="nil"/>
              <w:right w:val="nil"/>
            </w:tcBorders>
            <w:vAlign w:val="bottom"/>
          </w:tcPr>
          <w:p w14:paraId="3F03A809" w14:textId="77777777" w:rsidR="00D865A0" w:rsidRPr="00E10730" w:rsidRDefault="00D865A0" w:rsidP="00115FA3">
            <w:pPr>
              <w:autoSpaceDE w:val="0"/>
              <w:autoSpaceDN w:val="0"/>
              <w:adjustRightInd w:val="0"/>
              <w:spacing w:after="0" w:line="240" w:lineRule="auto"/>
              <w:jc w:val="center"/>
              <w:rPr>
                <w:rFonts w:eastAsia="Calibri" w:cs="Arial"/>
                <w:sz w:val="18"/>
                <w:szCs w:val="18"/>
              </w:rPr>
            </w:pPr>
          </w:p>
        </w:tc>
        <w:tc>
          <w:tcPr>
            <w:tcW w:w="1097" w:type="dxa"/>
            <w:tcBorders>
              <w:top w:val="single" w:sz="4" w:space="0" w:color="auto"/>
              <w:left w:val="nil"/>
              <w:bottom w:val="single" w:sz="4" w:space="0" w:color="auto"/>
              <w:right w:val="nil"/>
            </w:tcBorders>
            <w:vAlign w:val="bottom"/>
          </w:tcPr>
          <w:p w14:paraId="0A52459A" w14:textId="575A734F" w:rsidR="00D865A0" w:rsidRPr="00E10730" w:rsidRDefault="00D865A0"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3,700,000</w:t>
            </w:r>
          </w:p>
        </w:tc>
        <w:tc>
          <w:tcPr>
            <w:tcW w:w="1097" w:type="dxa"/>
            <w:tcBorders>
              <w:top w:val="single" w:sz="4" w:space="0" w:color="auto"/>
              <w:left w:val="nil"/>
              <w:bottom w:val="single" w:sz="4" w:space="0" w:color="auto"/>
              <w:right w:val="nil"/>
            </w:tcBorders>
            <w:vAlign w:val="bottom"/>
          </w:tcPr>
          <w:p w14:paraId="1144E0BE" w14:textId="440687DF" w:rsidR="00D865A0" w:rsidRPr="00E10730" w:rsidRDefault="00D865A0"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c>
          <w:tcPr>
            <w:tcW w:w="1097" w:type="dxa"/>
            <w:tcBorders>
              <w:top w:val="single" w:sz="4" w:space="0" w:color="auto"/>
              <w:left w:val="nil"/>
              <w:bottom w:val="single" w:sz="4" w:space="0" w:color="auto"/>
              <w:right w:val="nil"/>
            </w:tcBorders>
            <w:vAlign w:val="bottom"/>
          </w:tcPr>
          <w:p w14:paraId="1A6E8A8E" w14:textId="49975E9D" w:rsidR="00D865A0" w:rsidRPr="00E10730" w:rsidRDefault="00D865A0"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r>
      <w:tr w:rsidR="00ED4203" w:rsidRPr="00E10730" w14:paraId="63583924" w14:textId="77777777" w:rsidTr="00E10730">
        <w:trPr>
          <w:trHeight w:val="510"/>
        </w:trPr>
        <w:tc>
          <w:tcPr>
            <w:tcW w:w="4649" w:type="dxa"/>
            <w:tcBorders>
              <w:top w:val="nil"/>
              <w:left w:val="nil"/>
              <w:bottom w:val="nil"/>
              <w:right w:val="nil"/>
            </w:tcBorders>
            <w:vAlign w:val="bottom"/>
          </w:tcPr>
          <w:p w14:paraId="7D54E27C" w14:textId="77777777" w:rsidR="00ED4203" w:rsidRPr="00E10730" w:rsidRDefault="00ED4203"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Cash and cash equivalents at the end of the reporting period</w:t>
            </w:r>
          </w:p>
        </w:tc>
        <w:tc>
          <w:tcPr>
            <w:tcW w:w="1134" w:type="dxa"/>
            <w:tcBorders>
              <w:top w:val="nil"/>
              <w:left w:val="nil"/>
              <w:bottom w:val="nil"/>
              <w:right w:val="nil"/>
            </w:tcBorders>
            <w:vAlign w:val="bottom"/>
          </w:tcPr>
          <w:p w14:paraId="3C81988C" w14:textId="77777777" w:rsidR="00ED4203" w:rsidRPr="00E10730" w:rsidRDefault="00ED4203"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2.1A</w:t>
            </w:r>
          </w:p>
        </w:tc>
        <w:tc>
          <w:tcPr>
            <w:tcW w:w="1097" w:type="dxa"/>
            <w:tcBorders>
              <w:top w:val="single" w:sz="4" w:space="0" w:color="auto"/>
              <w:left w:val="nil"/>
              <w:bottom w:val="single" w:sz="4" w:space="0" w:color="auto"/>
              <w:right w:val="nil"/>
            </w:tcBorders>
            <w:vAlign w:val="bottom"/>
          </w:tcPr>
          <w:p w14:paraId="52C6031B" w14:textId="77777777" w:rsidR="00ED4203" w:rsidRPr="00E10730" w:rsidRDefault="00ED4203"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6,055,806</w:t>
            </w:r>
          </w:p>
        </w:tc>
        <w:tc>
          <w:tcPr>
            <w:tcW w:w="1097" w:type="dxa"/>
            <w:tcBorders>
              <w:top w:val="single" w:sz="4" w:space="0" w:color="auto"/>
              <w:left w:val="nil"/>
              <w:bottom w:val="single" w:sz="4" w:space="0" w:color="auto"/>
              <w:right w:val="nil"/>
            </w:tcBorders>
            <w:vAlign w:val="bottom"/>
          </w:tcPr>
          <w:p w14:paraId="11721142" w14:textId="08C2354C" w:rsidR="00ED4203" w:rsidRPr="00E10730" w:rsidRDefault="00A43210"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2,528,958</w:t>
            </w:r>
          </w:p>
        </w:tc>
        <w:tc>
          <w:tcPr>
            <w:tcW w:w="1097" w:type="dxa"/>
            <w:tcBorders>
              <w:top w:val="single" w:sz="4" w:space="0" w:color="auto"/>
              <w:left w:val="nil"/>
              <w:bottom w:val="single" w:sz="4" w:space="0" w:color="auto"/>
              <w:right w:val="nil"/>
            </w:tcBorders>
            <w:vAlign w:val="bottom"/>
          </w:tcPr>
          <w:p w14:paraId="600CBA69" w14:textId="77777777" w:rsidR="00ED4203" w:rsidRPr="00E10730" w:rsidRDefault="00ED4203"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6,320,571</w:t>
            </w:r>
          </w:p>
        </w:tc>
      </w:tr>
    </w:tbl>
    <w:p w14:paraId="4A95029A" w14:textId="77777777" w:rsidR="005C6008" w:rsidRPr="00E10730" w:rsidRDefault="005C6008" w:rsidP="00D517E2">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The above statement should be read in conjunction with the accompanying notes.</w:t>
      </w:r>
    </w:p>
    <w:p w14:paraId="6395DFEA" w14:textId="346E3AE0" w:rsidR="00F901DF" w:rsidRPr="00E10730" w:rsidRDefault="005C6008" w:rsidP="00D517E2">
      <w:pPr>
        <w:autoSpaceDE w:val="0"/>
        <w:autoSpaceDN w:val="0"/>
        <w:adjustRightInd w:val="0"/>
        <w:spacing w:before="120" w:after="0" w:line="240" w:lineRule="auto"/>
        <w:rPr>
          <w:rFonts w:eastAsia="Calibri" w:cs="Arial"/>
          <w:sz w:val="18"/>
          <w:szCs w:val="18"/>
        </w:rPr>
      </w:pPr>
      <w:r w:rsidRPr="00E10730">
        <w:rPr>
          <w:rFonts w:eastAsia="Calibri" w:cs="Arial"/>
          <w:sz w:val="18"/>
          <w:szCs w:val="18"/>
          <w:vertAlign w:val="superscript"/>
        </w:rPr>
        <w:t>1</w:t>
      </w:r>
      <w:r w:rsidR="002332E9" w:rsidRPr="00E10730">
        <w:rPr>
          <w:rFonts w:eastAsia="Calibri" w:cs="Arial"/>
          <w:sz w:val="18"/>
          <w:szCs w:val="18"/>
          <w:vertAlign w:val="superscript"/>
        </w:rPr>
        <w:t xml:space="preserve"> </w:t>
      </w:r>
      <w:r w:rsidRPr="00E10730">
        <w:rPr>
          <w:rFonts w:eastAsia="Calibri" w:cs="Arial"/>
          <w:sz w:val="18"/>
          <w:szCs w:val="18"/>
        </w:rPr>
        <w:t>Original Budget refers to the figures published in the 2025</w:t>
      </w:r>
      <w:r w:rsidR="00916BE0" w:rsidRPr="00E10730">
        <w:rPr>
          <w:rFonts w:eastAsia="Calibri" w:cs="Arial"/>
          <w:sz w:val="18"/>
          <w:szCs w:val="18"/>
        </w:rPr>
        <w:t>–</w:t>
      </w:r>
      <w:r w:rsidRPr="00E10730">
        <w:rPr>
          <w:rFonts w:eastAsia="Calibri" w:cs="Arial"/>
          <w:sz w:val="18"/>
          <w:szCs w:val="18"/>
        </w:rPr>
        <w:t>26 Portfolio Budget Statements.</w:t>
      </w:r>
    </w:p>
    <w:p w14:paraId="18022517" w14:textId="130B5816" w:rsidR="003B68D2" w:rsidRPr="003B68D2" w:rsidRDefault="00A43210" w:rsidP="00D517E2">
      <w:pPr>
        <w:autoSpaceDE w:val="0"/>
        <w:autoSpaceDN w:val="0"/>
        <w:adjustRightInd w:val="0"/>
        <w:spacing w:before="120" w:after="0" w:line="240" w:lineRule="auto"/>
        <w:rPr>
          <w:sz w:val="18"/>
          <w:szCs w:val="18"/>
        </w:rPr>
      </w:pPr>
      <w:r w:rsidRPr="00E10730">
        <w:rPr>
          <w:rFonts w:eastAsia="Calibri" w:cs="Arial"/>
          <w:sz w:val="18"/>
          <w:szCs w:val="18"/>
          <w:vertAlign w:val="superscript"/>
        </w:rPr>
        <w:t>2</w:t>
      </w:r>
      <w:r w:rsidR="002332E9" w:rsidRPr="00E10730">
        <w:rPr>
          <w:rFonts w:eastAsia="Calibri" w:cs="Arial"/>
          <w:sz w:val="18"/>
          <w:szCs w:val="18"/>
          <w:vertAlign w:val="superscript"/>
        </w:rPr>
        <w:t xml:space="preserve"> </w:t>
      </w:r>
      <w:r w:rsidR="002332E9" w:rsidRPr="00E10730">
        <w:rPr>
          <w:rFonts w:eastAsia="Calibri" w:cs="Arial"/>
          <w:sz w:val="18"/>
          <w:szCs w:val="18"/>
        </w:rPr>
        <w:t>Total ‘Cash and cash equivalents at the end of the reporting period’ for FY 2024</w:t>
      </w:r>
      <w:r w:rsidR="009F075E" w:rsidRPr="00E10730">
        <w:rPr>
          <w:rFonts w:eastAsia="Calibri" w:cs="Arial"/>
          <w:sz w:val="18"/>
          <w:szCs w:val="18"/>
        </w:rPr>
        <w:t>–</w:t>
      </w:r>
      <w:r w:rsidR="002332E9" w:rsidRPr="00E10730">
        <w:rPr>
          <w:rFonts w:eastAsia="Calibri" w:cs="Arial"/>
          <w:sz w:val="18"/>
          <w:szCs w:val="18"/>
        </w:rPr>
        <w:t>25 of $2,529m reconciles to total ‘Cash and cash equivalents’ of $6,229m in Note 2.1A comprising ‘Cash on hand’ of $2,529m, and ‘Term Deposits’ of $3,700m, reported by the Agency in FY 2024</w:t>
      </w:r>
      <w:r w:rsidR="00D11F0E">
        <w:rPr>
          <w:rFonts w:eastAsia="Calibri" w:cs="Arial"/>
          <w:sz w:val="18"/>
          <w:szCs w:val="18"/>
        </w:rPr>
        <w:t>–</w:t>
      </w:r>
      <w:r w:rsidR="002332E9" w:rsidRPr="00E10730">
        <w:rPr>
          <w:rFonts w:eastAsia="Calibri" w:cs="Arial"/>
          <w:sz w:val="18"/>
          <w:szCs w:val="18"/>
        </w:rPr>
        <w:t>25. The FY 2025</w:t>
      </w:r>
      <w:r w:rsidR="009F075E" w:rsidRPr="00E10730">
        <w:rPr>
          <w:rFonts w:eastAsia="Calibri" w:cs="Arial"/>
          <w:sz w:val="18"/>
          <w:szCs w:val="18"/>
        </w:rPr>
        <w:t>–</w:t>
      </w:r>
      <w:r w:rsidR="002332E9" w:rsidRPr="00E10730">
        <w:rPr>
          <w:rFonts w:eastAsia="Calibri" w:cs="Arial"/>
          <w:sz w:val="18"/>
          <w:szCs w:val="18"/>
        </w:rPr>
        <w:t>26 Cash Flow Statement includes an ‘Opening Balance Adjustment – Term Deposits’ line item of $3,700m reflecting the inclusion in the cash flow statement balances ‘Cash and cash equivalents at the end of the reporting period’ of FY 2024</w:t>
      </w:r>
      <w:r w:rsidR="009F075E" w:rsidRPr="00E10730">
        <w:rPr>
          <w:rFonts w:eastAsia="Calibri" w:cs="Arial"/>
          <w:sz w:val="18"/>
          <w:szCs w:val="18"/>
        </w:rPr>
        <w:t>–</w:t>
      </w:r>
      <w:r w:rsidR="002332E9" w:rsidRPr="00E10730">
        <w:rPr>
          <w:rFonts w:eastAsia="Calibri" w:cs="Arial"/>
          <w:sz w:val="18"/>
          <w:szCs w:val="18"/>
        </w:rPr>
        <w:t>25 term deposits</w:t>
      </w:r>
      <w:r w:rsidR="00724A9C" w:rsidRPr="00E10730">
        <w:rPr>
          <w:rFonts w:eastAsia="Calibri" w:cs="Arial"/>
          <w:sz w:val="18"/>
          <w:szCs w:val="18"/>
        </w:rPr>
        <w:t>.</w:t>
      </w:r>
      <w:r w:rsidR="003B68D2" w:rsidRPr="003B68D2">
        <w:rPr>
          <w:sz w:val="18"/>
          <w:szCs w:val="18"/>
        </w:rPr>
        <w:br w:type="page"/>
      </w:r>
    </w:p>
    <w:p w14:paraId="5E1AA1F4" w14:textId="692A54BF" w:rsidR="005C6008" w:rsidRPr="00A60CBE" w:rsidRDefault="005C6008" w:rsidP="00115FA3">
      <w:pPr>
        <w:autoSpaceDE w:val="0"/>
        <w:autoSpaceDN w:val="0"/>
        <w:adjustRightInd w:val="0"/>
        <w:spacing w:before="80" w:after="0" w:line="240" w:lineRule="auto"/>
        <w:rPr>
          <w:rStyle w:val="Strong"/>
        </w:rPr>
      </w:pPr>
      <w:r w:rsidRPr="00A60CBE">
        <w:rPr>
          <w:rStyle w:val="Strong"/>
        </w:rPr>
        <w:t>National Disability Insurance Agency</w:t>
      </w:r>
    </w:p>
    <w:p w14:paraId="3EC3FEEF" w14:textId="77777777" w:rsidR="005C6008" w:rsidRPr="00A60CBE" w:rsidRDefault="005C6008" w:rsidP="00115FA3">
      <w:pPr>
        <w:autoSpaceDE w:val="0"/>
        <w:autoSpaceDN w:val="0"/>
        <w:adjustRightInd w:val="0"/>
        <w:spacing w:after="0" w:line="240" w:lineRule="auto"/>
        <w:rPr>
          <w:rStyle w:val="Strong"/>
        </w:rPr>
      </w:pPr>
      <w:r w:rsidRPr="00A60CBE">
        <w:rPr>
          <w:rStyle w:val="Strong"/>
        </w:rPr>
        <w:t>CASH FLOW STATEMENT</w:t>
      </w:r>
    </w:p>
    <w:p w14:paraId="0017E2E1" w14:textId="77777777" w:rsidR="005C6008" w:rsidRPr="00E10730" w:rsidRDefault="005C6008" w:rsidP="00115FA3">
      <w:pPr>
        <w:pBdr>
          <w:bottom w:val="single" w:sz="4" w:space="1" w:color="auto"/>
        </w:pBdr>
        <w:autoSpaceDE w:val="0"/>
        <w:autoSpaceDN w:val="0"/>
        <w:adjustRightInd w:val="0"/>
        <w:spacing w:after="0" w:line="240" w:lineRule="auto"/>
        <w:rPr>
          <w:rFonts w:eastAsia="Calibri" w:cs="Arial"/>
          <w:i/>
          <w:iCs/>
        </w:rPr>
      </w:pPr>
      <w:r w:rsidRPr="00E10730">
        <w:rPr>
          <w:rFonts w:eastAsia="Calibri" w:cs="Arial"/>
          <w:i/>
          <w:iCs/>
        </w:rPr>
        <w:t>for the year ended 30 June 2026</w:t>
      </w:r>
    </w:p>
    <w:p w14:paraId="2F67933A" w14:textId="77777777" w:rsidR="005C6008" w:rsidRPr="00A60CBE" w:rsidRDefault="005C6008" w:rsidP="00115FA3">
      <w:pPr>
        <w:autoSpaceDE w:val="0"/>
        <w:autoSpaceDN w:val="0"/>
        <w:adjustRightInd w:val="0"/>
        <w:spacing w:before="120" w:line="240" w:lineRule="auto"/>
        <w:rPr>
          <w:rStyle w:val="Strong"/>
          <w:sz w:val="18"/>
          <w:szCs w:val="18"/>
        </w:rPr>
      </w:pPr>
      <w:r w:rsidRPr="00A60CBE">
        <w:rPr>
          <w:rStyle w:val="Strong"/>
          <w:sz w:val="18"/>
          <w:szCs w:val="18"/>
        </w:rPr>
        <w:t xml:space="preserve">Budget Variances Commentary </w:t>
      </w:r>
    </w:p>
    <w:p w14:paraId="3387E879" w14:textId="77777777" w:rsidR="005C6008" w:rsidRPr="00A60CBE" w:rsidRDefault="005C6008" w:rsidP="00115FA3">
      <w:pPr>
        <w:autoSpaceDE w:val="0"/>
        <w:autoSpaceDN w:val="0"/>
        <w:adjustRightInd w:val="0"/>
        <w:spacing w:line="240" w:lineRule="auto"/>
        <w:rPr>
          <w:rStyle w:val="Strong"/>
          <w:sz w:val="18"/>
          <w:szCs w:val="18"/>
        </w:rPr>
      </w:pPr>
      <w:r w:rsidRPr="00A60CBE">
        <w:rPr>
          <w:rStyle w:val="Strong"/>
          <w:sz w:val="18"/>
          <w:szCs w:val="18"/>
        </w:rPr>
        <w:t>Cash Flow Statement</w:t>
      </w:r>
    </w:p>
    <w:p w14:paraId="7FEE273F" w14:textId="0419B8FE" w:rsidR="005C6008" w:rsidRPr="00E10730" w:rsidRDefault="005C6008" w:rsidP="00115FA3">
      <w:pPr>
        <w:autoSpaceDE w:val="0"/>
        <w:autoSpaceDN w:val="0"/>
        <w:adjustRightInd w:val="0"/>
        <w:spacing w:before="100" w:after="240" w:line="240" w:lineRule="auto"/>
        <w:rPr>
          <w:rFonts w:eastAsia="Calibri" w:cs="Arial"/>
          <w:sz w:val="18"/>
          <w:szCs w:val="18"/>
        </w:rPr>
      </w:pPr>
      <w:r w:rsidRPr="00E10730">
        <w:rPr>
          <w:rFonts w:eastAsia="Calibri" w:cs="Arial"/>
          <w:sz w:val="18"/>
          <w:szCs w:val="18"/>
        </w:rPr>
        <w:t>The following major variance explanations between the Original Budget as presented in the 2025</w:t>
      </w:r>
      <w:r w:rsidR="00916BE0" w:rsidRPr="00E10730">
        <w:rPr>
          <w:rFonts w:eastAsia="Calibri" w:cs="Arial"/>
          <w:sz w:val="18"/>
          <w:szCs w:val="18"/>
        </w:rPr>
        <w:t>–</w:t>
      </w:r>
      <w:r w:rsidRPr="00E10730">
        <w:rPr>
          <w:rFonts w:eastAsia="Calibri" w:cs="Arial"/>
          <w:sz w:val="18"/>
          <w:szCs w:val="18"/>
        </w:rPr>
        <w:t>26 Portfolio Budget Statements and the 2025</w:t>
      </w:r>
      <w:r w:rsidR="00916BE0" w:rsidRPr="00E10730">
        <w:rPr>
          <w:rFonts w:eastAsia="Calibri" w:cs="Arial"/>
          <w:sz w:val="18"/>
          <w:szCs w:val="18"/>
        </w:rPr>
        <w:t>–</w:t>
      </w:r>
      <w:r w:rsidRPr="00E10730">
        <w:rPr>
          <w:rFonts w:eastAsia="Calibri" w:cs="Arial"/>
          <w:sz w:val="18"/>
          <w:szCs w:val="18"/>
        </w:rPr>
        <w:t>26 financial statements are presented in accordance with Australian Accounting Standards. The 2025</w:t>
      </w:r>
      <w:r w:rsidR="00916BE0" w:rsidRPr="00E10730">
        <w:rPr>
          <w:rFonts w:eastAsia="Calibri" w:cs="Arial"/>
          <w:sz w:val="18"/>
          <w:szCs w:val="18"/>
        </w:rPr>
        <w:t>–</w:t>
      </w:r>
      <w:r w:rsidRPr="00E10730">
        <w:rPr>
          <w:rFonts w:eastAsia="Calibri" w:cs="Arial"/>
          <w:sz w:val="18"/>
          <w:szCs w:val="18"/>
        </w:rPr>
        <w:t>26 Portfolio Budget Statements contain the original financial statements’ budget estimates presented to Parliament in respect of the 2025</w:t>
      </w:r>
      <w:r w:rsidR="00916BE0" w:rsidRPr="00E10730">
        <w:rPr>
          <w:rFonts w:eastAsia="Calibri" w:cs="Arial"/>
          <w:sz w:val="18"/>
          <w:szCs w:val="18"/>
        </w:rPr>
        <w:t>–</w:t>
      </w:r>
      <w:r w:rsidRPr="00E10730">
        <w:rPr>
          <w:rFonts w:eastAsia="Calibri" w:cs="Arial"/>
          <w:sz w:val="18"/>
          <w:szCs w:val="18"/>
        </w:rPr>
        <w:t>26 financial year. The information presented below should be read in the context of the following:</w:t>
      </w:r>
    </w:p>
    <w:p w14:paraId="6E648C0D" w14:textId="77777777" w:rsidR="005C6008" w:rsidRPr="00E10730" w:rsidRDefault="005C6008" w:rsidP="00115FA3">
      <w:pPr>
        <w:pStyle w:val="Fiancialbullet"/>
        <w:spacing w:line="240" w:lineRule="auto"/>
        <w:rPr>
          <w:rFonts w:cs="Arial"/>
        </w:rPr>
      </w:pPr>
      <w:r w:rsidRPr="00E10730">
        <w:rPr>
          <w:rFonts w:cs="Arial"/>
        </w:rPr>
        <w:t>major variances are determined in accordance with Department of Finance guidelines;</w:t>
      </w:r>
    </w:p>
    <w:p w14:paraId="225DCBC8" w14:textId="77777777" w:rsidR="005C6008" w:rsidRPr="00E10730" w:rsidRDefault="005C6008" w:rsidP="00115FA3">
      <w:pPr>
        <w:pStyle w:val="Fiancialbullet"/>
        <w:spacing w:line="240" w:lineRule="auto"/>
        <w:rPr>
          <w:rFonts w:cs="Arial"/>
        </w:rPr>
      </w:pPr>
      <w:r w:rsidRPr="00E10730">
        <w:rPr>
          <w:rFonts w:cs="Arial"/>
        </w:rPr>
        <w:t>variances relating to cash flows are a result of the factors explained for net cost of services, assets, or liabilities variations. Unless otherwise individually significant, no additional commentary has been included; and</w:t>
      </w:r>
    </w:p>
    <w:p w14:paraId="035F7148" w14:textId="77777777" w:rsidR="005C6008" w:rsidRPr="00E10730" w:rsidRDefault="005C6008" w:rsidP="00115FA3">
      <w:pPr>
        <w:pStyle w:val="Fiancialbullet"/>
        <w:spacing w:line="240" w:lineRule="auto"/>
        <w:rPr>
          <w:rFonts w:cs="Arial"/>
        </w:rPr>
      </w:pPr>
      <w:r w:rsidRPr="00E10730">
        <w:rPr>
          <w:rFonts w:cs="Arial"/>
        </w:rPr>
        <w:t>the Budget is not audited.</w:t>
      </w:r>
    </w:p>
    <w:tbl>
      <w:tblPr>
        <w:tblW w:w="0" w:type="auto"/>
        <w:tblInd w:w="-15"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2273"/>
        <w:gridCol w:w="6804"/>
      </w:tblGrid>
      <w:tr w:rsidR="005C6008" w:rsidRPr="00E10730" w14:paraId="663493F7" w14:textId="77777777" w:rsidTr="009E53D7">
        <w:trPr>
          <w:trHeight w:val="340"/>
        </w:trPr>
        <w:tc>
          <w:tcPr>
            <w:tcW w:w="2273" w:type="dxa"/>
            <w:tcBorders>
              <w:top w:val="single" w:sz="8" w:space="0" w:color="auto"/>
              <w:bottom w:val="single" w:sz="8" w:space="0" w:color="auto"/>
              <w:right w:val="single" w:sz="8" w:space="0" w:color="auto"/>
            </w:tcBorders>
            <w:shd w:val="clear" w:color="FFFFFF" w:fill="FFFFFF"/>
            <w:vAlign w:val="center"/>
          </w:tcPr>
          <w:p w14:paraId="7F897E6A" w14:textId="77777777" w:rsidR="005C6008" w:rsidRPr="00E10730" w:rsidRDefault="005C6008" w:rsidP="00115FA3">
            <w:pPr>
              <w:autoSpaceDE w:val="0"/>
              <w:autoSpaceDN w:val="0"/>
              <w:adjustRightInd w:val="0"/>
              <w:spacing w:before="80" w:after="80" w:line="240" w:lineRule="auto"/>
              <w:rPr>
                <w:rFonts w:eastAsia="Calibri" w:cs="Arial"/>
                <w:b/>
                <w:bCs/>
                <w:sz w:val="18"/>
                <w:szCs w:val="18"/>
              </w:rPr>
            </w:pPr>
            <w:r w:rsidRPr="00E10730">
              <w:rPr>
                <w:rFonts w:eastAsia="Calibri" w:cs="Arial"/>
                <w:b/>
                <w:bCs/>
                <w:sz w:val="18"/>
                <w:szCs w:val="18"/>
              </w:rPr>
              <w:t>Affected line items</w:t>
            </w:r>
          </w:p>
        </w:tc>
        <w:tc>
          <w:tcPr>
            <w:tcW w:w="6804" w:type="dxa"/>
            <w:tcBorders>
              <w:top w:val="single" w:sz="8" w:space="0" w:color="auto"/>
              <w:left w:val="single" w:sz="8" w:space="0" w:color="auto"/>
              <w:bottom w:val="single" w:sz="8" w:space="0" w:color="auto"/>
            </w:tcBorders>
            <w:shd w:val="clear" w:color="FFFFFF" w:fill="FFFFFF"/>
            <w:vAlign w:val="center"/>
          </w:tcPr>
          <w:p w14:paraId="58C3AF9A" w14:textId="77777777" w:rsidR="005C6008" w:rsidRPr="00E10730" w:rsidRDefault="005C6008" w:rsidP="00115FA3">
            <w:pPr>
              <w:autoSpaceDE w:val="0"/>
              <w:autoSpaceDN w:val="0"/>
              <w:adjustRightInd w:val="0"/>
              <w:spacing w:before="80" w:after="80" w:line="240" w:lineRule="auto"/>
              <w:rPr>
                <w:rFonts w:eastAsia="Calibri" w:cs="Arial"/>
                <w:b/>
                <w:bCs/>
                <w:sz w:val="18"/>
                <w:szCs w:val="18"/>
              </w:rPr>
            </w:pPr>
            <w:r w:rsidRPr="00E10730">
              <w:rPr>
                <w:rFonts w:eastAsia="Calibri" w:cs="Arial"/>
                <w:b/>
                <w:bCs/>
                <w:sz w:val="18"/>
                <w:szCs w:val="18"/>
              </w:rPr>
              <w:t>Explanations of major variances</w:t>
            </w:r>
          </w:p>
        </w:tc>
      </w:tr>
      <w:tr w:rsidR="005C6008" w:rsidRPr="00E10730" w14:paraId="2779B043" w14:textId="77777777" w:rsidTr="00E67EFC">
        <w:trPr>
          <w:trHeight w:val="283"/>
        </w:trPr>
        <w:tc>
          <w:tcPr>
            <w:tcW w:w="2273" w:type="dxa"/>
            <w:tcBorders>
              <w:top w:val="single" w:sz="8" w:space="0" w:color="auto"/>
              <w:bottom w:val="single" w:sz="8" w:space="0" w:color="auto"/>
              <w:right w:val="single" w:sz="8" w:space="0" w:color="auto"/>
            </w:tcBorders>
          </w:tcPr>
          <w:p w14:paraId="0A1D4F96"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Operating Activities – Cash Received</w:t>
            </w:r>
          </w:p>
          <w:p w14:paraId="2182F3B4"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Interest Received</w:t>
            </w:r>
          </w:p>
        </w:tc>
        <w:tc>
          <w:tcPr>
            <w:tcW w:w="6804" w:type="dxa"/>
            <w:tcBorders>
              <w:top w:val="single" w:sz="8" w:space="0" w:color="auto"/>
              <w:left w:val="single" w:sz="8" w:space="0" w:color="auto"/>
              <w:bottom w:val="single" w:sz="8" w:space="0" w:color="auto"/>
            </w:tcBorders>
          </w:tcPr>
          <w:p w14:paraId="37CBFB6F"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variance to the Original Budget reflects higher than anticipated interest revenue receipts from Cash at Bank and Term Deposit balances.</w:t>
            </w:r>
          </w:p>
        </w:tc>
      </w:tr>
      <w:tr w:rsidR="005C6008" w:rsidRPr="00E10730" w14:paraId="7B803E27" w14:textId="77777777" w:rsidTr="00E67EFC">
        <w:trPr>
          <w:trHeight w:val="283"/>
        </w:trPr>
        <w:tc>
          <w:tcPr>
            <w:tcW w:w="2273" w:type="dxa"/>
            <w:tcBorders>
              <w:top w:val="single" w:sz="8" w:space="0" w:color="auto"/>
              <w:bottom w:val="single" w:sz="8" w:space="0" w:color="auto"/>
              <w:right w:val="single" w:sz="8" w:space="0" w:color="auto"/>
            </w:tcBorders>
          </w:tcPr>
          <w:p w14:paraId="026BB324"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Operating Activities – Cash Received</w:t>
            </w:r>
          </w:p>
          <w:p w14:paraId="78C4136A"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GST Received</w:t>
            </w:r>
          </w:p>
        </w:tc>
        <w:tc>
          <w:tcPr>
            <w:tcW w:w="6804" w:type="dxa"/>
            <w:tcBorders>
              <w:top w:val="single" w:sz="8" w:space="0" w:color="auto"/>
              <w:left w:val="single" w:sz="8" w:space="0" w:color="auto"/>
              <w:bottom w:val="single" w:sz="8" w:space="0" w:color="auto"/>
            </w:tcBorders>
          </w:tcPr>
          <w:p w14:paraId="1529B137"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variance to the Original Budget reflects higher than anticipated net GST Refunds driven by timing of payments to Suppliers.</w:t>
            </w:r>
          </w:p>
        </w:tc>
      </w:tr>
      <w:tr w:rsidR="005C6008" w:rsidRPr="00E10730" w14:paraId="5051EC86" w14:textId="77777777" w:rsidTr="00E67EFC">
        <w:trPr>
          <w:trHeight w:val="283"/>
        </w:trPr>
        <w:tc>
          <w:tcPr>
            <w:tcW w:w="2273" w:type="dxa"/>
            <w:tcBorders>
              <w:top w:val="single" w:sz="8" w:space="0" w:color="auto"/>
              <w:bottom w:val="single" w:sz="8" w:space="0" w:color="auto"/>
              <w:right w:val="single" w:sz="8" w:space="0" w:color="auto"/>
            </w:tcBorders>
          </w:tcPr>
          <w:p w14:paraId="01DD60B2"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Operating Activities – Cash Received</w:t>
            </w:r>
          </w:p>
          <w:p w14:paraId="24D35054"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Cash Received Other</w:t>
            </w:r>
          </w:p>
        </w:tc>
        <w:tc>
          <w:tcPr>
            <w:tcW w:w="6804" w:type="dxa"/>
            <w:tcBorders>
              <w:top w:val="single" w:sz="8" w:space="0" w:color="auto"/>
              <w:left w:val="single" w:sz="8" w:space="0" w:color="auto"/>
              <w:bottom w:val="single" w:sz="8" w:space="0" w:color="auto"/>
            </w:tcBorders>
          </w:tcPr>
          <w:p w14:paraId="59BD5AD1"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variance to Original Budget is largely attributable to an increase in compensation receipts from Participants. This increase was not anticipated in the original budget, as compensation receipts are inherently variable and fluctuate on a case-by-case basis, making budgeting difficult.</w:t>
            </w:r>
          </w:p>
        </w:tc>
      </w:tr>
      <w:tr w:rsidR="005C6008" w:rsidRPr="00E10730" w14:paraId="37AFB339" w14:textId="77777777" w:rsidTr="00E67EFC">
        <w:trPr>
          <w:trHeight w:val="283"/>
        </w:trPr>
        <w:tc>
          <w:tcPr>
            <w:tcW w:w="2273" w:type="dxa"/>
            <w:tcBorders>
              <w:top w:val="single" w:sz="8" w:space="0" w:color="auto"/>
              <w:bottom w:val="single" w:sz="8" w:space="0" w:color="auto"/>
              <w:right w:val="single" w:sz="8" w:space="0" w:color="auto"/>
            </w:tcBorders>
          </w:tcPr>
          <w:p w14:paraId="71EBC065"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Operating Activities – Cash Used</w:t>
            </w:r>
          </w:p>
          <w:p w14:paraId="7C40DC39"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Employee Benefits</w:t>
            </w:r>
          </w:p>
        </w:tc>
        <w:tc>
          <w:tcPr>
            <w:tcW w:w="6804" w:type="dxa"/>
            <w:tcBorders>
              <w:top w:val="single" w:sz="8" w:space="0" w:color="auto"/>
              <w:left w:val="single" w:sz="8" w:space="0" w:color="auto"/>
              <w:bottom w:val="single" w:sz="8" w:space="0" w:color="auto"/>
            </w:tcBorders>
          </w:tcPr>
          <w:p w14:paraId="5F4D6886"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variance to Original Budget is largely attributable to higher than expected staff payments due to increases throughout the year to APS staffing numbers. The Agency has sought to prioritise recruitment activity towards APS employees under the Government’s Strategic Commissioning Framework.</w:t>
            </w:r>
          </w:p>
        </w:tc>
      </w:tr>
      <w:tr w:rsidR="005C6008" w:rsidRPr="00E10730" w14:paraId="30B2D00C" w14:textId="77777777" w:rsidTr="00E67EFC">
        <w:trPr>
          <w:trHeight w:val="283"/>
        </w:trPr>
        <w:tc>
          <w:tcPr>
            <w:tcW w:w="2273" w:type="dxa"/>
            <w:tcBorders>
              <w:top w:val="single" w:sz="8" w:space="0" w:color="auto"/>
              <w:bottom w:val="single" w:sz="8" w:space="0" w:color="auto"/>
              <w:right w:val="single" w:sz="8" w:space="0" w:color="auto"/>
            </w:tcBorders>
          </w:tcPr>
          <w:p w14:paraId="6A7B63AD"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Operating Activities – Cash Used</w:t>
            </w:r>
          </w:p>
          <w:p w14:paraId="1AABD91D"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Interest Payments on Lease Liabilities</w:t>
            </w:r>
          </w:p>
        </w:tc>
        <w:tc>
          <w:tcPr>
            <w:tcW w:w="6804" w:type="dxa"/>
            <w:tcBorders>
              <w:top w:val="single" w:sz="8" w:space="0" w:color="auto"/>
              <w:left w:val="single" w:sz="8" w:space="0" w:color="auto"/>
              <w:bottom w:val="single" w:sz="8" w:space="0" w:color="auto"/>
            </w:tcBorders>
          </w:tcPr>
          <w:p w14:paraId="4DB4EB47"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variance to the Original Budget is due to a combination of new, and extensions of existing, Right of Use Building leases that have resulted in higher interest payments on the Agency’s asset leases.</w:t>
            </w:r>
          </w:p>
        </w:tc>
      </w:tr>
      <w:tr w:rsidR="005C6008" w:rsidRPr="00E10730" w14:paraId="14D246F8" w14:textId="77777777" w:rsidTr="00E67EFC">
        <w:trPr>
          <w:trHeight w:val="283"/>
        </w:trPr>
        <w:tc>
          <w:tcPr>
            <w:tcW w:w="2273" w:type="dxa"/>
            <w:tcBorders>
              <w:top w:val="single" w:sz="8" w:space="0" w:color="auto"/>
              <w:bottom w:val="single" w:sz="8" w:space="0" w:color="auto"/>
              <w:right w:val="single" w:sz="8" w:space="0" w:color="auto"/>
            </w:tcBorders>
          </w:tcPr>
          <w:p w14:paraId="56E41A40"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Investing Activities – Cash Used</w:t>
            </w:r>
          </w:p>
          <w:p w14:paraId="07CFE471" w14:textId="17659C16"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 xml:space="preserve">Purchase of property, </w:t>
            </w:r>
            <w:r w:rsidR="003E4B7C">
              <w:rPr>
                <w:rFonts w:eastAsia="Calibri" w:cs="Arial"/>
                <w:sz w:val="18"/>
                <w:szCs w:val="18"/>
              </w:rPr>
              <w:t>p</w:t>
            </w:r>
            <w:r w:rsidRPr="00E10730">
              <w:rPr>
                <w:rFonts w:eastAsia="Calibri" w:cs="Arial"/>
                <w:sz w:val="18"/>
                <w:szCs w:val="18"/>
              </w:rPr>
              <w:t xml:space="preserve">lant </w:t>
            </w:r>
            <w:r w:rsidR="00894995" w:rsidRPr="00E10730">
              <w:rPr>
                <w:rFonts w:eastAsia="Calibri" w:cs="Arial"/>
                <w:sz w:val="18"/>
                <w:szCs w:val="18"/>
              </w:rPr>
              <w:t>and</w:t>
            </w:r>
            <w:r w:rsidRPr="00E10730">
              <w:rPr>
                <w:rFonts w:eastAsia="Calibri" w:cs="Arial"/>
                <w:sz w:val="18"/>
                <w:szCs w:val="18"/>
              </w:rPr>
              <w:t xml:space="preserve"> equipment</w:t>
            </w:r>
          </w:p>
        </w:tc>
        <w:tc>
          <w:tcPr>
            <w:tcW w:w="6804" w:type="dxa"/>
            <w:tcBorders>
              <w:top w:val="single" w:sz="8" w:space="0" w:color="auto"/>
              <w:left w:val="single" w:sz="8" w:space="0" w:color="auto"/>
              <w:bottom w:val="single" w:sz="8" w:space="0" w:color="auto"/>
            </w:tcBorders>
          </w:tcPr>
          <w:p w14:paraId="4D7B78B3"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variance to Original Budget is largely attributable to a higher than expected cash outflow for capital purchases in relation to building leases and the capitalisation of internally developed software.</w:t>
            </w:r>
          </w:p>
        </w:tc>
      </w:tr>
      <w:tr w:rsidR="005C6008" w:rsidRPr="00E10730" w14:paraId="4E0B6845" w14:textId="77777777" w:rsidTr="00E67EFC">
        <w:trPr>
          <w:trHeight w:val="283"/>
        </w:trPr>
        <w:tc>
          <w:tcPr>
            <w:tcW w:w="2273" w:type="dxa"/>
            <w:tcBorders>
              <w:top w:val="single" w:sz="8" w:space="0" w:color="auto"/>
              <w:bottom w:val="single" w:sz="8" w:space="0" w:color="auto"/>
              <w:right w:val="single" w:sz="8" w:space="0" w:color="auto"/>
            </w:tcBorders>
          </w:tcPr>
          <w:p w14:paraId="61F946B3"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Financing Activities – Cash Used</w:t>
            </w:r>
          </w:p>
          <w:p w14:paraId="331A1A1E" w14:textId="77777777"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Principal payments of lease liabilities</w:t>
            </w:r>
          </w:p>
        </w:tc>
        <w:tc>
          <w:tcPr>
            <w:tcW w:w="6804" w:type="dxa"/>
            <w:tcBorders>
              <w:top w:val="single" w:sz="8" w:space="0" w:color="auto"/>
              <w:left w:val="single" w:sz="8" w:space="0" w:color="auto"/>
              <w:bottom w:val="single" w:sz="8" w:space="0" w:color="auto"/>
            </w:tcBorders>
          </w:tcPr>
          <w:p w14:paraId="0B68C99E" w14:textId="7FCA269F" w:rsidR="005C6008" w:rsidRPr="00E10730" w:rsidRDefault="005C6008" w:rsidP="00115FA3">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The variance to Original Budget is largely attributable to lease incentives received in 2025</w:t>
            </w:r>
            <w:r w:rsidR="00916BE0" w:rsidRPr="00E10730">
              <w:rPr>
                <w:rFonts w:eastAsia="Calibri" w:cs="Arial"/>
                <w:sz w:val="18"/>
                <w:szCs w:val="18"/>
              </w:rPr>
              <w:t>–</w:t>
            </w:r>
            <w:r w:rsidRPr="00E10730">
              <w:rPr>
                <w:rFonts w:eastAsia="Calibri" w:cs="Arial"/>
                <w:sz w:val="18"/>
                <w:szCs w:val="18"/>
              </w:rPr>
              <w:t>26 contributing to a reduction in principal lease repayments.</w:t>
            </w:r>
          </w:p>
        </w:tc>
      </w:tr>
    </w:tbl>
    <w:p w14:paraId="26AC0FE9" w14:textId="77777777" w:rsidR="005C6008" w:rsidRPr="00E10730" w:rsidRDefault="005C6008" w:rsidP="00115FA3">
      <w:pPr>
        <w:autoSpaceDE w:val="0"/>
        <w:autoSpaceDN w:val="0"/>
        <w:adjustRightInd w:val="0"/>
        <w:spacing w:after="0" w:line="240" w:lineRule="auto"/>
        <w:rPr>
          <w:rFonts w:eastAsia="Calibri" w:cs="Arial"/>
          <w:sz w:val="18"/>
          <w:szCs w:val="18"/>
        </w:rPr>
      </w:pPr>
    </w:p>
    <w:p w14:paraId="31EB2640" w14:textId="77777777" w:rsidR="005C6008" w:rsidRPr="00E10730" w:rsidRDefault="005C6008" w:rsidP="00115FA3">
      <w:pPr>
        <w:pBdr>
          <w:bottom w:val="single" w:sz="4" w:space="1" w:color="auto"/>
        </w:pBdr>
        <w:autoSpaceDE w:val="0"/>
        <w:autoSpaceDN w:val="0"/>
        <w:adjustRightInd w:val="0"/>
        <w:spacing w:after="0" w:line="240" w:lineRule="auto"/>
        <w:rPr>
          <w:rFonts w:eastAsia="Calibri" w:cs="Arial"/>
          <w:b/>
          <w:bCs/>
        </w:rPr>
        <w:sectPr w:rsidR="005C6008" w:rsidRPr="00E10730" w:rsidSect="00EB1047">
          <w:headerReference w:type="default" r:id="rId70"/>
          <w:footerReference w:type="default" r:id="rId71"/>
          <w:pgSz w:w="11906" w:h="16838" w:code="9"/>
          <w:pgMar w:top="1247" w:right="1701" w:bottom="1247" w:left="1134" w:header="510" w:footer="454" w:gutter="0"/>
          <w:cols w:space="720"/>
          <w:noEndnote/>
          <w:docGrid w:linePitch="326"/>
        </w:sectPr>
      </w:pPr>
    </w:p>
    <w:p w14:paraId="25273F77"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National Disability Insurance Agency</w:t>
      </w:r>
    </w:p>
    <w:p w14:paraId="6DBA8661"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NOTES TO AND FORMING PART OF THE FINANCIAL STATEMENTS</w:t>
      </w:r>
    </w:p>
    <w:p w14:paraId="27C22263" w14:textId="77777777" w:rsidR="005C6008" w:rsidRPr="00E10730" w:rsidRDefault="005C6008" w:rsidP="00115FA3">
      <w:pPr>
        <w:tabs>
          <w:tab w:val="left" w:pos="9214"/>
        </w:tabs>
        <w:autoSpaceDE w:val="0"/>
        <w:autoSpaceDN w:val="0"/>
        <w:adjustRightInd w:val="0"/>
        <w:spacing w:before="120" w:after="220" w:line="240" w:lineRule="auto"/>
        <w:rPr>
          <w:rFonts w:eastAsia="Calibri" w:cs="Arial"/>
          <w:b/>
          <w:bCs/>
          <w:sz w:val="18"/>
          <w:szCs w:val="18"/>
          <w:u w:val="single"/>
        </w:rPr>
      </w:pPr>
      <w:r w:rsidRPr="00E10730">
        <w:rPr>
          <w:rFonts w:eastAsia="Calibri" w:cs="Arial"/>
          <w:b/>
          <w:bCs/>
          <w:sz w:val="18"/>
          <w:szCs w:val="18"/>
          <w:u w:val="single"/>
        </w:rPr>
        <w:t>Table of Contents</w:t>
      </w:r>
    </w:p>
    <w:p w14:paraId="0E015A63" w14:textId="77777777" w:rsidR="00E40CAE" w:rsidRPr="00E10730" w:rsidRDefault="00E40CAE" w:rsidP="00E40CAE">
      <w:pPr>
        <w:tabs>
          <w:tab w:val="right" w:pos="9072"/>
        </w:tabs>
        <w:autoSpaceDE w:val="0"/>
        <w:autoSpaceDN w:val="0"/>
        <w:adjustRightInd w:val="0"/>
        <w:spacing w:before="180" w:after="180" w:line="240" w:lineRule="auto"/>
        <w:rPr>
          <w:rFonts w:eastAsia="Calibri" w:cs="Arial"/>
          <w:b/>
          <w:bCs/>
          <w:kern w:val="2"/>
        </w:rPr>
      </w:pPr>
      <w:r w:rsidRPr="00E10730">
        <w:rPr>
          <w:rFonts w:eastAsia="Calibri" w:cs="Arial"/>
          <w:b/>
          <w:bCs/>
          <w:color w:val="000000"/>
          <w:sz w:val="18"/>
          <w:szCs w:val="18"/>
        </w:rPr>
        <w:t>Overview</w:t>
      </w:r>
      <w:r w:rsidRPr="00E10730">
        <w:rPr>
          <w:rFonts w:eastAsia="Calibri" w:cs="Arial"/>
          <w:b/>
          <w:bCs/>
          <w:color w:val="000000"/>
          <w:sz w:val="18"/>
          <w:szCs w:val="18"/>
        </w:rPr>
        <w:tab/>
        <w:t>1</w:t>
      </w:r>
      <w:r>
        <w:rPr>
          <w:rFonts w:eastAsia="Calibri" w:cs="Arial"/>
          <w:b/>
          <w:bCs/>
          <w:color w:val="000000"/>
          <w:sz w:val="18"/>
          <w:szCs w:val="18"/>
        </w:rPr>
        <w:t>17</w:t>
      </w:r>
    </w:p>
    <w:p w14:paraId="64F53D16" w14:textId="77777777" w:rsidR="00E40CAE" w:rsidRPr="00E10730" w:rsidRDefault="00E40CAE" w:rsidP="00E40CAE">
      <w:pPr>
        <w:tabs>
          <w:tab w:val="left" w:pos="851"/>
          <w:tab w:val="right" w:pos="9072"/>
        </w:tabs>
        <w:autoSpaceDE w:val="0"/>
        <w:autoSpaceDN w:val="0"/>
        <w:adjustRightInd w:val="0"/>
        <w:spacing w:before="180" w:after="180" w:line="240" w:lineRule="auto"/>
        <w:ind w:left="284" w:hanging="284"/>
        <w:rPr>
          <w:rFonts w:eastAsia="Calibri" w:cs="Arial"/>
          <w:b/>
          <w:bCs/>
          <w:kern w:val="2"/>
        </w:rPr>
      </w:pPr>
      <w:r w:rsidRPr="00E10730">
        <w:rPr>
          <w:rFonts w:eastAsia="Calibri" w:cs="Arial"/>
          <w:b/>
          <w:bCs/>
          <w:color w:val="000000"/>
          <w:sz w:val="18"/>
          <w:szCs w:val="18"/>
        </w:rPr>
        <w:t>1.</w:t>
      </w:r>
      <w:r w:rsidRPr="00E10730">
        <w:rPr>
          <w:rFonts w:eastAsia="Calibri" w:cs="Arial"/>
          <w:b/>
          <w:bCs/>
          <w:color w:val="000000"/>
          <w:sz w:val="18"/>
          <w:szCs w:val="18"/>
        </w:rPr>
        <w:tab/>
        <w:t>Financial Performance</w:t>
      </w:r>
      <w:r w:rsidRPr="00E10730">
        <w:rPr>
          <w:rFonts w:eastAsia="Calibri" w:cs="Arial"/>
          <w:b/>
          <w:bCs/>
          <w:color w:val="000000"/>
          <w:sz w:val="18"/>
          <w:szCs w:val="18"/>
        </w:rPr>
        <w:tab/>
        <w:t>1</w:t>
      </w:r>
      <w:r>
        <w:rPr>
          <w:rFonts w:eastAsia="Calibri" w:cs="Arial"/>
          <w:b/>
          <w:bCs/>
          <w:color w:val="000000"/>
          <w:sz w:val="18"/>
          <w:szCs w:val="18"/>
        </w:rPr>
        <w:t>18</w:t>
      </w:r>
    </w:p>
    <w:p w14:paraId="2F356CE1" w14:textId="77777777" w:rsidR="00E40CAE" w:rsidRPr="00E10730" w:rsidRDefault="00E40CAE" w:rsidP="00E40CAE">
      <w:pPr>
        <w:tabs>
          <w:tab w:val="left" w:pos="851"/>
          <w:tab w:val="right" w:pos="9072"/>
        </w:tabs>
        <w:autoSpaceDE w:val="0"/>
        <w:autoSpaceDN w:val="0"/>
        <w:adjustRightInd w:val="0"/>
        <w:spacing w:before="180" w:after="180" w:line="240" w:lineRule="auto"/>
        <w:ind w:left="284"/>
        <w:rPr>
          <w:rFonts w:eastAsia="Calibri" w:cs="Arial"/>
          <w:kern w:val="2"/>
        </w:rPr>
      </w:pPr>
      <w:r w:rsidRPr="00E10730">
        <w:rPr>
          <w:rFonts w:eastAsia="Calibri" w:cs="Arial"/>
          <w:sz w:val="18"/>
          <w:szCs w:val="18"/>
        </w:rPr>
        <w:t>1.1.</w:t>
      </w:r>
      <w:r w:rsidRPr="00E10730">
        <w:rPr>
          <w:rFonts w:eastAsia="Calibri" w:cs="Arial"/>
          <w:kern w:val="2"/>
        </w:rPr>
        <w:tab/>
      </w:r>
      <w:r w:rsidRPr="00E10730">
        <w:rPr>
          <w:rFonts w:eastAsia="Calibri" w:cs="Arial"/>
          <w:sz w:val="18"/>
          <w:szCs w:val="18"/>
        </w:rPr>
        <w:t>Expenses</w:t>
      </w:r>
      <w:r w:rsidRPr="00E10730">
        <w:rPr>
          <w:rFonts w:eastAsia="Calibri" w:cs="Arial"/>
          <w:sz w:val="18"/>
          <w:szCs w:val="18"/>
        </w:rPr>
        <w:tab/>
        <w:t>1</w:t>
      </w:r>
      <w:r>
        <w:rPr>
          <w:rFonts w:eastAsia="Calibri" w:cs="Arial"/>
          <w:sz w:val="18"/>
          <w:szCs w:val="18"/>
        </w:rPr>
        <w:t>18</w:t>
      </w:r>
    </w:p>
    <w:p w14:paraId="2F9EBF31" w14:textId="77777777" w:rsidR="00E40CAE" w:rsidRPr="00E10730" w:rsidRDefault="00E40CAE" w:rsidP="00E40CAE">
      <w:pPr>
        <w:tabs>
          <w:tab w:val="left" w:pos="851"/>
          <w:tab w:val="right" w:pos="9072"/>
        </w:tabs>
        <w:autoSpaceDE w:val="0"/>
        <w:autoSpaceDN w:val="0"/>
        <w:adjustRightInd w:val="0"/>
        <w:spacing w:before="180" w:after="180" w:line="240" w:lineRule="auto"/>
        <w:ind w:left="284"/>
        <w:rPr>
          <w:rFonts w:eastAsia="Calibri" w:cs="Arial"/>
          <w:sz w:val="18"/>
          <w:szCs w:val="18"/>
        </w:rPr>
      </w:pPr>
      <w:r w:rsidRPr="00E10730">
        <w:rPr>
          <w:rFonts w:eastAsia="Calibri" w:cs="Arial"/>
          <w:sz w:val="18"/>
          <w:szCs w:val="18"/>
        </w:rPr>
        <w:t>1.2.</w:t>
      </w:r>
      <w:r w:rsidRPr="00E10730">
        <w:rPr>
          <w:rFonts w:eastAsia="Calibri" w:cs="Arial"/>
          <w:sz w:val="18"/>
          <w:szCs w:val="18"/>
        </w:rPr>
        <w:tab/>
        <w:t>Own-Source Revenue and Gains</w:t>
      </w:r>
      <w:r w:rsidRPr="00E10730">
        <w:rPr>
          <w:rFonts w:eastAsia="Calibri" w:cs="Arial"/>
          <w:sz w:val="18"/>
          <w:szCs w:val="18"/>
        </w:rPr>
        <w:tab/>
        <w:t>12</w:t>
      </w:r>
      <w:r>
        <w:rPr>
          <w:rFonts w:eastAsia="Calibri" w:cs="Arial"/>
          <w:sz w:val="18"/>
          <w:szCs w:val="18"/>
        </w:rPr>
        <w:t>2</w:t>
      </w:r>
    </w:p>
    <w:p w14:paraId="78199144" w14:textId="77777777" w:rsidR="00E40CAE" w:rsidRPr="00E10730" w:rsidRDefault="00E40CAE" w:rsidP="00E40CAE">
      <w:pPr>
        <w:tabs>
          <w:tab w:val="left" w:pos="851"/>
          <w:tab w:val="right" w:pos="9072"/>
        </w:tabs>
        <w:autoSpaceDE w:val="0"/>
        <w:autoSpaceDN w:val="0"/>
        <w:adjustRightInd w:val="0"/>
        <w:spacing w:before="180" w:after="180" w:line="240" w:lineRule="auto"/>
        <w:ind w:left="284" w:hanging="284"/>
        <w:rPr>
          <w:rFonts w:eastAsia="Calibri" w:cs="Arial"/>
          <w:b/>
          <w:bCs/>
          <w:color w:val="000000"/>
          <w:sz w:val="18"/>
          <w:szCs w:val="18"/>
        </w:rPr>
      </w:pPr>
      <w:r w:rsidRPr="00E10730">
        <w:rPr>
          <w:rFonts w:eastAsia="Calibri" w:cs="Arial"/>
          <w:b/>
          <w:bCs/>
          <w:color w:val="000000"/>
          <w:sz w:val="18"/>
          <w:szCs w:val="18"/>
        </w:rPr>
        <w:t>2.</w:t>
      </w:r>
      <w:r w:rsidRPr="00E10730">
        <w:rPr>
          <w:rFonts w:eastAsia="Calibri" w:cs="Arial"/>
          <w:b/>
          <w:bCs/>
          <w:color w:val="000000"/>
          <w:sz w:val="18"/>
          <w:szCs w:val="18"/>
        </w:rPr>
        <w:tab/>
        <w:t>Financial Position</w:t>
      </w:r>
      <w:r w:rsidRPr="00E10730">
        <w:rPr>
          <w:rFonts w:eastAsia="Calibri" w:cs="Arial"/>
          <w:b/>
          <w:bCs/>
          <w:color w:val="000000"/>
          <w:sz w:val="18"/>
          <w:szCs w:val="18"/>
        </w:rPr>
        <w:tab/>
        <w:t>1</w:t>
      </w:r>
      <w:r>
        <w:rPr>
          <w:rFonts w:eastAsia="Calibri" w:cs="Arial"/>
          <w:b/>
          <w:bCs/>
          <w:color w:val="000000"/>
          <w:sz w:val="18"/>
          <w:szCs w:val="18"/>
        </w:rPr>
        <w:t>25</w:t>
      </w:r>
    </w:p>
    <w:p w14:paraId="07E6CF13" w14:textId="77777777" w:rsidR="00E40CAE" w:rsidRPr="00E10730" w:rsidRDefault="00E40CAE" w:rsidP="00E40CAE">
      <w:pPr>
        <w:tabs>
          <w:tab w:val="left" w:pos="851"/>
          <w:tab w:val="right" w:pos="9072"/>
        </w:tabs>
        <w:autoSpaceDE w:val="0"/>
        <w:autoSpaceDN w:val="0"/>
        <w:adjustRightInd w:val="0"/>
        <w:spacing w:before="180" w:after="180" w:line="240" w:lineRule="auto"/>
        <w:ind w:left="284"/>
        <w:rPr>
          <w:rFonts w:eastAsia="Calibri" w:cs="Arial"/>
          <w:sz w:val="18"/>
          <w:szCs w:val="18"/>
        </w:rPr>
      </w:pPr>
      <w:r w:rsidRPr="00E10730">
        <w:rPr>
          <w:rFonts w:eastAsia="Calibri" w:cs="Arial"/>
          <w:sz w:val="18"/>
          <w:szCs w:val="18"/>
        </w:rPr>
        <w:t>2.1.</w:t>
      </w:r>
      <w:r w:rsidRPr="00E10730">
        <w:rPr>
          <w:rFonts w:eastAsia="Calibri" w:cs="Arial"/>
          <w:sz w:val="18"/>
          <w:szCs w:val="18"/>
        </w:rPr>
        <w:tab/>
        <w:t>Financial Assets</w:t>
      </w:r>
      <w:r w:rsidRPr="00E10730">
        <w:rPr>
          <w:rFonts w:eastAsia="Calibri" w:cs="Arial"/>
          <w:sz w:val="18"/>
          <w:szCs w:val="18"/>
        </w:rPr>
        <w:tab/>
        <w:t>1</w:t>
      </w:r>
      <w:r>
        <w:rPr>
          <w:rFonts w:eastAsia="Calibri" w:cs="Arial"/>
          <w:sz w:val="18"/>
          <w:szCs w:val="18"/>
        </w:rPr>
        <w:t>25</w:t>
      </w:r>
    </w:p>
    <w:p w14:paraId="3CA2B8A3" w14:textId="77777777" w:rsidR="00E40CAE" w:rsidRPr="00E10730" w:rsidRDefault="00E40CAE" w:rsidP="00E40CAE">
      <w:pPr>
        <w:tabs>
          <w:tab w:val="left" w:pos="851"/>
          <w:tab w:val="right" w:pos="9072"/>
        </w:tabs>
        <w:autoSpaceDE w:val="0"/>
        <w:autoSpaceDN w:val="0"/>
        <w:adjustRightInd w:val="0"/>
        <w:spacing w:before="180" w:after="180" w:line="240" w:lineRule="auto"/>
        <w:ind w:left="284"/>
        <w:rPr>
          <w:rFonts w:eastAsia="Calibri" w:cs="Arial"/>
          <w:sz w:val="18"/>
          <w:szCs w:val="18"/>
        </w:rPr>
      </w:pPr>
      <w:r w:rsidRPr="00E10730">
        <w:rPr>
          <w:rFonts w:eastAsia="Calibri" w:cs="Arial"/>
          <w:sz w:val="18"/>
          <w:szCs w:val="18"/>
        </w:rPr>
        <w:t>2.2.</w:t>
      </w:r>
      <w:r w:rsidRPr="00E10730">
        <w:rPr>
          <w:rFonts w:eastAsia="Calibri" w:cs="Arial"/>
          <w:sz w:val="18"/>
          <w:szCs w:val="18"/>
        </w:rPr>
        <w:tab/>
        <w:t>Non-Financial Assets</w:t>
      </w:r>
      <w:r w:rsidRPr="00E10730">
        <w:rPr>
          <w:rFonts w:eastAsia="Calibri" w:cs="Arial"/>
          <w:sz w:val="18"/>
          <w:szCs w:val="18"/>
        </w:rPr>
        <w:tab/>
        <w:t>1</w:t>
      </w:r>
      <w:r>
        <w:rPr>
          <w:rFonts w:eastAsia="Calibri" w:cs="Arial"/>
          <w:sz w:val="18"/>
          <w:szCs w:val="18"/>
        </w:rPr>
        <w:t>26</w:t>
      </w:r>
    </w:p>
    <w:p w14:paraId="4992098D" w14:textId="77777777" w:rsidR="00E40CAE" w:rsidRPr="00E10730" w:rsidRDefault="00E40CAE" w:rsidP="00E40CAE">
      <w:pPr>
        <w:tabs>
          <w:tab w:val="left" w:pos="851"/>
          <w:tab w:val="right" w:pos="9072"/>
        </w:tabs>
        <w:autoSpaceDE w:val="0"/>
        <w:autoSpaceDN w:val="0"/>
        <w:adjustRightInd w:val="0"/>
        <w:spacing w:before="180" w:after="180" w:line="240" w:lineRule="auto"/>
        <w:ind w:left="284"/>
        <w:rPr>
          <w:rFonts w:eastAsia="Calibri" w:cs="Arial"/>
          <w:sz w:val="18"/>
          <w:szCs w:val="18"/>
        </w:rPr>
      </w:pPr>
      <w:r w:rsidRPr="00E10730">
        <w:rPr>
          <w:rFonts w:eastAsia="Calibri" w:cs="Arial"/>
          <w:sz w:val="18"/>
          <w:szCs w:val="18"/>
        </w:rPr>
        <w:t>2.3.</w:t>
      </w:r>
      <w:r w:rsidRPr="00E10730">
        <w:rPr>
          <w:rFonts w:eastAsia="Calibri" w:cs="Arial"/>
          <w:sz w:val="18"/>
          <w:szCs w:val="18"/>
        </w:rPr>
        <w:tab/>
        <w:t>Payables</w:t>
      </w:r>
      <w:r w:rsidRPr="00E10730">
        <w:rPr>
          <w:rFonts w:eastAsia="Calibri" w:cs="Arial"/>
          <w:sz w:val="18"/>
          <w:szCs w:val="18"/>
        </w:rPr>
        <w:tab/>
        <w:t>1</w:t>
      </w:r>
      <w:r>
        <w:rPr>
          <w:rFonts w:eastAsia="Calibri" w:cs="Arial"/>
          <w:sz w:val="18"/>
          <w:szCs w:val="18"/>
        </w:rPr>
        <w:t>29</w:t>
      </w:r>
    </w:p>
    <w:p w14:paraId="028532E1" w14:textId="77777777" w:rsidR="00E40CAE" w:rsidRPr="00E10730" w:rsidRDefault="00E40CAE" w:rsidP="00E40CAE">
      <w:pPr>
        <w:tabs>
          <w:tab w:val="left" w:pos="851"/>
          <w:tab w:val="right" w:pos="9072"/>
        </w:tabs>
        <w:autoSpaceDE w:val="0"/>
        <w:autoSpaceDN w:val="0"/>
        <w:adjustRightInd w:val="0"/>
        <w:spacing w:before="180" w:after="180" w:line="240" w:lineRule="auto"/>
        <w:ind w:left="284"/>
        <w:rPr>
          <w:rFonts w:eastAsia="Calibri" w:cs="Arial"/>
          <w:sz w:val="18"/>
          <w:szCs w:val="18"/>
        </w:rPr>
      </w:pPr>
      <w:r w:rsidRPr="00E10730">
        <w:rPr>
          <w:rFonts w:eastAsia="Calibri" w:cs="Arial"/>
          <w:sz w:val="18"/>
          <w:szCs w:val="18"/>
        </w:rPr>
        <w:t>2.4.</w:t>
      </w:r>
      <w:r w:rsidRPr="00E10730">
        <w:rPr>
          <w:rFonts w:eastAsia="Calibri" w:cs="Arial"/>
          <w:sz w:val="18"/>
          <w:szCs w:val="18"/>
        </w:rPr>
        <w:tab/>
        <w:t>Unearned Income</w:t>
      </w:r>
      <w:r w:rsidRPr="00E10730">
        <w:rPr>
          <w:rFonts w:eastAsia="Calibri" w:cs="Arial"/>
          <w:sz w:val="18"/>
          <w:szCs w:val="18"/>
        </w:rPr>
        <w:tab/>
        <w:t>1</w:t>
      </w:r>
      <w:r>
        <w:rPr>
          <w:rFonts w:eastAsia="Calibri" w:cs="Arial"/>
          <w:sz w:val="18"/>
          <w:szCs w:val="18"/>
        </w:rPr>
        <w:t>29</w:t>
      </w:r>
    </w:p>
    <w:p w14:paraId="4AFD8E3F" w14:textId="77777777" w:rsidR="00E40CAE" w:rsidRPr="00E10730" w:rsidRDefault="00E40CAE" w:rsidP="00E40CAE">
      <w:pPr>
        <w:tabs>
          <w:tab w:val="left" w:pos="851"/>
          <w:tab w:val="right" w:pos="9072"/>
        </w:tabs>
        <w:autoSpaceDE w:val="0"/>
        <w:autoSpaceDN w:val="0"/>
        <w:adjustRightInd w:val="0"/>
        <w:spacing w:before="180" w:after="180" w:line="240" w:lineRule="auto"/>
        <w:ind w:left="284"/>
        <w:rPr>
          <w:rFonts w:eastAsia="Calibri" w:cs="Arial"/>
          <w:sz w:val="18"/>
          <w:szCs w:val="18"/>
        </w:rPr>
      </w:pPr>
      <w:r w:rsidRPr="00E10730">
        <w:rPr>
          <w:rFonts w:eastAsia="Calibri" w:cs="Arial"/>
          <w:sz w:val="18"/>
          <w:szCs w:val="18"/>
        </w:rPr>
        <w:t>2.5.</w:t>
      </w:r>
      <w:r w:rsidRPr="00E10730">
        <w:rPr>
          <w:rFonts w:eastAsia="Calibri" w:cs="Arial"/>
          <w:sz w:val="18"/>
          <w:szCs w:val="18"/>
        </w:rPr>
        <w:tab/>
        <w:t>Interest Bearing Liabilities</w:t>
      </w:r>
      <w:r w:rsidRPr="00E10730">
        <w:rPr>
          <w:rFonts w:eastAsia="Calibri" w:cs="Arial"/>
          <w:sz w:val="18"/>
          <w:szCs w:val="18"/>
        </w:rPr>
        <w:tab/>
        <w:t>1</w:t>
      </w:r>
      <w:r>
        <w:rPr>
          <w:rFonts w:eastAsia="Calibri" w:cs="Arial"/>
          <w:sz w:val="18"/>
          <w:szCs w:val="18"/>
        </w:rPr>
        <w:t>29</w:t>
      </w:r>
    </w:p>
    <w:p w14:paraId="7C46DCAE" w14:textId="77777777" w:rsidR="00E40CAE" w:rsidRPr="00E10730" w:rsidRDefault="00E40CAE" w:rsidP="00E40CAE">
      <w:pPr>
        <w:tabs>
          <w:tab w:val="left" w:pos="851"/>
          <w:tab w:val="right" w:pos="9072"/>
        </w:tabs>
        <w:autoSpaceDE w:val="0"/>
        <w:autoSpaceDN w:val="0"/>
        <w:adjustRightInd w:val="0"/>
        <w:spacing w:before="180" w:after="180" w:line="240" w:lineRule="auto"/>
        <w:ind w:left="284"/>
        <w:rPr>
          <w:rFonts w:eastAsia="Calibri" w:cs="Arial"/>
          <w:sz w:val="18"/>
          <w:szCs w:val="18"/>
        </w:rPr>
      </w:pPr>
      <w:r w:rsidRPr="00E10730">
        <w:rPr>
          <w:rFonts w:eastAsia="Calibri" w:cs="Arial"/>
          <w:sz w:val="18"/>
          <w:szCs w:val="18"/>
        </w:rPr>
        <w:t>2.6.</w:t>
      </w:r>
      <w:r w:rsidRPr="00E10730">
        <w:rPr>
          <w:rFonts w:eastAsia="Calibri" w:cs="Arial"/>
          <w:sz w:val="18"/>
          <w:szCs w:val="18"/>
        </w:rPr>
        <w:tab/>
        <w:t>Provisions</w:t>
      </w:r>
      <w:r w:rsidRPr="00E10730">
        <w:rPr>
          <w:rFonts w:eastAsia="Calibri" w:cs="Arial"/>
          <w:sz w:val="18"/>
          <w:szCs w:val="18"/>
        </w:rPr>
        <w:tab/>
        <w:t>1</w:t>
      </w:r>
      <w:r>
        <w:rPr>
          <w:rFonts w:eastAsia="Calibri" w:cs="Arial"/>
          <w:sz w:val="18"/>
          <w:szCs w:val="18"/>
        </w:rPr>
        <w:t>30</w:t>
      </w:r>
    </w:p>
    <w:p w14:paraId="458CEF3B" w14:textId="77777777" w:rsidR="00E40CAE" w:rsidRPr="00E10730" w:rsidRDefault="00E40CAE" w:rsidP="00E40CAE">
      <w:pPr>
        <w:tabs>
          <w:tab w:val="left" w:pos="851"/>
          <w:tab w:val="right" w:pos="9072"/>
        </w:tabs>
        <w:autoSpaceDE w:val="0"/>
        <w:autoSpaceDN w:val="0"/>
        <w:adjustRightInd w:val="0"/>
        <w:spacing w:before="180" w:after="180" w:line="240" w:lineRule="auto"/>
        <w:ind w:left="284" w:hanging="284"/>
        <w:rPr>
          <w:rFonts w:eastAsia="Calibri" w:cs="Arial"/>
          <w:b/>
          <w:bCs/>
          <w:color w:val="000000"/>
          <w:sz w:val="18"/>
          <w:szCs w:val="18"/>
        </w:rPr>
      </w:pPr>
      <w:r w:rsidRPr="00E10730">
        <w:rPr>
          <w:rFonts w:eastAsia="Calibri" w:cs="Arial"/>
          <w:b/>
          <w:bCs/>
          <w:color w:val="000000"/>
          <w:sz w:val="18"/>
          <w:szCs w:val="18"/>
        </w:rPr>
        <w:t>3.</w:t>
      </w:r>
      <w:r w:rsidRPr="00E10730">
        <w:rPr>
          <w:rFonts w:eastAsia="Calibri" w:cs="Arial"/>
          <w:b/>
          <w:bCs/>
          <w:color w:val="000000"/>
          <w:sz w:val="18"/>
          <w:szCs w:val="18"/>
        </w:rPr>
        <w:tab/>
        <w:t>People and Relationships</w:t>
      </w:r>
      <w:r w:rsidRPr="00E10730">
        <w:rPr>
          <w:rFonts w:eastAsia="Calibri" w:cs="Arial"/>
          <w:b/>
          <w:bCs/>
          <w:color w:val="000000"/>
          <w:sz w:val="18"/>
          <w:szCs w:val="18"/>
        </w:rPr>
        <w:tab/>
        <w:t>1</w:t>
      </w:r>
      <w:r>
        <w:rPr>
          <w:rFonts w:eastAsia="Calibri" w:cs="Arial"/>
          <w:b/>
          <w:bCs/>
          <w:color w:val="000000"/>
          <w:sz w:val="18"/>
          <w:szCs w:val="18"/>
        </w:rPr>
        <w:t>32</w:t>
      </w:r>
    </w:p>
    <w:p w14:paraId="4AC27330" w14:textId="77777777" w:rsidR="00E40CAE" w:rsidRPr="00E10730" w:rsidRDefault="00E40CAE" w:rsidP="00E40CAE">
      <w:pPr>
        <w:tabs>
          <w:tab w:val="left" w:pos="851"/>
          <w:tab w:val="right" w:pos="9072"/>
        </w:tabs>
        <w:autoSpaceDE w:val="0"/>
        <w:autoSpaceDN w:val="0"/>
        <w:adjustRightInd w:val="0"/>
        <w:spacing w:before="180" w:after="180" w:line="240" w:lineRule="auto"/>
        <w:ind w:left="284"/>
        <w:rPr>
          <w:rFonts w:eastAsia="Calibri" w:cs="Arial"/>
          <w:sz w:val="18"/>
          <w:szCs w:val="18"/>
        </w:rPr>
      </w:pPr>
      <w:r w:rsidRPr="00E10730">
        <w:rPr>
          <w:rFonts w:eastAsia="Calibri" w:cs="Arial"/>
          <w:sz w:val="18"/>
          <w:szCs w:val="18"/>
        </w:rPr>
        <w:t>3.1.</w:t>
      </w:r>
      <w:r w:rsidRPr="00E10730">
        <w:rPr>
          <w:rFonts w:eastAsia="Calibri" w:cs="Arial"/>
          <w:sz w:val="18"/>
          <w:szCs w:val="18"/>
        </w:rPr>
        <w:tab/>
        <w:t>Key Management Personnel Remuneration</w:t>
      </w:r>
      <w:r w:rsidRPr="00E10730">
        <w:rPr>
          <w:rFonts w:eastAsia="Calibri" w:cs="Arial"/>
          <w:sz w:val="18"/>
          <w:szCs w:val="18"/>
        </w:rPr>
        <w:tab/>
        <w:t>1</w:t>
      </w:r>
      <w:r>
        <w:rPr>
          <w:rFonts w:eastAsia="Calibri" w:cs="Arial"/>
          <w:sz w:val="18"/>
          <w:szCs w:val="18"/>
        </w:rPr>
        <w:t>33</w:t>
      </w:r>
    </w:p>
    <w:p w14:paraId="20C9E097" w14:textId="77777777" w:rsidR="00E40CAE" w:rsidRPr="00E10730" w:rsidRDefault="00E40CAE" w:rsidP="00E40CAE">
      <w:pPr>
        <w:tabs>
          <w:tab w:val="left" w:pos="851"/>
          <w:tab w:val="right" w:pos="9072"/>
        </w:tabs>
        <w:autoSpaceDE w:val="0"/>
        <w:autoSpaceDN w:val="0"/>
        <w:adjustRightInd w:val="0"/>
        <w:spacing w:before="180" w:after="180" w:line="240" w:lineRule="auto"/>
        <w:ind w:left="284"/>
        <w:rPr>
          <w:rFonts w:eastAsia="Calibri" w:cs="Arial"/>
          <w:sz w:val="18"/>
          <w:szCs w:val="18"/>
        </w:rPr>
      </w:pPr>
      <w:r w:rsidRPr="00E10730">
        <w:rPr>
          <w:rFonts w:eastAsia="Calibri" w:cs="Arial"/>
          <w:sz w:val="18"/>
          <w:szCs w:val="18"/>
        </w:rPr>
        <w:t>3.2.</w:t>
      </w:r>
      <w:r w:rsidRPr="00E10730">
        <w:rPr>
          <w:rFonts w:eastAsia="Calibri" w:cs="Arial"/>
          <w:sz w:val="18"/>
          <w:szCs w:val="18"/>
        </w:rPr>
        <w:tab/>
        <w:t>Related Party Disclosures</w:t>
      </w:r>
      <w:r w:rsidRPr="00E10730">
        <w:rPr>
          <w:rFonts w:eastAsia="Calibri" w:cs="Arial"/>
          <w:sz w:val="18"/>
          <w:szCs w:val="18"/>
        </w:rPr>
        <w:tab/>
        <w:t>1</w:t>
      </w:r>
      <w:r>
        <w:rPr>
          <w:rFonts w:eastAsia="Calibri" w:cs="Arial"/>
          <w:sz w:val="18"/>
          <w:szCs w:val="18"/>
        </w:rPr>
        <w:t>33</w:t>
      </w:r>
    </w:p>
    <w:p w14:paraId="7BB9C6C3" w14:textId="77777777" w:rsidR="00E40CAE" w:rsidRPr="00E10730" w:rsidRDefault="00E40CAE" w:rsidP="00E40CAE">
      <w:pPr>
        <w:tabs>
          <w:tab w:val="left" w:pos="851"/>
          <w:tab w:val="right" w:pos="9072"/>
        </w:tabs>
        <w:autoSpaceDE w:val="0"/>
        <w:autoSpaceDN w:val="0"/>
        <w:adjustRightInd w:val="0"/>
        <w:spacing w:before="180" w:after="180" w:line="240" w:lineRule="auto"/>
        <w:ind w:left="284" w:hanging="284"/>
        <w:rPr>
          <w:rFonts w:eastAsia="Calibri" w:cs="Arial"/>
          <w:b/>
          <w:bCs/>
          <w:color w:val="000000"/>
          <w:sz w:val="18"/>
          <w:szCs w:val="18"/>
        </w:rPr>
      </w:pPr>
      <w:r w:rsidRPr="00E10730">
        <w:rPr>
          <w:rFonts w:eastAsia="Calibri" w:cs="Arial"/>
          <w:b/>
          <w:bCs/>
          <w:color w:val="000000"/>
          <w:sz w:val="18"/>
          <w:szCs w:val="18"/>
        </w:rPr>
        <w:t>4.</w:t>
      </w:r>
      <w:r w:rsidRPr="00E10730">
        <w:rPr>
          <w:rFonts w:eastAsia="Calibri" w:cs="Arial"/>
          <w:b/>
          <w:bCs/>
          <w:color w:val="000000"/>
          <w:sz w:val="18"/>
          <w:szCs w:val="18"/>
        </w:rPr>
        <w:tab/>
        <w:t>Managing Uncertainties</w:t>
      </w:r>
      <w:r w:rsidRPr="00E10730">
        <w:rPr>
          <w:rFonts w:eastAsia="Calibri" w:cs="Arial"/>
          <w:b/>
          <w:bCs/>
          <w:color w:val="000000"/>
          <w:sz w:val="18"/>
          <w:szCs w:val="18"/>
        </w:rPr>
        <w:tab/>
        <w:t>1</w:t>
      </w:r>
      <w:r>
        <w:rPr>
          <w:rFonts w:eastAsia="Calibri" w:cs="Arial"/>
          <w:b/>
          <w:bCs/>
          <w:color w:val="000000"/>
          <w:sz w:val="18"/>
          <w:szCs w:val="18"/>
        </w:rPr>
        <w:t>35</w:t>
      </w:r>
    </w:p>
    <w:p w14:paraId="210B12BD" w14:textId="77777777" w:rsidR="00E40CAE" w:rsidRPr="00E10730" w:rsidRDefault="00E40CAE" w:rsidP="00E40CAE">
      <w:pPr>
        <w:tabs>
          <w:tab w:val="left" w:pos="851"/>
          <w:tab w:val="right" w:pos="9072"/>
        </w:tabs>
        <w:autoSpaceDE w:val="0"/>
        <w:autoSpaceDN w:val="0"/>
        <w:adjustRightInd w:val="0"/>
        <w:spacing w:before="180" w:after="180" w:line="240" w:lineRule="auto"/>
        <w:ind w:left="284"/>
        <w:rPr>
          <w:rFonts w:eastAsia="Calibri" w:cs="Arial"/>
          <w:sz w:val="18"/>
          <w:szCs w:val="18"/>
        </w:rPr>
      </w:pPr>
      <w:r w:rsidRPr="00E10730">
        <w:rPr>
          <w:rFonts w:eastAsia="Calibri" w:cs="Arial"/>
          <w:sz w:val="18"/>
          <w:szCs w:val="18"/>
        </w:rPr>
        <w:t>4.1.</w:t>
      </w:r>
      <w:r w:rsidRPr="00E10730">
        <w:rPr>
          <w:rFonts w:eastAsia="Calibri" w:cs="Arial"/>
          <w:sz w:val="18"/>
          <w:szCs w:val="18"/>
        </w:rPr>
        <w:tab/>
        <w:t>Contingent Assets and Liabilities</w:t>
      </w:r>
      <w:r w:rsidRPr="00E10730">
        <w:rPr>
          <w:rFonts w:eastAsia="Calibri" w:cs="Arial"/>
          <w:sz w:val="18"/>
          <w:szCs w:val="18"/>
        </w:rPr>
        <w:tab/>
        <w:t>1</w:t>
      </w:r>
      <w:r>
        <w:rPr>
          <w:rFonts w:eastAsia="Calibri" w:cs="Arial"/>
          <w:sz w:val="18"/>
          <w:szCs w:val="18"/>
        </w:rPr>
        <w:t>35</w:t>
      </w:r>
    </w:p>
    <w:p w14:paraId="40DAA5B7" w14:textId="77777777" w:rsidR="00E40CAE" w:rsidRPr="00E10730" w:rsidRDefault="00E40CAE" w:rsidP="00E40CAE">
      <w:pPr>
        <w:tabs>
          <w:tab w:val="left" w:pos="851"/>
          <w:tab w:val="right" w:pos="9072"/>
        </w:tabs>
        <w:autoSpaceDE w:val="0"/>
        <w:autoSpaceDN w:val="0"/>
        <w:adjustRightInd w:val="0"/>
        <w:spacing w:before="180" w:after="180" w:line="240" w:lineRule="auto"/>
        <w:ind w:left="284"/>
        <w:rPr>
          <w:rFonts w:eastAsia="Calibri" w:cs="Arial"/>
          <w:sz w:val="18"/>
          <w:szCs w:val="18"/>
        </w:rPr>
      </w:pPr>
      <w:r w:rsidRPr="00E10730">
        <w:rPr>
          <w:rFonts w:eastAsia="Calibri" w:cs="Arial"/>
          <w:sz w:val="18"/>
          <w:szCs w:val="18"/>
        </w:rPr>
        <w:t>4.2.</w:t>
      </w:r>
      <w:r w:rsidRPr="00E10730">
        <w:rPr>
          <w:rFonts w:eastAsia="Calibri" w:cs="Arial"/>
          <w:sz w:val="18"/>
          <w:szCs w:val="18"/>
        </w:rPr>
        <w:tab/>
        <w:t>Financial Instruments</w:t>
      </w:r>
      <w:r w:rsidRPr="00E10730">
        <w:rPr>
          <w:rFonts w:eastAsia="Calibri" w:cs="Arial"/>
          <w:sz w:val="18"/>
          <w:szCs w:val="18"/>
        </w:rPr>
        <w:tab/>
        <w:t>1</w:t>
      </w:r>
      <w:r>
        <w:rPr>
          <w:rFonts w:eastAsia="Calibri" w:cs="Arial"/>
          <w:sz w:val="18"/>
          <w:szCs w:val="18"/>
        </w:rPr>
        <w:t>36</w:t>
      </w:r>
    </w:p>
    <w:p w14:paraId="1F143B25" w14:textId="77777777" w:rsidR="00E40CAE" w:rsidRPr="00E10730" w:rsidRDefault="00E40CAE" w:rsidP="00E40CAE">
      <w:pPr>
        <w:tabs>
          <w:tab w:val="left" w:pos="851"/>
          <w:tab w:val="right" w:pos="9072"/>
        </w:tabs>
        <w:autoSpaceDE w:val="0"/>
        <w:autoSpaceDN w:val="0"/>
        <w:adjustRightInd w:val="0"/>
        <w:spacing w:before="180" w:after="180" w:line="240" w:lineRule="auto"/>
        <w:ind w:left="284" w:hanging="284"/>
        <w:rPr>
          <w:rFonts w:eastAsia="Calibri" w:cs="Arial"/>
          <w:b/>
          <w:bCs/>
          <w:color w:val="000000"/>
          <w:sz w:val="18"/>
          <w:szCs w:val="18"/>
        </w:rPr>
      </w:pPr>
      <w:r w:rsidRPr="00E10730">
        <w:rPr>
          <w:rFonts w:eastAsia="Calibri" w:cs="Arial"/>
          <w:b/>
          <w:bCs/>
          <w:color w:val="000000"/>
          <w:sz w:val="18"/>
          <w:szCs w:val="18"/>
        </w:rPr>
        <w:t>5.</w:t>
      </w:r>
      <w:r w:rsidRPr="00E10730">
        <w:rPr>
          <w:rFonts w:eastAsia="Calibri" w:cs="Arial"/>
          <w:b/>
          <w:bCs/>
          <w:color w:val="000000"/>
          <w:sz w:val="18"/>
          <w:szCs w:val="18"/>
        </w:rPr>
        <w:tab/>
        <w:t>Other Information</w:t>
      </w:r>
      <w:r w:rsidRPr="00E10730">
        <w:rPr>
          <w:rFonts w:eastAsia="Calibri" w:cs="Arial"/>
          <w:b/>
          <w:bCs/>
          <w:color w:val="000000"/>
          <w:sz w:val="18"/>
          <w:szCs w:val="18"/>
        </w:rPr>
        <w:tab/>
        <w:t>1</w:t>
      </w:r>
      <w:r>
        <w:rPr>
          <w:rFonts w:eastAsia="Calibri" w:cs="Arial"/>
          <w:b/>
          <w:bCs/>
          <w:color w:val="000000"/>
          <w:sz w:val="18"/>
          <w:szCs w:val="18"/>
        </w:rPr>
        <w:t>38</w:t>
      </w:r>
    </w:p>
    <w:p w14:paraId="662DAFDD" w14:textId="77777777" w:rsidR="00E40CAE" w:rsidRPr="00E10730" w:rsidRDefault="00E40CAE" w:rsidP="00E40CAE">
      <w:pPr>
        <w:tabs>
          <w:tab w:val="left" w:pos="851"/>
          <w:tab w:val="right" w:pos="9072"/>
        </w:tabs>
        <w:autoSpaceDE w:val="0"/>
        <w:autoSpaceDN w:val="0"/>
        <w:adjustRightInd w:val="0"/>
        <w:spacing w:before="180" w:after="180" w:line="240" w:lineRule="auto"/>
        <w:ind w:left="284"/>
        <w:rPr>
          <w:rFonts w:eastAsia="Calibri" w:cs="Arial"/>
          <w:sz w:val="18"/>
          <w:szCs w:val="18"/>
        </w:rPr>
      </w:pPr>
      <w:r w:rsidRPr="00E10730">
        <w:rPr>
          <w:rFonts w:eastAsia="Calibri" w:cs="Arial"/>
          <w:sz w:val="18"/>
          <w:szCs w:val="18"/>
        </w:rPr>
        <w:t>5.1.</w:t>
      </w:r>
      <w:r w:rsidRPr="00E10730">
        <w:rPr>
          <w:rFonts w:eastAsia="Calibri" w:cs="Arial"/>
          <w:sz w:val="18"/>
          <w:szCs w:val="18"/>
        </w:rPr>
        <w:tab/>
        <w:t>Current/Non-current Distinction for Assets and Liabilities</w:t>
      </w:r>
      <w:r w:rsidRPr="00E10730">
        <w:rPr>
          <w:rFonts w:eastAsia="Calibri" w:cs="Arial"/>
          <w:sz w:val="18"/>
          <w:szCs w:val="18"/>
        </w:rPr>
        <w:tab/>
        <w:t>1</w:t>
      </w:r>
      <w:r>
        <w:rPr>
          <w:rFonts w:eastAsia="Calibri" w:cs="Arial"/>
          <w:sz w:val="18"/>
          <w:szCs w:val="18"/>
        </w:rPr>
        <w:t>38</w:t>
      </w:r>
    </w:p>
    <w:p w14:paraId="037331A0"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22"/>
          <w:szCs w:val="22"/>
        </w:rPr>
        <w:br w:type="page"/>
      </w:r>
    </w:p>
    <w:p w14:paraId="75437820"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National Disability Insurance Agency</w:t>
      </w:r>
    </w:p>
    <w:p w14:paraId="38645BE3"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NOTES TO AND FORMING PART OF THE FINANCIAL STATEMENTS</w:t>
      </w:r>
    </w:p>
    <w:p w14:paraId="7D25DB78" w14:textId="61A29964" w:rsidR="005C6008" w:rsidRPr="00E10730" w:rsidRDefault="005C6008" w:rsidP="0052126A">
      <w:pPr>
        <w:shd w:val="clear" w:color="auto" w:fill="800080"/>
        <w:tabs>
          <w:tab w:val="right" w:pos="9072"/>
        </w:tabs>
        <w:autoSpaceDE w:val="0"/>
        <w:autoSpaceDN w:val="0"/>
        <w:adjustRightInd w:val="0"/>
        <w:spacing w:before="120" w:after="0" w:line="240" w:lineRule="auto"/>
        <w:rPr>
          <w:rFonts w:eastAsia="Calibri" w:cs="Arial"/>
          <w:b/>
          <w:bCs/>
          <w:color w:val="FFFFFF"/>
        </w:rPr>
      </w:pPr>
      <w:r w:rsidRPr="00E10730">
        <w:rPr>
          <w:rFonts w:eastAsia="Calibri" w:cs="Arial"/>
          <w:b/>
          <w:bCs/>
          <w:color w:val="FFFFFF"/>
        </w:rPr>
        <w:t>Overview</w:t>
      </w:r>
    </w:p>
    <w:p w14:paraId="306179CA" w14:textId="77777777" w:rsidR="005C6008" w:rsidRPr="00E10730" w:rsidRDefault="005C6008" w:rsidP="001C6F9B">
      <w:pPr>
        <w:autoSpaceDE w:val="0"/>
        <w:autoSpaceDN w:val="0"/>
        <w:adjustRightInd w:val="0"/>
        <w:spacing w:before="180" w:after="0" w:line="240" w:lineRule="auto"/>
        <w:rPr>
          <w:rFonts w:eastAsia="Calibri" w:cs="Arial"/>
          <w:b/>
          <w:bCs/>
          <w:color w:val="800080"/>
          <w:sz w:val="18"/>
          <w:szCs w:val="18"/>
        </w:rPr>
      </w:pPr>
      <w:r w:rsidRPr="00E10730">
        <w:rPr>
          <w:rFonts w:eastAsia="Calibri" w:cs="Arial"/>
          <w:b/>
          <w:bCs/>
          <w:color w:val="800080"/>
          <w:sz w:val="18"/>
          <w:szCs w:val="18"/>
        </w:rPr>
        <w:t>General information</w:t>
      </w:r>
    </w:p>
    <w:p w14:paraId="268A0324" w14:textId="77777777" w:rsidR="005C6008" w:rsidRPr="00E10730" w:rsidRDefault="005C6008" w:rsidP="001C6F9B">
      <w:pPr>
        <w:tabs>
          <w:tab w:val="left" w:pos="9504"/>
        </w:tabs>
        <w:autoSpaceDE w:val="0"/>
        <w:autoSpaceDN w:val="0"/>
        <w:adjustRightInd w:val="0"/>
        <w:spacing w:before="180" w:after="0" w:line="240" w:lineRule="auto"/>
        <w:rPr>
          <w:rFonts w:eastAsia="Calibri" w:cs="Arial"/>
          <w:sz w:val="18"/>
          <w:szCs w:val="18"/>
        </w:rPr>
      </w:pPr>
      <w:r w:rsidRPr="00E10730">
        <w:rPr>
          <w:rFonts w:eastAsia="Calibri" w:cs="Arial"/>
          <w:sz w:val="18"/>
          <w:szCs w:val="18"/>
        </w:rPr>
        <w:t xml:space="preserve">The National Disability Insurance Agency (‘the Agency’) was established on 29 March 2013 by the </w:t>
      </w:r>
      <w:r w:rsidRPr="00E10730">
        <w:rPr>
          <w:rFonts w:eastAsia="Calibri" w:cs="Arial"/>
          <w:i/>
          <w:iCs/>
          <w:sz w:val="18"/>
          <w:szCs w:val="18"/>
        </w:rPr>
        <w:t>National Disability Insurance Scheme Act 2013</w:t>
      </w:r>
      <w:r w:rsidRPr="00E10730">
        <w:rPr>
          <w:rFonts w:eastAsia="Calibri" w:cs="Arial"/>
          <w:sz w:val="18"/>
          <w:szCs w:val="18"/>
        </w:rPr>
        <w:t xml:space="preserve"> (‘the Act’). The Agency is an Australian Government controlled not-for-profit corporate entity.</w:t>
      </w:r>
    </w:p>
    <w:p w14:paraId="17A73DDE" w14:textId="77777777" w:rsidR="005C6008" w:rsidRPr="00E10730" w:rsidRDefault="005C6008" w:rsidP="001C6F9B">
      <w:pPr>
        <w:tabs>
          <w:tab w:val="left" w:pos="7230"/>
          <w:tab w:val="left" w:pos="9504"/>
        </w:tabs>
        <w:autoSpaceDE w:val="0"/>
        <w:autoSpaceDN w:val="0"/>
        <w:adjustRightInd w:val="0"/>
        <w:spacing w:before="180" w:after="0" w:line="240" w:lineRule="auto"/>
        <w:rPr>
          <w:rFonts w:eastAsia="Calibri" w:cs="Arial"/>
          <w:sz w:val="18"/>
          <w:szCs w:val="18"/>
        </w:rPr>
      </w:pPr>
      <w:r w:rsidRPr="00E10730">
        <w:rPr>
          <w:rFonts w:eastAsia="Calibri" w:cs="Arial"/>
          <w:sz w:val="18"/>
          <w:szCs w:val="18"/>
        </w:rPr>
        <w:t>The Scheme has operations in all states and territories of Australia, with its national office at 13 – 19 Malop Street, Geelong, Victoria, 3220.</w:t>
      </w:r>
    </w:p>
    <w:p w14:paraId="05FD338F" w14:textId="77777777" w:rsidR="005C6008" w:rsidRPr="00E10730" w:rsidRDefault="005C6008" w:rsidP="001C6F9B">
      <w:pPr>
        <w:autoSpaceDE w:val="0"/>
        <w:autoSpaceDN w:val="0"/>
        <w:adjustRightInd w:val="0"/>
        <w:spacing w:before="180" w:after="0" w:line="240" w:lineRule="auto"/>
        <w:rPr>
          <w:rFonts w:eastAsia="Calibri" w:cs="Arial"/>
          <w:b/>
          <w:bCs/>
          <w:color w:val="800080"/>
          <w:sz w:val="18"/>
          <w:szCs w:val="18"/>
        </w:rPr>
      </w:pPr>
      <w:r w:rsidRPr="00E10730">
        <w:rPr>
          <w:rFonts w:eastAsia="Calibri" w:cs="Arial"/>
          <w:b/>
          <w:bCs/>
          <w:color w:val="800080"/>
          <w:sz w:val="18"/>
          <w:szCs w:val="18"/>
        </w:rPr>
        <w:t>Objectives of the Agency</w:t>
      </w:r>
    </w:p>
    <w:p w14:paraId="5DAFBA7B" w14:textId="77777777" w:rsidR="005C6008" w:rsidRPr="00E10730" w:rsidRDefault="005C6008" w:rsidP="001C6F9B">
      <w:pPr>
        <w:tabs>
          <w:tab w:val="left" w:pos="7230"/>
          <w:tab w:val="left" w:pos="9504"/>
        </w:tabs>
        <w:autoSpaceDE w:val="0"/>
        <w:autoSpaceDN w:val="0"/>
        <w:adjustRightInd w:val="0"/>
        <w:spacing w:before="180" w:after="0" w:line="240" w:lineRule="auto"/>
        <w:rPr>
          <w:rFonts w:eastAsia="Calibri" w:cs="Arial"/>
          <w:sz w:val="18"/>
          <w:szCs w:val="18"/>
        </w:rPr>
      </w:pPr>
      <w:r w:rsidRPr="00E10730">
        <w:rPr>
          <w:rFonts w:eastAsia="Calibri" w:cs="Arial"/>
          <w:sz w:val="18"/>
          <w:szCs w:val="18"/>
        </w:rPr>
        <w:t xml:space="preserve">The objective of the Agency is to operate under the Act, and in conjunction with other legislation, to give effect to Australia’s obligations under the Convention on the Rights of Persons with Disabilities. In doing so, the Agency supports the independence, social and economic participation of people with a disability. </w:t>
      </w:r>
    </w:p>
    <w:p w14:paraId="3991F01A" w14:textId="77777777" w:rsidR="005C6008" w:rsidRPr="00E10730" w:rsidRDefault="005C6008" w:rsidP="001C6F9B">
      <w:pPr>
        <w:tabs>
          <w:tab w:val="left" w:pos="7230"/>
          <w:tab w:val="left" w:pos="9504"/>
        </w:tabs>
        <w:autoSpaceDE w:val="0"/>
        <w:autoSpaceDN w:val="0"/>
        <w:adjustRightInd w:val="0"/>
        <w:spacing w:before="180" w:after="0" w:line="240" w:lineRule="auto"/>
        <w:rPr>
          <w:rFonts w:eastAsia="Calibri" w:cs="Arial"/>
          <w:sz w:val="18"/>
          <w:szCs w:val="18"/>
        </w:rPr>
      </w:pPr>
      <w:r w:rsidRPr="00E10730">
        <w:rPr>
          <w:rFonts w:eastAsia="Calibri" w:cs="Arial"/>
          <w:sz w:val="18"/>
          <w:szCs w:val="18"/>
        </w:rPr>
        <w:t>The Agency is structured to meet the following outcome:</w:t>
      </w:r>
    </w:p>
    <w:p w14:paraId="2EB4F31B" w14:textId="77777777" w:rsidR="005C6008" w:rsidRPr="00E10730" w:rsidRDefault="005C6008" w:rsidP="001C6F9B">
      <w:pPr>
        <w:tabs>
          <w:tab w:val="left" w:pos="7230"/>
          <w:tab w:val="left" w:pos="9504"/>
        </w:tabs>
        <w:autoSpaceDE w:val="0"/>
        <w:autoSpaceDN w:val="0"/>
        <w:adjustRightInd w:val="0"/>
        <w:spacing w:before="180" w:after="0" w:line="240" w:lineRule="auto"/>
        <w:rPr>
          <w:rFonts w:eastAsia="Calibri" w:cs="Arial"/>
          <w:sz w:val="18"/>
          <w:szCs w:val="18"/>
        </w:rPr>
      </w:pPr>
      <w:r w:rsidRPr="00E10730">
        <w:rPr>
          <w:rFonts w:eastAsia="Calibri" w:cs="Arial"/>
          <w:sz w:val="18"/>
          <w:szCs w:val="18"/>
        </w:rPr>
        <w:t>Improve the independence and the social and economic participation of eligible people with disability through the management of a financially sustainable National Disability Insurance Scheme with proper, efficient, and effective use of resources.</w:t>
      </w:r>
    </w:p>
    <w:p w14:paraId="6EDF2E98" w14:textId="77777777" w:rsidR="005C6008" w:rsidRPr="00E10730" w:rsidRDefault="005C6008" w:rsidP="001C6F9B">
      <w:pPr>
        <w:tabs>
          <w:tab w:val="left" w:pos="7230"/>
          <w:tab w:val="left" w:pos="9504"/>
        </w:tabs>
        <w:autoSpaceDE w:val="0"/>
        <w:autoSpaceDN w:val="0"/>
        <w:adjustRightInd w:val="0"/>
        <w:spacing w:before="180" w:after="0" w:line="240" w:lineRule="auto"/>
        <w:rPr>
          <w:rFonts w:eastAsia="Calibri" w:cs="Arial"/>
          <w:sz w:val="18"/>
          <w:szCs w:val="18"/>
        </w:rPr>
      </w:pPr>
      <w:r w:rsidRPr="00E10730">
        <w:rPr>
          <w:rFonts w:eastAsia="Calibri" w:cs="Arial"/>
          <w:sz w:val="18"/>
          <w:szCs w:val="18"/>
        </w:rPr>
        <w:t>The continued existence of the Agency in its present form and with its present programs is dependent on Commonwealth Government policy, continuing funding by Parliament for the Agency’s administration and programs and agreement with state and territory governments. States and territories have continued to provide funding as set out in the bilateral agreements between each state and territory and the Commonwealth.</w:t>
      </w:r>
    </w:p>
    <w:p w14:paraId="030B6A9E" w14:textId="77777777" w:rsidR="005C6008" w:rsidRPr="00E10730" w:rsidRDefault="005C6008" w:rsidP="001C6F9B">
      <w:pPr>
        <w:autoSpaceDE w:val="0"/>
        <w:autoSpaceDN w:val="0"/>
        <w:adjustRightInd w:val="0"/>
        <w:spacing w:before="180" w:after="0" w:line="240" w:lineRule="auto"/>
        <w:rPr>
          <w:rFonts w:eastAsia="Calibri" w:cs="Arial"/>
          <w:b/>
          <w:bCs/>
          <w:color w:val="800080"/>
          <w:sz w:val="18"/>
          <w:szCs w:val="18"/>
        </w:rPr>
      </w:pPr>
      <w:r w:rsidRPr="00E10730">
        <w:rPr>
          <w:rFonts w:eastAsia="Calibri" w:cs="Arial"/>
          <w:b/>
          <w:bCs/>
          <w:color w:val="800080"/>
          <w:sz w:val="18"/>
          <w:szCs w:val="18"/>
        </w:rPr>
        <w:t>The Basis of Preparation</w:t>
      </w:r>
    </w:p>
    <w:p w14:paraId="6805EA5D" w14:textId="77777777" w:rsidR="005C6008" w:rsidRPr="00E10730" w:rsidRDefault="005C6008" w:rsidP="001C6F9B">
      <w:pPr>
        <w:tabs>
          <w:tab w:val="left" w:pos="7230"/>
          <w:tab w:val="left" w:pos="9504"/>
        </w:tabs>
        <w:autoSpaceDE w:val="0"/>
        <w:autoSpaceDN w:val="0"/>
        <w:adjustRightInd w:val="0"/>
        <w:spacing w:before="180" w:after="0" w:line="240" w:lineRule="auto"/>
        <w:rPr>
          <w:rFonts w:eastAsia="Calibri" w:cs="Arial"/>
          <w:sz w:val="18"/>
          <w:szCs w:val="18"/>
        </w:rPr>
      </w:pPr>
      <w:r w:rsidRPr="00E10730">
        <w:rPr>
          <w:rFonts w:eastAsia="Calibri" w:cs="Arial"/>
          <w:sz w:val="18"/>
          <w:szCs w:val="18"/>
        </w:rPr>
        <w:t xml:space="preserve">The financial statements are required by section 42 of the </w:t>
      </w:r>
      <w:r w:rsidRPr="00E10730">
        <w:rPr>
          <w:rFonts w:eastAsia="Calibri" w:cs="Arial"/>
          <w:i/>
          <w:iCs/>
          <w:sz w:val="18"/>
          <w:szCs w:val="18"/>
        </w:rPr>
        <w:t xml:space="preserve">Public Governance, Performance and Accountability Act </w:t>
      </w:r>
      <w:r w:rsidRPr="00E10730">
        <w:rPr>
          <w:rFonts w:eastAsia="Calibri" w:cs="Arial"/>
          <w:sz w:val="18"/>
          <w:szCs w:val="18"/>
        </w:rPr>
        <w:t>2013.</w:t>
      </w:r>
    </w:p>
    <w:p w14:paraId="45FCF01E" w14:textId="77777777" w:rsidR="005C6008" w:rsidRPr="00E10730" w:rsidRDefault="005C6008" w:rsidP="001C6F9B">
      <w:pPr>
        <w:tabs>
          <w:tab w:val="left" w:pos="7230"/>
          <w:tab w:val="left" w:pos="9504"/>
        </w:tabs>
        <w:autoSpaceDE w:val="0"/>
        <w:autoSpaceDN w:val="0"/>
        <w:adjustRightInd w:val="0"/>
        <w:spacing w:before="180" w:after="0" w:line="240" w:lineRule="auto"/>
        <w:rPr>
          <w:rFonts w:eastAsia="Calibri" w:cs="Arial"/>
          <w:sz w:val="18"/>
          <w:szCs w:val="18"/>
        </w:rPr>
      </w:pPr>
      <w:r w:rsidRPr="00E10730">
        <w:rPr>
          <w:rFonts w:eastAsia="Calibri" w:cs="Arial"/>
          <w:sz w:val="18"/>
          <w:szCs w:val="18"/>
        </w:rPr>
        <w:t>The financial statements have been prepared in accordance with:</w:t>
      </w:r>
    </w:p>
    <w:p w14:paraId="139482D2" w14:textId="732F7D11" w:rsidR="005C6008" w:rsidRPr="003B5F97" w:rsidRDefault="005C6008" w:rsidP="00A06D18">
      <w:pPr>
        <w:pStyle w:val="ListParagraph"/>
        <w:numPr>
          <w:ilvl w:val="1"/>
          <w:numId w:val="108"/>
        </w:numPr>
        <w:autoSpaceDE w:val="0"/>
        <w:autoSpaceDN w:val="0"/>
        <w:adjustRightInd w:val="0"/>
        <w:spacing w:before="120" w:line="240" w:lineRule="auto"/>
        <w:ind w:left="714" w:hanging="357"/>
        <w:contextualSpacing w:val="0"/>
        <w:rPr>
          <w:rFonts w:eastAsia="Calibri" w:cs="Arial"/>
          <w:sz w:val="18"/>
          <w:szCs w:val="18"/>
        </w:rPr>
      </w:pPr>
      <w:r w:rsidRPr="003B5F97">
        <w:rPr>
          <w:rFonts w:eastAsia="Calibri" w:cs="Arial"/>
          <w:i/>
          <w:iCs/>
          <w:sz w:val="18"/>
          <w:szCs w:val="18"/>
        </w:rPr>
        <w:t>Public Governance, Performance and Accountability (Financial Reporting) Rule 2015</w:t>
      </w:r>
      <w:r w:rsidRPr="003B5F97">
        <w:rPr>
          <w:rFonts w:eastAsia="Calibri" w:cs="Arial"/>
          <w:sz w:val="18"/>
          <w:szCs w:val="18"/>
        </w:rPr>
        <w:t xml:space="preserve"> (FRR); and</w:t>
      </w:r>
    </w:p>
    <w:p w14:paraId="436B768D" w14:textId="370C8BB6" w:rsidR="005C6008" w:rsidRPr="003B5F97" w:rsidRDefault="005C6008" w:rsidP="00A06D18">
      <w:pPr>
        <w:pStyle w:val="ListParagraph"/>
        <w:numPr>
          <w:ilvl w:val="1"/>
          <w:numId w:val="108"/>
        </w:numPr>
        <w:autoSpaceDE w:val="0"/>
        <w:autoSpaceDN w:val="0"/>
        <w:adjustRightInd w:val="0"/>
        <w:spacing w:before="120" w:line="240" w:lineRule="auto"/>
        <w:ind w:left="714" w:hanging="357"/>
        <w:contextualSpacing w:val="0"/>
        <w:rPr>
          <w:rFonts w:eastAsia="Calibri" w:cs="Arial"/>
          <w:sz w:val="18"/>
          <w:szCs w:val="18"/>
        </w:rPr>
      </w:pPr>
      <w:r w:rsidRPr="003B5F97">
        <w:rPr>
          <w:rFonts w:eastAsia="Calibri" w:cs="Arial"/>
          <w:sz w:val="18"/>
          <w:szCs w:val="18"/>
        </w:rPr>
        <w:t>Australian Accounting Standards and Interpretations – including simplified disclosures for Tier 2 Entities under AASB 1060 issued by the Australian Accounting Standards Board (AASB) that apply for the reporting period.</w:t>
      </w:r>
    </w:p>
    <w:p w14:paraId="0CAFC4E9" w14:textId="77777777" w:rsidR="005C6008" w:rsidRPr="00E10730" w:rsidRDefault="005C6008" w:rsidP="001C6F9B">
      <w:pPr>
        <w:tabs>
          <w:tab w:val="left" w:pos="7230"/>
          <w:tab w:val="left" w:pos="9504"/>
        </w:tabs>
        <w:autoSpaceDE w:val="0"/>
        <w:autoSpaceDN w:val="0"/>
        <w:adjustRightInd w:val="0"/>
        <w:spacing w:before="180" w:after="0" w:line="240" w:lineRule="auto"/>
        <w:rPr>
          <w:rFonts w:eastAsia="Calibri" w:cs="Arial"/>
          <w:sz w:val="18"/>
          <w:szCs w:val="18"/>
        </w:rPr>
      </w:pPr>
      <w:r w:rsidRPr="00E10730">
        <w:rPr>
          <w:rFonts w:eastAsia="Calibri" w:cs="Arial"/>
          <w:sz w:val="18"/>
          <w:szCs w:val="18"/>
        </w:rPr>
        <w:t>The financial statements have been prepared on an accrual basis and in accordance with the historical cost convention, except for certain assets and liabilities, which are measured at fair value. Except where stated, no allowance is made for the effect of changing prices on the results or the financial position. The financial statements are presented in Australian dollars and values are rounded to the nearest thousand dollars, unless otherwise specified.</w:t>
      </w:r>
    </w:p>
    <w:p w14:paraId="4E21CF46" w14:textId="77777777" w:rsidR="005C6008" w:rsidRPr="00E10730" w:rsidRDefault="005C6008" w:rsidP="001C6F9B">
      <w:pPr>
        <w:autoSpaceDE w:val="0"/>
        <w:autoSpaceDN w:val="0"/>
        <w:adjustRightInd w:val="0"/>
        <w:spacing w:before="180" w:after="0" w:line="240" w:lineRule="auto"/>
        <w:rPr>
          <w:rFonts w:eastAsia="Calibri" w:cs="Arial"/>
          <w:b/>
          <w:bCs/>
          <w:color w:val="800080"/>
          <w:sz w:val="18"/>
          <w:szCs w:val="18"/>
        </w:rPr>
      </w:pPr>
      <w:r w:rsidRPr="00E10730">
        <w:rPr>
          <w:rFonts w:eastAsia="Calibri" w:cs="Arial"/>
          <w:b/>
          <w:bCs/>
          <w:color w:val="800080"/>
          <w:sz w:val="18"/>
          <w:szCs w:val="18"/>
        </w:rPr>
        <w:t>New Accounting Standards</w:t>
      </w:r>
    </w:p>
    <w:p w14:paraId="021985DA" w14:textId="77777777" w:rsidR="005C6008" w:rsidRPr="00E10730" w:rsidRDefault="005C6008" w:rsidP="001C6F9B">
      <w:pPr>
        <w:tabs>
          <w:tab w:val="left" w:pos="7230"/>
          <w:tab w:val="left" w:pos="9504"/>
        </w:tabs>
        <w:autoSpaceDE w:val="0"/>
        <w:autoSpaceDN w:val="0"/>
        <w:adjustRightInd w:val="0"/>
        <w:spacing w:before="180" w:after="0" w:line="240" w:lineRule="auto"/>
        <w:rPr>
          <w:rFonts w:eastAsia="Calibri" w:cs="Arial"/>
          <w:sz w:val="18"/>
          <w:szCs w:val="18"/>
        </w:rPr>
      </w:pPr>
      <w:r w:rsidRPr="00E10730">
        <w:rPr>
          <w:rFonts w:eastAsia="Calibri" w:cs="Arial"/>
          <w:sz w:val="18"/>
          <w:szCs w:val="18"/>
        </w:rPr>
        <w:t>All new, revised or amending standards that were issued prior to the sign-off date and are applicable to the current reporting period did not have a material effect on the entity’s financial statements.</w:t>
      </w:r>
    </w:p>
    <w:p w14:paraId="2830B25F" w14:textId="77777777" w:rsidR="005C6008" w:rsidRPr="00E10730" w:rsidRDefault="005C6008" w:rsidP="001C6F9B">
      <w:pPr>
        <w:autoSpaceDE w:val="0"/>
        <w:autoSpaceDN w:val="0"/>
        <w:adjustRightInd w:val="0"/>
        <w:spacing w:before="180" w:after="0" w:line="240" w:lineRule="auto"/>
        <w:rPr>
          <w:rFonts w:eastAsia="Calibri" w:cs="Arial"/>
          <w:b/>
          <w:bCs/>
          <w:color w:val="800080"/>
          <w:sz w:val="18"/>
          <w:szCs w:val="18"/>
        </w:rPr>
      </w:pPr>
      <w:r w:rsidRPr="00E10730">
        <w:rPr>
          <w:rFonts w:eastAsia="Calibri" w:cs="Arial"/>
          <w:b/>
          <w:bCs/>
          <w:color w:val="800080"/>
          <w:sz w:val="18"/>
          <w:szCs w:val="18"/>
        </w:rPr>
        <w:t>Taxation</w:t>
      </w:r>
    </w:p>
    <w:p w14:paraId="6F37A680" w14:textId="77777777" w:rsidR="005C6008" w:rsidRPr="00E10730" w:rsidRDefault="005C6008" w:rsidP="001C6F9B">
      <w:pPr>
        <w:tabs>
          <w:tab w:val="left" w:pos="7230"/>
          <w:tab w:val="left" w:pos="9504"/>
        </w:tabs>
        <w:autoSpaceDE w:val="0"/>
        <w:autoSpaceDN w:val="0"/>
        <w:adjustRightInd w:val="0"/>
        <w:spacing w:before="180" w:after="0" w:line="240" w:lineRule="auto"/>
        <w:rPr>
          <w:rFonts w:eastAsia="Calibri" w:cs="Arial"/>
          <w:sz w:val="18"/>
          <w:szCs w:val="18"/>
        </w:rPr>
      </w:pPr>
      <w:r w:rsidRPr="00E10730">
        <w:rPr>
          <w:rFonts w:eastAsia="Calibri" w:cs="Arial"/>
          <w:sz w:val="18"/>
          <w:szCs w:val="18"/>
        </w:rPr>
        <w:t>The Agency is exempt from all forms of Commonwealth, state, and territory taxation except Fringe Benefits Tax (FBT) and the Goods and Services Tax (GST).</w:t>
      </w:r>
    </w:p>
    <w:p w14:paraId="44FB71FD" w14:textId="77777777" w:rsidR="005C6008" w:rsidRPr="00E10730" w:rsidRDefault="005C6008" w:rsidP="001C6F9B">
      <w:pPr>
        <w:autoSpaceDE w:val="0"/>
        <w:autoSpaceDN w:val="0"/>
        <w:adjustRightInd w:val="0"/>
        <w:spacing w:before="180" w:after="0" w:line="240" w:lineRule="auto"/>
        <w:rPr>
          <w:rFonts w:eastAsia="Calibri" w:cs="Arial"/>
          <w:b/>
          <w:bCs/>
          <w:color w:val="800080"/>
          <w:sz w:val="18"/>
          <w:szCs w:val="18"/>
        </w:rPr>
      </w:pPr>
      <w:r w:rsidRPr="00E10730">
        <w:rPr>
          <w:rFonts w:eastAsia="Calibri" w:cs="Arial"/>
          <w:b/>
          <w:bCs/>
          <w:color w:val="800080"/>
          <w:sz w:val="18"/>
          <w:szCs w:val="18"/>
        </w:rPr>
        <w:t>Events after the reporting period</w:t>
      </w:r>
    </w:p>
    <w:p w14:paraId="58F18E94" w14:textId="66D3E16A" w:rsidR="00501AB9" w:rsidRDefault="0052126A" w:rsidP="001C6F9B">
      <w:pPr>
        <w:keepNext/>
        <w:autoSpaceDE w:val="0"/>
        <w:autoSpaceDN w:val="0"/>
        <w:adjustRightInd w:val="0"/>
        <w:spacing w:before="180" w:after="0" w:line="240" w:lineRule="auto"/>
        <w:rPr>
          <w:rFonts w:eastAsia="Calibri" w:cs="Arial"/>
          <w:sz w:val="18"/>
          <w:szCs w:val="18"/>
        </w:rPr>
      </w:pPr>
      <w:r w:rsidRPr="0052126A">
        <w:rPr>
          <w:rFonts w:eastAsia="Calibri" w:cs="Arial"/>
          <w:sz w:val="18"/>
          <w:szCs w:val="18"/>
        </w:rPr>
        <w:t>There are no known events occurring after the reporting period that could have a material impact on the financial statements.</w:t>
      </w:r>
    </w:p>
    <w:p w14:paraId="7D50C98D" w14:textId="50E76A9B" w:rsidR="005C6008" w:rsidRPr="00E10730" w:rsidRDefault="00E7001E" w:rsidP="001C6F9B">
      <w:pPr>
        <w:keepNext/>
        <w:autoSpaceDE w:val="0"/>
        <w:autoSpaceDN w:val="0"/>
        <w:adjustRightInd w:val="0"/>
        <w:spacing w:before="180" w:after="0" w:line="240" w:lineRule="auto"/>
        <w:rPr>
          <w:rFonts w:eastAsia="Calibri" w:cs="Arial"/>
          <w:sz w:val="22"/>
          <w:szCs w:val="22"/>
        </w:rPr>
      </w:pPr>
      <w:r w:rsidRPr="00E10730">
        <w:rPr>
          <w:rFonts w:eastAsia="Calibri" w:cs="Arial"/>
          <w:sz w:val="18"/>
          <w:szCs w:val="18"/>
        </w:rPr>
        <w:t xml:space="preserve">On 18 August 2026, the Australian Parliament passed the </w:t>
      </w:r>
      <w:r w:rsidRPr="00E10730">
        <w:rPr>
          <w:rFonts w:eastAsia="Calibri" w:cs="Arial"/>
          <w:i/>
          <w:iCs/>
          <w:sz w:val="18"/>
          <w:szCs w:val="18"/>
        </w:rPr>
        <w:t>National Disability Insurance Scheme Amendment (Securing the NDIS for Future Generations) Act 2026</w:t>
      </w:r>
      <w:r w:rsidRPr="00E10730">
        <w:rPr>
          <w:rFonts w:eastAsia="Calibri" w:cs="Arial"/>
          <w:sz w:val="18"/>
          <w:szCs w:val="18"/>
        </w:rPr>
        <w:t>. This legislation will assist in securing the future of the</w:t>
      </w:r>
      <w:r w:rsidR="009E4866" w:rsidRPr="00E10730">
        <w:rPr>
          <w:rFonts w:eastAsia="Calibri" w:cs="Arial"/>
          <w:sz w:val="18"/>
          <w:szCs w:val="18"/>
        </w:rPr>
        <w:t xml:space="preserve"> Scheme through the introduction of a range of new measures. The Act has no impact on the FY 2025</w:t>
      </w:r>
      <w:r w:rsidR="00B42C1E" w:rsidRPr="00E10730">
        <w:rPr>
          <w:rFonts w:eastAsia="Calibri" w:cs="Arial"/>
          <w:sz w:val="18"/>
          <w:szCs w:val="18"/>
        </w:rPr>
        <w:t>–</w:t>
      </w:r>
      <w:r w:rsidR="009E4866" w:rsidRPr="00E10730">
        <w:rPr>
          <w:rFonts w:eastAsia="Calibri" w:cs="Arial"/>
          <w:sz w:val="18"/>
          <w:szCs w:val="18"/>
        </w:rPr>
        <w:t>26 Annual Financial Statements.</w:t>
      </w:r>
    </w:p>
    <w:p w14:paraId="1F5133D7" w14:textId="77777777" w:rsidR="005C6008" w:rsidRPr="00E10730" w:rsidRDefault="005C6008" w:rsidP="001C6F9B">
      <w:pPr>
        <w:tabs>
          <w:tab w:val="left" w:pos="7230"/>
          <w:tab w:val="left" w:pos="9504"/>
        </w:tabs>
        <w:autoSpaceDE w:val="0"/>
        <w:autoSpaceDN w:val="0"/>
        <w:adjustRightInd w:val="0"/>
        <w:spacing w:before="180" w:after="0" w:line="240" w:lineRule="auto"/>
        <w:rPr>
          <w:rFonts w:eastAsia="Calibri" w:cs="Arial"/>
          <w:color w:val="FFFFFF"/>
          <w:sz w:val="22"/>
          <w:szCs w:val="22"/>
        </w:rPr>
        <w:sectPr w:rsidR="005C6008" w:rsidRPr="00E10730" w:rsidSect="00EB1047">
          <w:pgSz w:w="11906" w:h="16838" w:code="9"/>
          <w:pgMar w:top="1247" w:right="1701" w:bottom="1247" w:left="1134" w:header="720" w:footer="567" w:gutter="0"/>
          <w:cols w:space="720"/>
          <w:noEndnote/>
          <w:docGrid w:linePitch="326"/>
        </w:sectPr>
      </w:pPr>
    </w:p>
    <w:p w14:paraId="093E7E46"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National Disability Insurance Agency</w:t>
      </w:r>
    </w:p>
    <w:p w14:paraId="3D7EFBA0"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NOTES TO AND FORMING PART OF THE FINANCIAL STATEMENTS</w:t>
      </w:r>
    </w:p>
    <w:p w14:paraId="4B880BCE" w14:textId="77777777" w:rsidR="005C6008" w:rsidRPr="00E10730" w:rsidRDefault="005C6008" w:rsidP="00115FA3">
      <w:pPr>
        <w:shd w:val="clear" w:color="auto" w:fill="800080"/>
        <w:autoSpaceDE w:val="0"/>
        <w:autoSpaceDN w:val="0"/>
        <w:adjustRightInd w:val="0"/>
        <w:spacing w:before="240" w:after="0" w:line="240" w:lineRule="auto"/>
        <w:ind w:left="360" w:hanging="360"/>
        <w:rPr>
          <w:rFonts w:eastAsia="Calibri" w:cs="Arial"/>
          <w:b/>
          <w:bCs/>
          <w:color w:val="FFFFFF"/>
        </w:rPr>
      </w:pPr>
      <w:r w:rsidRPr="00E10730">
        <w:rPr>
          <w:rFonts w:eastAsia="Calibri" w:cs="Arial"/>
          <w:color w:val="FFFFFF"/>
        </w:rPr>
        <w:t>1.</w:t>
      </w:r>
      <w:r w:rsidRPr="00E10730">
        <w:rPr>
          <w:rFonts w:eastAsia="Calibri" w:cs="Arial"/>
          <w:color w:val="FFFFFF"/>
        </w:rPr>
        <w:tab/>
      </w:r>
      <w:r w:rsidRPr="00E10730">
        <w:rPr>
          <w:rFonts w:eastAsia="Calibri" w:cs="Arial"/>
          <w:b/>
          <w:bCs/>
          <w:color w:val="FFFFFF"/>
        </w:rPr>
        <w:t>Financial Performance</w:t>
      </w:r>
    </w:p>
    <w:p w14:paraId="3D39C024" w14:textId="77777777" w:rsidR="005C6008" w:rsidRPr="00E10730" w:rsidRDefault="005C6008" w:rsidP="00115FA3">
      <w:pPr>
        <w:shd w:val="clear" w:color="auto" w:fill="800080"/>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This section analyses the financial performance of the Agency for the year ended 30 June 2026.</w:t>
      </w:r>
    </w:p>
    <w:p w14:paraId="6B8D0AE7" w14:textId="77777777" w:rsidR="005C6008" w:rsidRPr="00E10730" w:rsidRDefault="005C6008" w:rsidP="00115FA3">
      <w:pPr>
        <w:shd w:val="clear" w:color="auto" w:fill="000000"/>
        <w:autoSpaceDE w:val="0"/>
        <w:autoSpaceDN w:val="0"/>
        <w:adjustRightInd w:val="0"/>
        <w:spacing w:after="0" w:line="240" w:lineRule="auto"/>
        <w:ind w:left="426" w:hanging="426"/>
        <w:rPr>
          <w:rFonts w:eastAsia="Calibri" w:cs="Arial"/>
          <w:b/>
          <w:bCs/>
          <w:color w:val="FFFFFF"/>
          <w:sz w:val="20"/>
          <w:szCs w:val="20"/>
        </w:rPr>
      </w:pPr>
      <w:r w:rsidRPr="00E10730">
        <w:rPr>
          <w:rFonts w:eastAsia="Calibri" w:cs="Arial"/>
          <w:b/>
          <w:bCs/>
          <w:color w:val="FFFFFF"/>
          <w:sz w:val="20"/>
          <w:szCs w:val="20"/>
        </w:rPr>
        <w:t>1.1.</w:t>
      </w:r>
      <w:r w:rsidRPr="00E10730">
        <w:rPr>
          <w:rFonts w:eastAsia="Calibri" w:cs="Arial"/>
          <w:b/>
          <w:bCs/>
          <w:color w:val="FFFFFF"/>
          <w:sz w:val="20"/>
          <w:szCs w:val="20"/>
        </w:rPr>
        <w:tab/>
        <w:t>Expenses</w:t>
      </w:r>
    </w:p>
    <w:tbl>
      <w:tblPr>
        <w:tblW w:w="0" w:type="auto"/>
        <w:tblLayout w:type="fixed"/>
        <w:tblLook w:val="0000" w:firstRow="0" w:lastRow="0" w:firstColumn="0" w:lastColumn="0" w:noHBand="0" w:noVBand="0"/>
      </w:tblPr>
      <w:tblGrid>
        <w:gridCol w:w="6556"/>
        <w:gridCol w:w="1275"/>
        <w:gridCol w:w="1256"/>
      </w:tblGrid>
      <w:tr w:rsidR="005C6008" w:rsidRPr="00E10730" w14:paraId="04F46861" w14:textId="77777777">
        <w:trPr>
          <w:trHeight w:val="253"/>
        </w:trPr>
        <w:tc>
          <w:tcPr>
            <w:tcW w:w="6556" w:type="dxa"/>
            <w:tcBorders>
              <w:top w:val="nil"/>
              <w:left w:val="nil"/>
              <w:bottom w:val="nil"/>
              <w:right w:val="nil"/>
            </w:tcBorders>
            <w:shd w:val="clear" w:color="FFFFFF" w:fill="FFFFFF"/>
            <w:vAlign w:val="bottom"/>
          </w:tcPr>
          <w:p w14:paraId="1CE83A5A"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5" w:type="dxa"/>
            <w:tcBorders>
              <w:top w:val="nil"/>
              <w:left w:val="nil"/>
              <w:bottom w:val="nil"/>
              <w:right w:val="nil"/>
            </w:tcBorders>
            <w:shd w:val="clear" w:color="FFFFFF" w:fill="FFFFFF"/>
            <w:vAlign w:val="bottom"/>
          </w:tcPr>
          <w:p w14:paraId="1413610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256" w:type="dxa"/>
            <w:tcBorders>
              <w:top w:val="nil"/>
              <w:left w:val="nil"/>
              <w:bottom w:val="nil"/>
              <w:right w:val="nil"/>
            </w:tcBorders>
            <w:shd w:val="clear" w:color="FFFFFF" w:fill="FFFFFF"/>
            <w:vAlign w:val="bottom"/>
          </w:tcPr>
          <w:p w14:paraId="467EAE6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r>
      <w:tr w:rsidR="005C6008" w:rsidRPr="00E10730" w14:paraId="4DB97E2E" w14:textId="77777777">
        <w:trPr>
          <w:trHeight w:val="253"/>
        </w:trPr>
        <w:tc>
          <w:tcPr>
            <w:tcW w:w="6556" w:type="dxa"/>
            <w:tcBorders>
              <w:top w:val="nil"/>
              <w:left w:val="nil"/>
              <w:bottom w:val="nil"/>
              <w:right w:val="nil"/>
            </w:tcBorders>
            <w:shd w:val="clear" w:color="FFFFFF" w:fill="FFFFFF"/>
            <w:vAlign w:val="bottom"/>
          </w:tcPr>
          <w:p w14:paraId="2F54FA0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5" w:type="dxa"/>
            <w:tcBorders>
              <w:top w:val="nil"/>
              <w:left w:val="nil"/>
              <w:bottom w:val="nil"/>
              <w:right w:val="nil"/>
            </w:tcBorders>
            <w:shd w:val="clear" w:color="FFFFFF" w:fill="FFFFFF"/>
            <w:vAlign w:val="bottom"/>
          </w:tcPr>
          <w:p w14:paraId="6A07A4A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256" w:type="dxa"/>
            <w:tcBorders>
              <w:top w:val="nil"/>
              <w:left w:val="nil"/>
              <w:bottom w:val="nil"/>
              <w:right w:val="nil"/>
            </w:tcBorders>
            <w:shd w:val="clear" w:color="FFFFFF" w:fill="FFFFFF"/>
            <w:vAlign w:val="bottom"/>
          </w:tcPr>
          <w:p w14:paraId="4244353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r>
      <w:tr w:rsidR="005C6008" w:rsidRPr="00E10730" w14:paraId="351C716A" w14:textId="77777777">
        <w:trPr>
          <w:trHeight w:val="253"/>
        </w:trPr>
        <w:tc>
          <w:tcPr>
            <w:tcW w:w="6556" w:type="dxa"/>
            <w:tcBorders>
              <w:top w:val="nil"/>
              <w:left w:val="nil"/>
              <w:bottom w:val="nil"/>
              <w:right w:val="nil"/>
            </w:tcBorders>
            <w:shd w:val="clear" w:color="FFFFFF" w:fill="FFFFFF"/>
            <w:vAlign w:val="bottom"/>
          </w:tcPr>
          <w:p w14:paraId="602A7B55"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1.1A: Employee benefits</w:t>
            </w:r>
          </w:p>
        </w:tc>
        <w:tc>
          <w:tcPr>
            <w:tcW w:w="1275" w:type="dxa"/>
            <w:tcBorders>
              <w:top w:val="nil"/>
              <w:left w:val="nil"/>
              <w:bottom w:val="nil"/>
              <w:right w:val="nil"/>
            </w:tcBorders>
            <w:shd w:val="clear" w:color="FFFFFF" w:fill="FFFFFF"/>
            <w:vAlign w:val="bottom"/>
          </w:tcPr>
          <w:p w14:paraId="58CA56CD"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56" w:type="dxa"/>
            <w:tcBorders>
              <w:top w:val="nil"/>
              <w:left w:val="nil"/>
              <w:bottom w:val="nil"/>
              <w:right w:val="nil"/>
            </w:tcBorders>
            <w:shd w:val="clear" w:color="FFFFFF" w:fill="FFFFFF"/>
            <w:vAlign w:val="bottom"/>
          </w:tcPr>
          <w:p w14:paraId="6570D807"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274C7A6F" w14:textId="77777777">
        <w:trPr>
          <w:trHeight w:val="253"/>
        </w:trPr>
        <w:tc>
          <w:tcPr>
            <w:tcW w:w="6556" w:type="dxa"/>
            <w:tcBorders>
              <w:top w:val="nil"/>
              <w:left w:val="nil"/>
              <w:bottom w:val="nil"/>
              <w:right w:val="nil"/>
            </w:tcBorders>
            <w:shd w:val="clear" w:color="FFFFFF" w:fill="FFFFFF"/>
            <w:vAlign w:val="bottom"/>
          </w:tcPr>
          <w:p w14:paraId="1F37C66D"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Wages and salaries</w:t>
            </w:r>
          </w:p>
        </w:tc>
        <w:tc>
          <w:tcPr>
            <w:tcW w:w="1275" w:type="dxa"/>
            <w:tcBorders>
              <w:top w:val="nil"/>
              <w:left w:val="nil"/>
              <w:bottom w:val="nil"/>
              <w:right w:val="nil"/>
            </w:tcBorders>
            <w:shd w:val="clear" w:color="FFFFFF" w:fill="FFFFFF"/>
            <w:vAlign w:val="bottom"/>
          </w:tcPr>
          <w:p w14:paraId="39C4120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1,015,664</w:t>
            </w:r>
          </w:p>
        </w:tc>
        <w:tc>
          <w:tcPr>
            <w:tcW w:w="1256" w:type="dxa"/>
            <w:tcBorders>
              <w:top w:val="nil"/>
              <w:left w:val="nil"/>
              <w:bottom w:val="nil"/>
              <w:right w:val="nil"/>
            </w:tcBorders>
            <w:shd w:val="clear" w:color="FFFFFF" w:fill="FFFFFF"/>
            <w:vAlign w:val="bottom"/>
          </w:tcPr>
          <w:p w14:paraId="31F5370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827,723</w:t>
            </w:r>
          </w:p>
        </w:tc>
      </w:tr>
      <w:tr w:rsidR="005C6008" w:rsidRPr="00E10730" w14:paraId="1EC2D0B5" w14:textId="77777777">
        <w:trPr>
          <w:trHeight w:val="253"/>
        </w:trPr>
        <w:tc>
          <w:tcPr>
            <w:tcW w:w="6556" w:type="dxa"/>
            <w:tcBorders>
              <w:top w:val="nil"/>
              <w:left w:val="nil"/>
              <w:bottom w:val="nil"/>
              <w:right w:val="nil"/>
            </w:tcBorders>
            <w:shd w:val="clear" w:color="FFFFFF" w:fill="FFFFFF"/>
            <w:vAlign w:val="bottom"/>
          </w:tcPr>
          <w:p w14:paraId="3C01AFF8"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Superannuation</w:t>
            </w:r>
          </w:p>
        </w:tc>
        <w:tc>
          <w:tcPr>
            <w:tcW w:w="1275" w:type="dxa"/>
            <w:tcBorders>
              <w:top w:val="nil"/>
              <w:left w:val="nil"/>
              <w:bottom w:val="nil"/>
              <w:right w:val="nil"/>
            </w:tcBorders>
            <w:shd w:val="clear" w:color="FFFFFF" w:fill="FFFFFF"/>
            <w:vAlign w:val="bottom"/>
          </w:tcPr>
          <w:p w14:paraId="27C8870D"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56" w:type="dxa"/>
            <w:tcBorders>
              <w:top w:val="nil"/>
              <w:left w:val="nil"/>
              <w:bottom w:val="nil"/>
              <w:right w:val="nil"/>
            </w:tcBorders>
            <w:shd w:val="clear" w:color="FFFFFF" w:fill="FFFFFF"/>
            <w:vAlign w:val="bottom"/>
          </w:tcPr>
          <w:p w14:paraId="52F1BBEA"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7A07D4D6" w14:textId="77777777">
        <w:trPr>
          <w:trHeight w:val="253"/>
        </w:trPr>
        <w:tc>
          <w:tcPr>
            <w:tcW w:w="6556" w:type="dxa"/>
            <w:tcBorders>
              <w:top w:val="nil"/>
              <w:left w:val="nil"/>
              <w:bottom w:val="nil"/>
              <w:right w:val="nil"/>
            </w:tcBorders>
            <w:shd w:val="clear" w:color="FFFFFF" w:fill="FFFFFF"/>
            <w:vAlign w:val="bottom"/>
          </w:tcPr>
          <w:p w14:paraId="32CD7B48"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Defined contribution plans</w:t>
            </w:r>
          </w:p>
        </w:tc>
        <w:tc>
          <w:tcPr>
            <w:tcW w:w="1275" w:type="dxa"/>
            <w:tcBorders>
              <w:top w:val="nil"/>
              <w:left w:val="nil"/>
              <w:bottom w:val="nil"/>
              <w:right w:val="nil"/>
            </w:tcBorders>
            <w:shd w:val="clear" w:color="FFFFFF" w:fill="FFFFFF"/>
            <w:vAlign w:val="bottom"/>
          </w:tcPr>
          <w:p w14:paraId="0FFF569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154,013</w:t>
            </w:r>
          </w:p>
        </w:tc>
        <w:tc>
          <w:tcPr>
            <w:tcW w:w="1256" w:type="dxa"/>
            <w:tcBorders>
              <w:top w:val="nil"/>
              <w:left w:val="nil"/>
              <w:bottom w:val="nil"/>
              <w:right w:val="nil"/>
            </w:tcBorders>
            <w:shd w:val="clear" w:color="FFFFFF" w:fill="FFFFFF"/>
            <w:vAlign w:val="bottom"/>
          </w:tcPr>
          <w:p w14:paraId="51A9CC1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119,725</w:t>
            </w:r>
          </w:p>
        </w:tc>
      </w:tr>
      <w:tr w:rsidR="005C6008" w:rsidRPr="00E10730" w14:paraId="15905AB7" w14:textId="77777777">
        <w:trPr>
          <w:trHeight w:val="253"/>
        </w:trPr>
        <w:tc>
          <w:tcPr>
            <w:tcW w:w="6556" w:type="dxa"/>
            <w:tcBorders>
              <w:top w:val="nil"/>
              <w:left w:val="nil"/>
              <w:bottom w:val="nil"/>
              <w:right w:val="nil"/>
            </w:tcBorders>
            <w:shd w:val="clear" w:color="FFFFFF" w:fill="FFFFFF"/>
            <w:vAlign w:val="bottom"/>
          </w:tcPr>
          <w:p w14:paraId="197D1C51"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Defined benefit plans</w:t>
            </w:r>
          </w:p>
        </w:tc>
        <w:tc>
          <w:tcPr>
            <w:tcW w:w="1275" w:type="dxa"/>
            <w:tcBorders>
              <w:top w:val="nil"/>
              <w:left w:val="nil"/>
              <w:bottom w:val="nil"/>
              <w:right w:val="nil"/>
            </w:tcBorders>
            <w:shd w:val="clear" w:color="FFFFFF" w:fill="FFFFFF"/>
            <w:vAlign w:val="bottom"/>
          </w:tcPr>
          <w:p w14:paraId="6FB40B9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21,081</w:t>
            </w:r>
          </w:p>
        </w:tc>
        <w:tc>
          <w:tcPr>
            <w:tcW w:w="1256" w:type="dxa"/>
            <w:tcBorders>
              <w:top w:val="nil"/>
              <w:left w:val="nil"/>
              <w:bottom w:val="nil"/>
              <w:right w:val="nil"/>
            </w:tcBorders>
            <w:shd w:val="clear" w:color="FFFFFF" w:fill="FFFFFF"/>
            <w:vAlign w:val="bottom"/>
          </w:tcPr>
          <w:p w14:paraId="692D9A9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19,058</w:t>
            </w:r>
          </w:p>
        </w:tc>
      </w:tr>
      <w:tr w:rsidR="005C6008" w:rsidRPr="00E10730" w14:paraId="3F6EC176" w14:textId="77777777">
        <w:trPr>
          <w:trHeight w:val="253"/>
        </w:trPr>
        <w:tc>
          <w:tcPr>
            <w:tcW w:w="6556" w:type="dxa"/>
            <w:tcBorders>
              <w:top w:val="nil"/>
              <w:left w:val="nil"/>
              <w:bottom w:val="nil"/>
              <w:right w:val="nil"/>
            </w:tcBorders>
            <w:shd w:val="clear" w:color="FFFFFF" w:fill="FFFFFF"/>
            <w:vAlign w:val="bottom"/>
          </w:tcPr>
          <w:p w14:paraId="5DF4D95F"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Leave and other entitlements</w:t>
            </w:r>
          </w:p>
        </w:tc>
        <w:tc>
          <w:tcPr>
            <w:tcW w:w="1275" w:type="dxa"/>
            <w:tcBorders>
              <w:top w:val="nil"/>
              <w:left w:val="nil"/>
              <w:bottom w:val="nil"/>
              <w:right w:val="nil"/>
            </w:tcBorders>
            <w:shd w:val="clear" w:color="FFFFFF" w:fill="FFFFFF"/>
            <w:vAlign w:val="bottom"/>
          </w:tcPr>
          <w:p w14:paraId="154408E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132,375</w:t>
            </w:r>
          </w:p>
        </w:tc>
        <w:tc>
          <w:tcPr>
            <w:tcW w:w="1256" w:type="dxa"/>
            <w:tcBorders>
              <w:top w:val="nil"/>
              <w:left w:val="nil"/>
              <w:bottom w:val="nil"/>
              <w:right w:val="nil"/>
            </w:tcBorders>
            <w:shd w:val="clear" w:color="FFFFFF" w:fill="FFFFFF"/>
            <w:vAlign w:val="bottom"/>
          </w:tcPr>
          <w:p w14:paraId="6E153A6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99,682</w:t>
            </w:r>
          </w:p>
        </w:tc>
      </w:tr>
      <w:tr w:rsidR="005C6008" w:rsidRPr="00E10730" w14:paraId="5DAC3118" w14:textId="77777777">
        <w:trPr>
          <w:trHeight w:val="253"/>
        </w:trPr>
        <w:tc>
          <w:tcPr>
            <w:tcW w:w="6556" w:type="dxa"/>
            <w:tcBorders>
              <w:top w:val="nil"/>
              <w:left w:val="nil"/>
              <w:bottom w:val="nil"/>
              <w:right w:val="nil"/>
            </w:tcBorders>
            <w:shd w:val="clear" w:color="FFFFFF" w:fill="FFFFFF"/>
            <w:vAlign w:val="bottom"/>
          </w:tcPr>
          <w:p w14:paraId="17009453"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Separation and redundancies</w:t>
            </w:r>
          </w:p>
        </w:tc>
        <w:tc>
          <w:tcPr>
            <w:tcW w:w="1275" w:type="dxa"/>
            <w:tcBorders>
              <w:top w:val="nil"/>
              <w:left w:val="nil"/>
              <w:bottom w:val="nil"/>
              <w:right w:val="nil"/>
            </w:tcBorders>
            <w:shd w:val="clear" w:color="FFFFFF" w:fill="FFFFFF"/>
            <w:vAlign w:val="bottom"/>
          </w:tcPr>
          <w:p w14:paraId="0C47006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2,025</w:t>
            </w:r>
          </w:p>
        </w:tc>
        <w:tc>
          <w:tcPr>
            <w:tcW w:w="1256" w:type="dxa"/>
            <w:tcBorders>
              <w:top w:val="nil"/>
              <w:left w:val="nil"/>
              <w:bottom w:val="nil"/>
              <w:right w:val="nil"/>
            </w:tcBorders>
            <w:shd w:val="clear" w:color="FFFFFF" w:fill="FFFFFF"/>
            <w:vAlign w:val="bottom"/>
          </w:tcPr>
          <w:p w14:paraId="1AE8525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631</w:t>
            </w:r>
          </w:p>
        </w:tc>
      </w:tr>
      <w:tr w:rsidR="005C6008" w:rsidRPr="00E10730" w14:paraId="416BEA18" w14:textId="77777777">
        <w:trPr>
          <w:trHeight w:val="253"/>
        </w:trPr>
        <w:tc>
          <w:tcPr>
            <w:tcW w:w="6556" w:type="dxa"/>
            <w:tcBorders>
              <w:top w:val="nil"/>
              <w:left w:val="nil"/>
              <w:bottom w:val="nil"/>
              <w:right w:val="nil"/>
            </w:tcBorders>
            <w:shd w:val="clear" w:color="FFFFFF" w:fill="FFFFFF"/>
            <w:vAlign w:val="bottom"/>
          </w:tcPr>
          <w:p w14:paraId="31E43CDD"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Other employee expenses</w:t>
            </w:r>
          </w:p>
        </w:tc>
        <w:tc>
          <w:tcPr>
            <w:tcW w:w="1275" w:type="dxa"/>
            <w:tcBorders>
              <w:top w:val="nil"/>
              <w:left w:val="nil"/>
              <w:bottom w:val="nil"/>
              <w:right w:val="nil"/>
            </w:tcBorders>
            <w:shd w:val="clear" w:color="FFFFFF" w:fill="FFFFFF"/>
            <w:vAlign w:val="bottom"/>
          </w:tcPr>
          <w:p w14:paraId="1BFFA74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w:t>
            </w:r>
          </w:p>
        </w:tc>
        <w:tc>
          <w:tcPr>
            <w:tcW w:w="1256" w:type="dxa"/>
            <w:tcBorders>
              <w:top w:val="nil"/>
              <w:left w:val="nil"/>
              <w:bottom w:val="nil"/>
              <w:right w:val="nil"/>
            </w:tcBorders>
            <w:shd w:val="clear" w:color="FFFFFF" w:fill="FFFFFF"/>
            <w:vAlign w:val="bottom"/>
          </w:tcPr>
          <w:p w14:paraId="39C1231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65</w:t>
            </w:r>
          </w:p>
        </w:tc>
      </w:tr>
      <w:tr w:rsidR="005C6008" w:rsidRPr="00E10730" w14:paraId="019233E9" w14:textId="77777777">
        <w:trPr>
          <w:trHeight w:val="253"/>
        </w:trPr>
        <w:tc>
          <w:tcPr>
            <w:tcW w:w="6556" w:type="dxa"/>
            <w:tcBorders>
              <w:top w:val="nil"/>
              <w:left w:val="nil"/>
              <w:bottom w:val="nil"/>
              <w:right w:val="nil"/>
            </w:tcBorders>
            <w:shd w:val="clear" w:color="FFFFFF" w:fill="FFFFFF"/>
            <w:vAlign w:val="bottom"/>
          </w:tcPr>
          <w:p w14:paraId="64007228"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employee benefits</w:t>
            </w:r>
          </w:p>
        </w:tc>
        <w:tc>
          <w:tcPr>
            <w:tcW w:w="1275" w:type="dxa"/>
            <w:tcBorders>
              <w:top w:val="single" w:sz="4" w:space="0" w:color="auto"/>
              <w:left w:val="nil"/>
              <w:bottom w:val="single" w:sz="4" w:space="0" w:color="auto"/>
              <w:right w:val="nil"/>
            </w:tcBorders>
            <w:shd w:val="clear" w:color="FFFFFF" w:fill="FFFFFF"/>
            <w:vAlign w:val="bottom"/>
          </w:tcPr>
          <w:p w14:paraId="002867C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1,325,159</w:t>
            </w:r>
          </w:p>
        </w:tc>
        <w:tc>
          <w:tcPr>
            <w:tcW w:w="1256" w:type="dxa"/>
            <w:tcBorders>
              <w:top w:val="single" w:sz="4" w:space="0" w:color="auto"/>
              <w:left w:val="nil"/>
              <w:bottom w:val="single" w:sz="4" w:space="0" w:color="auto"/>
              <w:right w:val="nil"/>
            </w:tcBorders>
            <w:shd w:val="clear" w:color="FFFFFF" w:fill="FFFFFF"/>
            <w:vAlign w:val="bottom"/>
          </w:tcPr>
          <w:p w14:paraId="292167A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1,066,884</w:t>
            </w:r>
          </w:p>
        </w:tc>
      </w:tr>
    </w:tbl>
    <w:p w14:paraId="60DE2305"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240" w:line="240" w:lineRule="auto"/>
        <w:rPr>
          <w:rFonts w:eastAsia="Calibri" w:cs="Arial"/>
          <w:b/>
          <w:bCs/>
          <w:sz w:val="18"/>
          <w:szCs w:val="18"/>
        </w:rPr>
      </w:pPr>
      <w:r w:rsidRPr="00E10730">
        <w:rPr>
          <w:rFonts w:eastAsia="Calibri" w:cs="Arial"/>
          <w:b/>
          <w:bCs/>
          <w:sz w:val="18"/>
          <w:szCs w:val="18"/>
        </w:rPr>
        <w:t>Accounting Policy</w:t>
      </w:r>
    </w:p>
    <w:p w14:paraId="44F26B8E"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 xml:space="preserve">Accounting policies for employee related expenses are contained in Section 3. People and Relationships. </w:t>
      </w:r>
    </w:p>
    <w:tbl>
      <w:tblPr>
        <w:tblW w:w="0" w:type="auto"/>
        <w:tblBorders>
          <w:top w:val="single" w:sz="4" w:space="1" w:color="auto"/>
          <w:left w:val="single" w:sz="4" w:space="0" w:color="auto"/>
          <w:bottom w:val="single" w:sz="4" w:space="1" w:color="auto"/>
          <w:right w:val="single" w:sz="4" w:space="0" w:color="auto"/>
        </w:tblBorders>
        <w:tblLayout w:type="fixed"/>
        <w:tblLook w:val="0000" w:firstRow="0" w:lastRow="0" w:firstColumn="0" w:lastColumn="0" w:noHBand="0" w:noVBand="0"/>
      </w:tblPr>
      <w:tblGrid>
        <w:gridCol w:w="6556"/>
        <w:gridCol w:w="1275"/>
        <w:gridCol w:w="1256"/>
      </w:tblGrid>
      <w:tr w:rsidR="005C6008" w:rsidRPr="00E10730" w14:paraId="55C5B459" w14:textId="77777777">
        <w:trPr>
          <w:trHeight w:val="260"/>
        </w:trPr>
        <w:tc>
          <w:tcPr>
            <w:tcW w:w="6556" w:type="dxa"/>
            <w:tcBorders>
              <w:top w:val="nil"/>
              <w:left w:val="nil"/>
              <w:bottom w:val="nil"/>
              <w:right w:val="nil"/>
            </w:tcBorders>
            <w:shd w:val="clear" w:color="FFFFFF" w:fill="FFFFFF"/>
            <w:vAlign w:val="bottom"/>
          </w:tcPr>
          <w:p w14:paraId="23150BBE"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1.1B: Suppliers</w:t>
            </w:r>
          </w:p>
        </w:tc>
        <w:tc>
          <w:tcPr>
            <w:tcW w:w="1275" w:type="dxa"/>
            <w:tcBorders>
              <w:top w:val="nil"/>
              <w:left w:val="nil"/>
              <w:bottom w:val="nil"/>
              <w:right w:val="nil"/>
            </w:tcBorders>
            <w:shd w:val="clear" w:color="FFFFFF" w:fill="FFFFFF"/>
            <w:vAlign w:val="bottom"/>
          </w:tcPr>
          <w:p w14:paraId="797033BD"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56" w:type="dxa"/>
            <w:tcBorders>
              <w:top w:val="nil"/>
              <w:left w:val="nil"/>
              <w:bottom w:val="nil"/>
              <w:right w:val="nil"/>
            </w:tcBorders>
            <w:shd w:val="clear" w:color="FFFFFF" w:fill="FFFFFF"/>
            <w:vAlign w:val="bottom"/>
          </w:tcPr>
          <w:p w14:paraId="607DD0F2"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2789D8BD" w14:textId="77777777">
        <w:tblPrEx>
          <w:tblBorders>
            <w:top w:val="none" w:sz="0" w:space="0" w:color="auto"/>
            <w:left w:val="none" w:sz="0" w:space="0" w:color="auto"/>
            <w:bottom w:val="none" w:sz="0" w:space="0" w:color="auto"/>
            <w:right w:val="none" w:sz="0" w:space="0" w:color="auto"/>
          </w:tblBorders>
        </w:tblPrEx>
        <w:trPr>
          <w:trHeight w:val="260"/>
        </w:trPr>
        <w:tc>
          <w:tcPr>
            <w:tcW w:w="6556" w:type="dxa"/>
            <w:tcBorders>
              <w:top w:val="nil"/>
              <w:left w:val="nil"/>
              <w:bottom w:val="nil"/>
              <w:right w:val="nil"/>
            </w:tcBorders>
            <w:shd w:val="clear" w:color="FFFFFF" w:fill="FFFFFF"/>
            <w:vAlign w:val="bottom"/>
          </w:tcPr>
          <w:p w14:paraId="1CA48B68"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Services rendered</w:t>
            </w:r>
          </w:p>
        </w:tc>
        <w:tc>
          <w:tcPr>
            <w:tcW w:w="1275" w:type="dxa"/>
            <w:tcBorders>
              <w:top w:val="nil"/>
              <w:left w:val="nil"/>
              <w:bottom w:val="nil"/>
              <w:right w:val="nil"/>
            </w:tcBorders>
            <w:shd w:val="clear" w:color="FFFFFF" w:fill="FFFFFF"/>
            <w:vAlign w:val="bottom"/>
          </w:tcPr>
          <w:p w14:paraId="6F84DCC9"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56" w:type="dxa"/>
            <w:tcBorders>
              <w:top w:val="nil"/>
              <w:left w:val="nil"/>
              <w:bottom w:val="nil"/>
              <w:right w:val="nil"/>
            </w:tcBorders>
            <w:shd w:val="clear" w:color="FFFFFF" w:fill="FFFFFF"/>
            <w:vAlign w:val="bottom"/>
          </w:tcPr>
          <w:p w14:paraId="5716FA36"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5102C0E2" w14:textId="77777777">
        <w:tblPrEx>
          <w:tblBorders>
            <w:top w:val="none" w:sz="0" w:space="0" w:color="auto"/>
            <w:left w:val="none" w:sz="0" w:space="0" w:color="auto"/>
            <w:bottom w:val="none" w:sz="0" w:space="0" w:color="auto"/>
            <w:right w:val="none" w:sz="0" w:space="0" w:color="auto"/>
          </w:tblBorders>
        </w:tblPrEx>
        <w:trPr>
          <w:trHeight w:val="270"/>
        </w:trPr>
        <w:tc>
          <w:tcPr>
            <w:tcW w:w="6556" w:type="dxa"/>
            <w:tcBorders>
              <w:top w:val="nil"/>
              <w:left w:val="nil"/>
              <w:bottom w:val="nil"/>
              <w:right w:val="nil"/>
            </w:tcBorders>
            <w:shd w:val="clear" w:color="FFFFFF" w:fill="FFFFFF"/>
            <w:vAlign w:val="bottom"/>
          </w:tcPr>
          <w:p w14:paraId="6E4C8C72"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Service providers</w:t>
            </w:r>
            <w:r w:rsidRPr="00E10730">
              <w:rPr>
                <w:rFonts w:eastAsia="Calibri" w:cs="Arial"/>
                <w:sz w:val="18"/>
                <w:szCs w:val="18"/>
                <w:vertAlign w:val="superscript"/>
              </w:rPr>
              <w:t>1</w:t>
            </w:r>
          </w:p>
        </w:tc>
        <w:tc>
          <w:tcPr>
            <w:tcW w:w="1275" w:type="dxa"/>
            <w:tcBorders>
              <w:top w:val="nil"/>
              <w:left w:val="nil"/>
              <w:bottom w:val="nil"/>
              <w:right w:val="nil"/>
            </w:tcBorders>
            <w:vAlign w:val="bottom"/>
          </w:tcPr>
          <w:p w14:paraId="09B4DDB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446,333</w:t>
            </w:r>
          </w:p>
        </w:tc>
        <w:tc>
          <w:tcPr>
            <w:tcW w:w="1256" w:type="dxa"/>
            <w:tcBorders>
              <w:top w:val="nil"/>
              <w:left w:val="nil"/>
              <w:bottom w:val="nil"/>
              <w:right w:val="nil"/>
            </w:tcBorders>
            <w:shd w:val="clear" w:color="FFFFFF" w:fill="FFFFFF"/>
            <w:vAlign w:val="bottom"/>
          </w:tcPr>
          <w:p w14:paraId="7AA96E8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446,144</w:t>
            </w:r>
          </w:p>
        </w:tc>
      </w:tr>
      <w:tr w:rsidR="005C6008" w:rsidRPr="00E10730" w14:paraId="76C15A3C"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71AE77A3"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Legal expenses</w:t>
            </w:r>
          </w:p>
        </w:tc>
        <w:tc>
          <w:tcPr>
            <w:tcW w:w="1275" w:type="dxa"/>
            <w:tcBorders>
              <w:top w:val="nil"/>
              <w:left w:val="nil"/>
              <w:bottom w:val="nil"/>
              <w:right w:val="nil"/>
            </w:tcBorders>
            <w:vAlign w:val="bottom"/>
          </w:tcPr>
          <w:p w14:paraId="4D30AAB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94,141</w:t>
            </w:r>
          </w:p>
        </w:tc>
        <w:tc>
          <w:tcPr>
            <w:tcW w:w="1256" w:type="dxa"/>
            <w:tcBorders>
              <w:top w:val="nil"/>
              <w:left w:val="nil"/>
              <w:bottom w:val="nil"/>
              <w:right w:val="nil"/>
            </w:tcBorders>
            <w:shd w:val="clear" w:color="FFFFFF" w:fill="FFFFFF"/>
            <w:vAlign w:val="bottom"/>
          </w:tcPr>
          <w:p w14:paraId="5F12FEA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75,414</w:t>
            </w:r>
          </w:p>
        </w:tc>
      </w:tr>
      <w:tr w:rsidR="005C6008" w:rsidRPr="00E10730" w14:paraId="689A7F0E"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72AFA7C1"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Information technology expenses</w:t>
            </w:r>
          </w:p>
        </w:tc>
        <w:tc>
          <w:tcPr>
            <w:tcW w:w="1275" w:type="dxa"/>
            <w:tcBorders>
              <w:top w:val="nil"/>
              <w:left w:val="nil"/>
              <w:bottom w:val="nil"/>
              <w:right w:val="nil"/>
            </w:tcBorders>
            <w:shd w:val="clear" w:color="FFFFFF" w:fill="FFFFFF"/>
            <w:vAlign w:val="bottom"/>
          </w:tcPr>
          <w:p w14:paraId="57C38FF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125,888</w:t>
            </w:r>
          </w:p>
        </w:tc>
        <w:tc>
          <w:tcPr>
            <w:tcW w:w="1256" w:type="dxa"/>
            <w:tcBorders>
              <w:top w:val="nil"/>
              <w:left w:val="nil"/>
              <w:bottom w:val="nil"/>
              <w:right w:val="nil"/>
            </w:tcBorders>
            <w:shd w:val="clear" w:color="FFFFFF" w:fill="FFFFFF"/>
            <w:vAlign w:val="bottom"/>
          </w:tcPr>
          <w:p w14:paraId="04771CD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91,133</w:t>
            </w:r>
          </w:p>
        </w:tc>
      </w:tr>
      <w:tr w:rsidR="005C6008" w:rsidRPr="00E10730" w14:paraId="7C6852EC" w14:textId="77777777">
        <w:tblPrEx>
          <w:tblBorders>
            <w:top w:val="none" w:sz="0" w:space="0" w:color="auto"/>
            <w:left w:val="none" w:sz="0" w:space="0" w:color="auto"/>
            <w:bottom w:val="none" w:sz="0" w:space="0" w:color="auto"/>
            <w:right w:val="none" w:sz="0" w:space="0" w:color="auto"/>
          </w:tblBorders>
        </w:tblPrEx>
        <w:trPr>
          <w:trHeight w:val="270"/>
        </w:trPr>
        <w:tc>
          <w:tcPr>
            <w:tcW w:w="6556" w:type="dxa"/>
            <w:tcBorders>
              <w:top w:val="nil"/>
              <w:left w:val="nil"/>
              <w:bottom w:val="nil"/>
              <w:right w:val="nil"/>
            </w:tcBorders>
            <w:shd w:val="clear" w:color="FFFFFF" w:fill="FFFFFF"/>
            <w:vAlign w:val="bottom"/>
          </w:tcPr>
          <w:p w14:paraId="0A092E35"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Shared Services</w:t>
            </w:r>
            <w:r w:rsidRPr="00E10730">
              <w:rPr>
                <w:rFonts w:eastAsia="Calibri" w:cs="Arial"/>
                <w:sz w:val="18"/>
                <w:szCs w:val="18"/>
                <w:vertAlign w:val="superscript"/>
              </w:rPr>
              <w:t>2</w:t>
            </w:r>
          </w:p>
        </w:tc>
        <w:tc>
          <w:tcPr>
            <w:tcW w:w="1275" w:type="dxa"/>
            <w:tcBorders>
              <w:top w:val="nil"/>
              <w:left w:val="nil"/>
              <w:bottom w:val="nil"/>
              <w:right w:val="nil"/>
            </w:tcBorders>
            <w:shd w:val="clear" w:color="FFFFFF" w:fill="FFFFFF"/>
            <w:vAlign w:val="bottom"/>
          </w:tcPr>
          <w:p w14:paraId="1D3E4CD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55,317</w:t>
            </w:r>
          </w:p>
        </w:tc>
        <w:tc>
          <w:tcPr>
            <w:tcW w:w="1256" w:type="dxa"/>
            <w:tcBorders>
              <w:top w:val="nil"/>
              <w:left w:val="nil"/>
              <w:bottom w:val="nil"/>
              <w:right w:val="nil"/>
            </w:tcBorders>
            <w:shd w:val="clear" w:color="FFFFFF" w:fill="FFFFFF"/>
            <w:vAlign w:val="bottom"/>
          </w:tcPr>
          <w:p w14:paraId="7A17C18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46,503</w:t>
            </w:r>
          </w:p>
        </w:tc>
      </w:tr>
      <w:tr w:rsidR="005C6008" w:rsidRPr="00E10730" w14:paraId="541061D3"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494223BE"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Community connector management fees</w:t>
            </w:r>
          </w:p>
        </w:tc>
        <w:tc>
          <w:tcPr>
            <w:tcW w:w="1275" w:type="dxa"/>
            <w:tcBorders>
              <w:top w:val="nil"/>
              <w:left w:val="nil"/>
              <w:bottom w:val="nil"/>
              <w:right w:val="nil"/>
            </w:tcBorders>
            <w:shd w:val="clear" w:color="FFFFFF" w:fill="FFFFFF"/>
            <w:vAlign w:val="bottom"/>
          </w:tcPr>
          <w:p w14:paraId="0961FB2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35,539</w:t>
            </w:r>
          </w:p>
        </w:tc>
        <w:tc>
          <w:tcPr>
            <w:tcW w:w="1256" w:type="dxa"/>
            <w:tcBorders>
              <w:top w:val="nil"/>
              <w:left w:val="nil"/>
              <w:bottom w:val="nil"/>
              <w:right w:val="nil"/>
            </w:tcBorders>
            <w:shd w:val="clear" w:color="FFFFFF" w:fill="FFFFFF"/>
            <w:vAlign w:val="bottom"/>
          </w:tcPr>
          <w:p w14:paraId="0EEDCE4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23,461</w:t>
            </w:r>
          </w:p>
        </w:tc>
      </w:tr>
      <w:tr w:rsidR="005C6008" w:rsidRPr="00E10730" w14:paraId="3E57708E"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1385AD2D"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Property operating expenses</w:t>
            </w:r>
          </w:p>
        </w:tc>
        <w:tc>
          <w:tcPr>
            <w:tcW w:w="1275" w:type="dxa"/>
            <w:tcBorders>
              <w:top w:val="nil"/>
              <w:left w:val="nil"/>
              <w:bottom w:val="nil"/>
              <w:right w:val="nil"/>
            </w:tcBorders>
            <w:shd w:val="clear" w:color="FFFFFF" w:fill="FFFFFF"/>
            <w:vAlign w:val="bottom"/>
          </w:tcPr>
          <w:p w14:paraId="0A5162C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16,577</w:t>
            </w:r>
          </w:p>
        </w:tc>
        <w:tc>
          <w:tcPr>
            <w:tcW w:w="1256" w:type="dxa"/>
            <w:tcBorders>
              <w:top w:val="nil"/>
              <w:left w:val="nil"/>
              <w:bottom w:val="nil"/>
              <w:right w:val="nil"/>
            </w:tcBorders>
            <w:shd w:val="clear" w:color="FFFFFF" w:fill="FFFFFF"/>
            <w:vAlign w:val="bottom"/>
          </w:tcPr>
          <w:p w14:paraId="6F4828F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11,707</w:t>
            </w:r>
          </w:p>
        </w:tc>
      </w:tr>
      <w:tr w:rsidR="005C6008" w:rsidRPr="00E10730" w14:paraId="1B6A487C"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3B85CAAF"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 xml:space="preserve">Other </w:t>
            </w:r>
          </w:p>
        </w:tc>
        <w:tc>
          <w:tcPr>
            <w:tcW w:w="1275" w:type="dxa"/>
            <w:tcBorders>
              <w:top w:val="nil"/>
              <w:left w:val="nil"/>
              <w:bottom w:val="nil"/>
              <w:right w:val="nil"/>
            </w:tcBorders>
            <w:shd w:val="clear" w:color="FFFFFF" w:fill="FFFFFF"/>
            <w:vAlign w:val="bottom"/>
          </w:tcPr>
          <w:p w14:paraId="16BD5FE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31,863</w:t>
            </w:r>
          </w:p>
        </w:tc>
        <w:tc>
          <w:tcPr>
            <w:tcW w:w="1256" w:type="dxa"/>
            <w:tcBorders>
              <w:top w:val="nil"/>
              <w:left w:val="nil"/>
              <w:bottom w:val="nil"/>
              <w:right w:val="nil"/>
            </w:tcBorders>
            <w:shd w:val="clear" w:color="FFFFFF" w:fill="FFFFFF"/>
            <w:vAlign w:val="bottom"/>
          </w:tcPr>
          <w:p w14:paraId="7A153A4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26,607</w:t>
            </w:r>
          </w:p>
        </w:tc>
      </w:tr>
      <w:tr w:rsidR="005C6008" w:rsidRPr="00E10730" w14:paraId="5620D3AC"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576B6CA0"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Travel</w:t>
            </w:r>
          </w:p>
        </w:tc>
        <w:tc>
          <w:tcPr>
            <w:tcW w:w="1275" w:type="dxa"/>
            <w:tcBorders>
              <w:top w:val="nil"/>
              <w:left w:val="nil"/>
              <w:bottom w:val="nil"/>
              <w:right w:val="nil"/>
            </w:tcBorders>
            <w:shd w:val="clear" w:color="FFFFFF" w:fill="FFFFFF"/>
            <w:vAlign w:val="bottom"/>
          </w:tcPr>
          <w:p w14:paraId="4F331D1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8,079</w:t>
            </w:r>
          </w:p>
        </w:tc>
        <w:tc>
          <w:tcPr>
            <w:tcW w:w="1256" w:type="dxa"/>
            <w:tcBorders>
              <w:top w:val="nil"/>
              <w:left w:val="nil"/>
              <w:bottom w:val="nil"/>
              <w:right w:val="nil"/>
            </w:tcBorders>
            <w:shd w:val="clear" w:color="FFFFFF" w:fill="FFFFFF"/>
            <w:vAlign w:val="bottom"/>
          </w:tcPr>
          <w:p w14:paraId="76EF51C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8,399</w:t>
            </w:r>
          </w:p>
        </w:tc>
      </w:tr>
      <w:tr w:rsidR="005C6008" w:rsidRPr="00E10730" w14:paraId="274AA279"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446556E9"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Comcover</w:t>
            </w:r>
          </w:p>
        </w:tc>
        <w:tc>
          <w:tcPr>
            <w:tcW w:w="1275" w:type="dxa"/>
            <w:tcBorders>
              <w:top w:val="nil"/>
              <w:left w:val="nil"/>
              <w:bottom w:val="nil"/>
              <w:right w:val="nil"/>
            </w:tcBorders>
            <w:shd w:val="clear" w:color="FFFFFF" w:fill="FFFFFF"/>
            <w:vAlign w:val="bottom"/>
          </w:tcPr>
          <w:p w14:paraId="7EC3F1E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6,566</w:t>
            </w:r>
          </w:p>
        </w:tc>
        <w:tc>
          <w:tcPr>
            <w:tcW w:w="1256" w:type="dxa"/>
            <w:tcBorders>
              <w:top w:val="nil"/>
              <w:left w:val="nil"/>
              <w:bottom w:val="nil"/>
              <w:right w:val="nil"/>
            </w:tcBorders>
            <w:shd w:val="clear" w:color="FFFFFF" w:fill="FFFFFF"/>
            <w:vAlign w:val="bottom"/>
          </w:tcPr>
          <w:p w14:paraId="3E24DD4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6,358</w:t>
            </w:r>
          </w:p>
        </w:tc>
      </w:tr>
      <w:tr w:rsidR="005C6008" w:rsidRPr="00E10730" w14:paraId="2F21DB76"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7547CB14"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Staff welfare and training</w:t>
            </w:r>
          </w:p>
        </w:tc>
        <w:tc>
          <w:tcPr>
            <w:tcW w:w="1275" w:type="dxa"/>
            <w:tcBorders>
              <w:top w:val="nil"/>
              <w:left w:val="nil"/>
              <w:bottom w:val="nil"/>
              <w:right w:val="nil"/>
            </w:tcBorders>
            <w:vAlign w:val="bottom"/>
          </w:tcPr>
          <w:p w14:paraId="5E46B74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14,578</w:t>
            </w:r>
          </w:p>
        </w:tc>
        <w:tc>
          <w:tcPr>
            <w:tcW w:w="1256" w:type="dxa"/>
            <w:tcBorders>
              <w:top w:val="nil"/>
              <w:left w:val="nil"/>
              <w:bottom w:val="nil"/>
              <w:right w:val="nil"/>
            </w:tcBorders>
            <w:shd w:val="clear" w:color="FFFFFF" w:fill="FFFFFF"/>
            <w:vAlign w:val="bottom"/>
          </w:tcPr>
          <w:p w14:paraId="59F1DFC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10,014</w:t>
            </w:r>
          </w:p>
        </w:tc>
      </w:tr>
      <w:tr w:rsidR="005C6008" w:rsidRPr="00E10730" w14:paraId="1073560C"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40ED0A5F"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Market research</w:t>
            </w:r>
          </w:p>
        </w:tc>
        <w:tc>
          <w:tcPr>
            <w:tcW w:w="1275" w:type="dxa"/>
            <w:tcBorders>
              <w:top w:val="nil"/>
              <w:left w:val="nil"/>
              <w:bottom w:val="nil"/>
              <w:right w:val="nil"/>
            </w:tcBorders>
            <w:shd w:val="clear" w:color="FFFFFF" w:fill="FFFFFF"/>
            <w:vAlign w:val="bottom"/>
          </w:tcPr>
          <w:p w14:paraId="60B3A37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3,876</w:t>
            </w:r>
          </w:p>
        </w:tc>
        <w:tc>
          <w:tcPr>
            <w:tcW w:w="1256" w:type="dxa"/>
            <w:tcBorders>
              <w:top w:val="nil"/>
              <w:left w:val="nil"/>
              <w:bottom w:val="nil"/>
              <w:right w:val="nil"/>
            </w:tcBorders>
            <w:shd w:val="clear" w:color="FFFFFF" w:fill="FFFFFF"/>
            <w:vAlign w:val="bottom"/>
          </w:tcPr>
          <w:p w14:paraId="66922A7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3,602</w:t>
            </w:r>
          </w:p>
        </w:tc>
      </w:tr>
      <w:tr w:rsidR="005C6008" w:rsidRPr="00E10730" w14:paraId="7E4DBDF0"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33B8BCCA"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Staff recruitment and relocation</w:t>
            </w:r>
          </w:p>
        </w:tc>
        <w:tc>
          <w:tcPr>
            <w:tcW w:w="1275" w:type="dxa"/>
            <w:tcBorders>
              <w:top w:val="nil"/>
              <w:left w:val="nil"/>
              <w:bottom w:val="nil"/>
              <w:right w:val="nil"/>
            </w:tcBorders>
            <w:shd w:val="clear" w:color="FFFFFF" w:fill="FFFFFF"/>
            <w:vAlign w:val="bottom"/>
          </w:tcPr>
          <w:p w14:paraId="512F4E3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2,820</w:t>
            </w:r>
          </w:p>
        </w:tc>
        <w:tc>
          <w:tcPr>
            <w:tcW w:w="1256" w:type="dxa"/>
            <w:tcBorders>
              <w:top w:val="nil"/>
              <w:left w:val="nil"/>
              <w:bottom w:val="nil"/>
              <w:right w:val="nil"/>
            </w:tcBorders>
            <w:shd w:val="clear" w:color="FFFFFF" w:fill="FFFFFF"/>
            <w:vAlign w:val="bottom"/>
          </w:tcPr>
          <w:p w14:paraId="1ED8CD6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6,098</w:t>
            </w:r>
          </w:p>
        </w:tc>
      </w:tr>
      <w:tr w:rsidR="005C6008" w:rsidRPr="00E10730" w14:paraId="1F17BEEE"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077C9D3F"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Translator and interpreter services</w:t>
            </w:r>
          </w:p>
        </w:tc>
        <w:tc>
          <w:tcPr>
            <w:tcW w:w="1275" w:type="dxa"/>
            <w:tcBorders>
              <w:top w:val="nil"/>
              <w:left w:val="nil"/>
              <w:bottom w:val="nil"/>
              <w:right w:val="nil"/>
            </w:tcBorders>
            <w:shd w:val="clear" w:color="FFFFFF" w:fill="FFFFFF"/>
            <w:vAlign w:val="bottom"/>
          </w:tcPr>
          <w:p w14:paraId="52A9338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2,000</w:t>
            </w:r>
          </w:p>
        </w:tc>
        <w:tc>
          <w:tcPr>
            <w:tcW w:w="1256" w:type="dxa"/>
            <w:tcBorders>
              <w:top w:val="nil"/>
              <w:left w:val="nil"/>
              <w:bottom w:val="nil"/>
              <w:right w:val="nil"/>
            </w:tcBorders>
            <w:shd w:val="clear" w:color="FFFFFF" w:fill="FFFFFF"/>
            <w:vAlign w:val="bottom"/>
          </w:tcPr>
          <w:p w14:paraId="4029CFD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2,347</w:t>
            </w:r>
          </w:p>
        </w:tc>
      </w:tr>
      <w:tr w:rsidR="005C6008" w:rsidRPr="00E10730" w14:paraId="4D2D72DD"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6D04770A"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Repairs and maintenance</w:t>
            </w:r>
          </w:p>
        </w:tc>
        <w:tc>
          <w:tcPr>
            <w:tcW w:w="1275" w:type="dxa"/>
            <w:tcBorders>
              <w:top w:val="nil"/>
              <w:left w:val="nil"/>
              <w:bottom w:val="nil"/>
              <w:right w:val="nil"/>
            </w:tcBorders>
            <w:shd w:val="clear" w:color="FFFFFF" w:fill="FFFFFF"/>
            <w:vAlign w:val="bottom"/>
          </w:tcPr>
          <w:p w14:paraId="5F57BEE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1,455</w:t>
            </w:r>
          </w:p>
        </w:tc>
        <w:tc>
          <w:tcPr>
            <w:tcW w:w="1256" w:type="dxa"/>
            <w:tcBorders>
              <w:top w:val="nil"/>
              <w:left w:val="nil"/>
              <w:bottom w:val="nil"/>
              <w:right w:val="nil"/>
            </w:tcBorders>
            <w:shd w:val="clear" w:color="FFFFFF" w:fill="FFFFFF"/>
            <w:vAlign w:val="bottom"/>
          </w:tcPr>
          <w:p w14:paraId="4442AE8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1,377</w:t>
            </w:r>
          </w:p>
        </w:tc>
      </w:tr>
      <w:tr w:rsidR="005C6008" w:rsidRPr="00E10730" w14:paraId="1B26F265"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639C669E"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Audit fees</w:t>
            </w:r>
          </w:p>
        </w:tc>
        <w:tc>
          <w:tcPr>
            <w:tcW w:w="1275" w:type="dxa"/>
            <w:tcBorders>
              <w:top w:val="nil"/>
              <w:left w:val="nil"/>
              <w:bottom w:val="nil"/>
              <w:right w:val="nil"/>
            </w:tcBorders>
            <w:shd w:val="clear" w:color="FFFFFF" w:fill="FFFFFF"/>
            <w:vAlign w:val="bottom"/>
          </w:tcPr>
          <w:p w14:paraId="0219AF8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805</w:t>
            </w:r>
          </w:p>
        </w:tc>
        <w:tc>
          <w:tcPr>
            <w:tcW w:w="1256" w:type="dxa"/>
            <w:tcBorders>
              <w:top w:val="nil"/>
              <w:left w:val="nil"/>
              <w:bottom w:val="nil"/>
              <w:right w:val="nil"/>
            </w:tcBorders>
            <w:shd w:val="clear" w:color="FFFFFF" w:fill="FFFFFF"/>
            <w:vAlign w:val="bottom"/>
          </w:tcPr>
          <w:p w14:paraId="2E70097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780</w:t>
            </w:r>
          </w:p>
        </w:tc>
      </w:tr>
      <w:tr w:rsidR="005C6008" w:rsidRPr="00E10730" w14:paraId="043CCFAC"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402DDBF7"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services rendered</w:t>
            </w:r>
          </w:p>
        </w:tc>
        <w:tc>
          <w:tcPr>
            <w:tcW w:w="1275" w:type="dxa"/>
            <w:tcBorders>
              <w:top w:val="single" w:sz="4" w:space="0" w:color="auto"/>
              <w:left w:val="nil"/>
              <w:bottom w:val="single" w:sz="4" w:space="0" w:color="auto"/>
              <w:right w:val="nil"/>
            </w:tcBorders>
            <w:shd w:val="clear" w:color="FFFFFF" w:fill="FFFFFF"/>
            <w:vAlign w:val="bottom"/>
          </w:tcPr>
          <w:p w14:paraId="3A5C735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845,837</w:t>
            </w:r>
          </w:p>
        </w:tc>
        <w:tc>
          <w:tcPr>
            <w:tcW w:w="1256" w:type="dxa"/>
            <w:tcBorders>
              <w:top w:val="single" w:sz="4" w:space="0" w:color="auto"/>
              <w:left w:val="nil"/>
              <w:bottom w:val="single" w:sz="4" w:space="0" w:color="auto"/>
              <w:right w:val="nil"/>
            </w:tcBorders>
            <w:shd w:val="clear" w:color="FFFFFF" w:fill="FFFFFF"/>
            <w:vAlign w:val="bottom"/>
          </w:tcPr>
          <w:p w14:paraId="07C0A31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759,944</w:t>
            </w:r>
          </w:p>
        </w:tc>
      </w:tr>
      <w:tr w:rsidR="005C6008" w:rsidRPr="00E10730" w14:paraId="7C35D067" w14:textId="77777777">
        <w:tblPrEx>
          <w:tblBorders>
            <w:top w:val="none" w:sz="0" w:space="0" w:color="auto"/>
            <w:left w:val="none" w:sz="0" w:space="0" w:color="auto"/>
            <w:bottom w:val="none" w:sz="0" w:space="0" w:color="auto"/>
            <w:right w:val="none" w:sz="0" w:space="0" w:color="auto"/>
          </w:tblBorders>
        </w:tblPrEx>
        <w:trPr>
          <w:trHeight w:val="210"/>
        </w:trPr>
        <w:tc>
          <w:tcPr>
            <w:tcW w:w="6556" w:type="dxa"/>
            <w:tcBorders>
              <w:top w:val="nil"/>
              <w:left w:val="nil"/>
              <w:bottom w:val="nil"/>
              <w:right w:val="nil"/>
            </w:tcBorders>
            <w:shd w:val="clear" w:color="FFFFFF" w:fill="FFFFFF"/>
            <w:vAlign w:val="bottom"/>
          </w:tcPr>
          <w:p w14:paraId="2BF79CB4"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275" w:type="dxa"/>
            <w:tcBorders>
              <w:top w:val="nil"/>
              <w:left w:val="nil"/>
              <w:bottom w:val="nil"/>
              <w:right w:val="nil"/>
            </w:tcBorders>
            <w:shd w:val="clear" w:color="FFFFFF" w:fill="FFFFFF"/>
            <w:vAlign w:val="bottom"/>
          </w:tcPr>
          <w:p w14:paraId="5543671A"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56" w:type="dxa"/>
            <w:tcBorders>
              <w:top w:val="nil"/>
              <w:left w:val="nil"/>
              <w:bottom w:val="nil"/>
              <w:right w:val="nil"/>
            </w:tcBorders>
            <w:shd w:val="clear" w:color="FFFFFF" w:fill="FFFFFF"/>
            <w:vAlign w:val="bottom"/>
          </w:tcPr>
          <w:p w14:paraId="15D735C0"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00E4870F"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3788EE7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Other suppliers</w:t>
            </w:r>
          </w:p>
        </w:tc>
        <w:tc>
          <w:tcPr>
            <w:tcW w:w="1275" w:type="dxa"/>
            <w:tcBorders>
              <w:top w:val="nil"/>
              <w:left w:val="nil"/>
              <w:bottom w:val="nil"/>
              <w:right w:val="nil"/>
            </w:tcBorders>
            <w:shd w:val="clear" w:color="FFFFFF" w:fill="FFFFFF"/>
            <w:vAlign w:val="bottom"/>
          </w:tcPr>
          <w:p w14:paraId="1B310634"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56" w:type="dxa"/>
            <w:tcBorders>
              <w:top w:val="nil"/>
              <w:left w:val="nil"/>
              <w:bottom w:val="nil"/>
              <w:right w:val="nil"/>
            </w:tcBorders>
            <w:shd w:val="clear" w:color="FFFFFF" w:fill="FFFFFF"/>
            <w:vAlign w:val="bottom"/>
          </w:tcPr>
          <w:p w14:paraId="42C7AA7E"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486AD394"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5A1DF169"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Short-term leases</w:t>
            </w:r>
          </w:p>
        </w:tc>
        <w:tc>
          <w:tcPr>
            <w:tcW w:w="1275" w:type="dxa"/>
            <w:tcBorders>
              <w:top w:val="nil"/>
              <w:left w:val="nil"/>
              <w:bottom w:val="nil"/>
              <w:right w:val="nil"/>
            </w:tcBorders>
            <w:shd w:val="clear" w:color="FFFFFF" w:fill="FFFFFF"/>
            <w:vAlign w:val="bottom"/>
          </w:tcPr>
          <w:p w14:paraId="49C3345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4,378</w:t>
            </w:r>
          </w:p>
        </w:tc>
        <w:tc>
          <w:tcPr>
            <w:tcW w:w="1256" w:type="dxa"/>
            <w:tcBorders>
              <w:top w:val="nil"/>
              <w:left w:val="nil"/>
              <w:bottom w:val="nil"/>
              <w:right w:val="nil"/>
            </w:tcBorders>
            <w:shd w:val="clear" w:color="FFFFFF" w:fill="FFFFFF"/>
            <w:vAlign w:val="bottom"/>
          </w:tcPr>
          <w:p w14:paraId="60BCDCA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2,575</w:t>
            </w:r>
          </w:p>
        </w:tc>
      </w:tr>
      <w:tr w:rsidR="005C6008" w:rsidRPr="00E10730" w14:paraId="39265360"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4543C2D6"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Workers compensation expenses</w:t>
            </w:r>
          </w:p>
        </w:tc>
        <w:tc>
          <w:tcPr>
            <w:tcW w:w="1275" w:type="dxa"/>
            <w:tcBorders>
              <w:top w:val="nil"/>
              <w:left w:val="nil"/>
              <w:bottom w:val="nil"/>
              <w:right w:val="nil"/>
            </w:tcBorders>
            <w:shd w:val="clear" w:color="FFFFFF" w:fill="FFFFFF"/>
            <w:vAlign w:val="bottom"/>
          </w:tcPr>
          <w:p w14:paraId="53965F1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20,269</w:t>
            </w:r>
          </w:p>
        </w:tc>
        <w:tc>
          <w:tcPr>
            <w:tcW w:w="1256" w:type="dxa"/>
            <w:tcBorders>
              <w:top w:val="nil"/>
              <w:left w:val="nil"/>
              <w:bottom w:val="nil"/>
              <w:right w:val="nil"/>
            </w:tcBorders>
            <w:shd w:val="clear" w:color="FFFFFF" w:fill="FFFFFF"/>
            <w:vAlign w:val="bottom"/>
          </w:tcPr>
          <w:p w14:paraId="4AC9C20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18,093</w:t>
            </w:r>
          </w:p>
        </w:tc>
      </w:tr>
      <w:tr w:rsidR="005C6008" w:rsidRPr="00E10730" w14:paraId="3667B65C"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0E595DDF"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other suppliers</w:t>
            </w:r>
          </w:p>
        </w:tc>
        <w:tc>
          <w:tcPr>
            <w:tcW w:w="1275" w:type="dxa"/>
            <w:tcBorders>
              <w:top w:val="single" w:sz="4" w:space="0" w:color="auto"/>
              <w:left w:val="nil"/>
              <w:bottom w:val="single" w:sz="4" w:space="0" w:color="auto"/>
              <w:right w:val="nil"/>
            </w:tcBorders>
            <w:shd w:val="clear" w:color="FFFFFF" w:fill="FFFFFF"/>
            <w:vAlign w:val="bottom"/>
          </w:tcPr>
          <w:p w14:paraId="1572FF3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24,647</w:t>
            </w:r>
          </w:p>
        </w:tc>
        <w:tc>
          <w:tcPr>
            <w:tcW w:w="1256" w:type="dxa"/>
            <w:tcBorders>
              <w:top w:val="single" w:sz="4" w:space="0" w:color="auto"/>
              <w:left w:val="nil"/>
              <w:bottom w:val="single" w:sz="4" w:space="0" w:color="auto"/>
              <w:right w:val="nil"/>
            </w:tcBorders>
            <w:shd w:val="clear" w:color="FFFFFF" w:fill="FFFFFF"/>
            <w:vAlign w:val="bottom"/>
          </w:tcPr>
          <w:p w14:paraId="77B6AF1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20,668</w:t>
            </w:r>
          </w:p>
        </w:tc>
      </w:tr>
      <w:tr w:rsidR="005C6008" w:rsidRPr="00E10730" w14:paraId="6F5CC4E5" w14:textId="77777777">
        <w:tblPrEx>
          <w:tblBorders>
            <w:top w:val="none" w:sz="0" w:space="0" w:color="auto"/>
            <w:left w:val="none" w:sz="0" w:space="0" w:color="auto"/>
            <w:bottom w:val="none" w:sz="0" w:space="0" w:color="auto"/>
            <w:right w:val="none" w:sz="0" w:space="0" w:color="auto"/>
          </w:tblBorders>
        </w:tblPrEx>
        <w:trPr>
          <w:trHeight w:val="250"/>
        </w:trPr>
        <w:tc>
          <w:tcPr>
            <w:tcW w:w="6556" w:type="dxa"/>
            <w:tcBorders>
              <w:top w:val="nil"/>
              <w:left w:val="nil"/>
              <w:bottom w:val="nil"/>
              <w:right w:val="nil"/>
            </w:tcBorders>
            <w:shd w:val="clear" w:color="FFFFFF" w:fill="FFFFFF"/>
            <w:vAlign w:val="bottom"/>
          </w:tcPr>
          <w:p w14:paraId="43CBB978"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suppliers</w:t>
            </w:r>
          </w:p>
        </w:tc>
        <w:tc>
          <w:tcPr>
            <w:tcW w:w="1275" w:type="dxa"/>
            <w:tcBorders>
              <w:top w:val="nil"/>
              <w:left w:val="nil"/>
              <w:bottom w:val="single" w:sz="4" w:space="0" w:color="auto"/>
              <w:right w:val="nil"/>
            </w:tcBorders>
            <w:shd w:val="clear" w:color="FFFFFF" w:fill="FFFFFF"/>
            <w:vAlign w:val="bottom"/>
          </w:tcPr>
          <w:p w14:paraId="7997067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870,484</w:t>
            </w:r>
          </w:p>
        </w:tc>
        <w:tc>
          <w:tcPr>
            <w:tcW w:w="1256" w:type="dxa"/>
            <w:tcBorders>
              <w:top w:val="nil"/>
              <w:left w:val="nil"/>
              <w:bottom w:val="single" w:sz="4" w:space="0" w:color="auto"/>
              <w:right w:val="nil"/>
            </w:tcBorders>
            <w:shd w:val="clear" w:color="FFFFFF" w:fill="FFFFFF"/>
            <w:vAlign w:val="bottom"/>
          </w:tcPr>
          <w:p w14:paraId="31DFBCD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780,612</w:t>
            </w:r>
          </w:p>
        </w:tc>
      </w:tr>
    </w:tbl>
    <w:p w14:paraId="54FA6CE4" w14:textId="5E73892D" w:rsidR="005C6008" w:rsidRPr="00E10730" w:rsidRDefault="005C6008" w:rsidP="0019176F">
      <w:pPr>
        <w:autoSpaceDE w:val="0"/>
        <w:autoSpaceDN w:val="0"/>
        <w:adjustRightInd w:val="0"/>
        <w:spacing w:before="120" w:after="0" w:line="240" w:lineRule="auto"/>
        <w:ind w:right="607"/>
        <w:rPr>
          <w:rFonts w:eastAsia="Calibri" w:cs="Arial"/>
          <w:sz w:val="18"/>
          <w:szCs w:val="18"/>
        </w:rPr>
      </w:pPr>
      <w:r w:rsidRPr="00E10730">
        <w:rPr>
          <w:rFonts w:eastAsia="Calibri" w:cs="Arial"/>
          <w:sz w:val="18"/>
          <w:szCs w:val="18"/>
        </w:rPr>
        <w:t xml:space="preserve">The above lease disclosures should be read in conjunction with the accompanying notes 1.1D, 1.2B, 2.2A </w:t>
      </w:r>
      <w:r w:rsidR="00894995" w:rsidRPr="00E10730">
        <w:rPr>
          <w:rFonts w:eastAsia="Calibri" w:cs="Arial"/>
          <w:sz w:val="18"/>
          <w:szCs w:val="18"/>
        </w:rPr>
        <w:t>and</w:t>
      </w:r>
      <w:r w:rsidRPr="00E10730">
        <w:rPr>
          <w:rFonts w:eastAsia="Calibri" w:cs="Arial"/>
          <w:sz w:val="18"/>
          <w:szCs w:val="18"/>
        </w:rPr>
        <w:t xml:space="preserve"> 2.5.</w:t>
      </w:r>
    </w:p>
    <w:p w14:paraId="26304FA8" w14:textId="77777777" w:rsidR="005C6008" w:rsidRPr="00E10730" w:rsidRDefault="005C6008" w:rsidP="0019176F">
      <w:pPr>
        <w:autoSpaceDE w:val="0"/>
        <w:autoSpaceDN w:val="0"/>
        <w:adjustRightInd w:val="0"/>
        <w:spacing w:before="120" w:after="0" w:line="240" w:lineRule="auto"/>
        <w:rPr>
          <w:rFonts w:eastAsia="Calibri" w:cs="Arial"/>
          <w:sz w:val="18"/>
          <w:szCs w:val="18"/>
        </w:rPr>
      </w:pPr>
      <w:r w:rsidRPr="00E10730">
        <w:rPr>
          <w:rFonts w:eastAsia="Calibri" w:cs="Arial"/>
          <w:sz w:val="18"/>
          <w:szCs w:val="18"/>
          <w:vertAlign w:val="superscript"/>
        </w:rPr>
        <w:t xml:space="preserve">1 </w:t>
      </w:r>
      <w:r w:rsidRPr="00E10730">
        <w:rPr>
          <w:rFonts w:eastAsia="Calibri" w:cs="Arial"/>
          <w:sz w:val="18"/>
          <w:szCs w:val="18"/>
        </w:rPr>
        <w:t xml:space="preserve">Balance includes contractor and consultant related expenses. </w:t>
      </w:r>
    </w:p>
    <w:p w14:paraId="266C97EE" w14:textId="63A946A1" w:rsidR="005C6008" w:rsidRPr="00E10730" w:rsidRDefault="005C6008" w:rsidP="0019176F">
      <w:pPr>
        <w:autoSpaceDE w:val="0"/>
        <w:autoSpaceDN w:val="0"/>
        <w:adjustRightInd w:val="0"/>
        <w:spacing w:before="120" w:after="0" w:line="240" w:lineRule="auto"/>
        <w:rPr>
          <w:rFonts w:eastAsia="Calibri" w:cs="Arial"/>
          <w:sz w:val="14"/>
          <w:szCs w:val="14"/>
        </w:rPr>
      </w:pPr>
      <w:r w:rsidRPr="00E10730">
        <w:rPr>
          <w:rFonts w:eastAsia="Calibri" w:cs="Arial"/>
          <w:sz w:val="18"/>
          <w:szCs w:val="18"/>
          <w:vertAlign w:val="superscript"/>
        </w:rPr>
        <w:t>2</w:t>
      </w:r>
      <w:r w:rsidRPr="00E10730">
        <w:rPr>
          <w:rFonts w:eastAsia="Calibri" w:cs="Arial"/>
          <w:sz w:val="18"/>
          <w:szCs w:val="18"/>
        </w:rPr>
        <w:t xml:space="preserve"> During 2025</w:t>
      </w:r>
      <w:r w:rsidR="001B1F8C" w:rsidRPr="00E10730">
        <w:rPr>
          <w:rFonts w:eastAsia="Calibri" w:cs="Arial"/>
          <w:sz w:val="18"/>
          <w:szCs w:val="18"/>
        </w:rPr>
        <w:t>–</w:t>
      </w:r>
      <w:r w:rsidRPr="00E10730">
        <w:rPr>
          <w:rFonts w:eastAsia="Calibri" w:cs="Arial"/>
          <w:sz w:val="18"/>
          <w:szCs w:val="18"/>
        </w:rPr>
        <w:t>26 the Agency had a Memorandum of Understanding in place that covered the provision of various administrative and operational support services provided by Services Australia.</w:t>
      </w:r>
      <w:r w:rsidRPr="00E10730">
        <w:rPr>
          <w:rFonts w:eastAsia="Calibri" w:cs="Arial"/>
          <w:sz w:val="14"/>
          <w:szCs w:val="14"/>
        </w:rPr>
        <w:br w:type="page"/>
      </w:r>
    </w:p>
    <w:p w14:paraId="2F0D4C45"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National Disability Insurance Agency</w:t>
      </w:r>
    </w:p>
    <w:p w14:paraId="2C33BF7F"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NOTES TO AND FORMING PART OF THE FINANCIAL STATEMENTS</w:t>
      </w:r>
    </w:p>
    <w:p w14:paraId="5846291A"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240" w:line="240" w:lineRule="auto"/>
        <w:rPr>
          <w:rFonts w:eastAsia="Calibri" w:cs="Arial"/>
          <w:b/>
          <w:bCs/>
          <w:sz w:val="18"/>
          <w:szCs w:val="18"/>
        </w:rPr>
      </w:pPr>
      <w:r w:rsidRPr="00E10730">
        <w:rPr>
          <w:rFonts w:eastAsia="Calibri" w:cs="Arial"/>
          <w:b/>
          <w:bCs/>
          <w:sz w:val="18"/>
          <w:szCs w:val="18"/>
        </w:rPr>
        <w:t>Accounting Policy</w:t>
      </w:r>
    </w:p>
    <w:p w14:paraId="16A3AC9B"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u w:val="single"/>
        </w:rPr>
      </w:pPr>
      <w:r w:rsidRPr="00E10730">
        <w:rPr>
          <w:rFonts w:eastAsia="Calibri" w:cs="Arial"/>
          <w:sz w:val="18"/>
          <w:szCs w:val="18"/>
          <w:u w:val="single"/>
        </w:rPr>
        <w:t>Short-term leases and leases of low-value assets</w:t>
      </w:r>
    </w:p>
    <w:p w14:paraId="202167D7"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0"/>
          <w:szCs w:val="10"/>
        </w:rPr>
      </w:pPr>
      <w:r w:rsidRPr="00E10730">
        <w:rPr>
          <w:rFonts w:eastAsia="Calibri" w:cs="Arial"/>
          <w:sz w:val="18"/>
          <w:szCs w:val="18"/>
        </w:rPr>
        <w:t>The Agency has elected not to recognise right-of-use assets and lease liabilities for short-term leases of assets that have a lease term of 12 months or less and leases of low-value assets (less than $10,000 per asset). The Agency recognises the lease payments associated with these leases as an expense on a straight-line basis over the lease term.</w:t>
      </w:r>
    </w:p>
    <w:tbl>
      <w:tblPr>
        <w:tblW w:w="0" w:type="auto"/>
        <w:tblBorders>
          <w:top w:val="single" w:sz="4" w:space="1" w:color="auto"/>
          <w:left w:val="single" w:sz="4" w:space="1" w:color="auto"/>
          <w:bottom w:val="single" w:sz="4" w:space="1" w:color="auto"/>
          <w:right w:val="single" w:sz="4" w:space="4" w:color="auto"/>
        </w:tblBorders>
        <w:tblLayout w:type="fixed"/>
        <w:tblLook w:val="0000" w:firstRow="0" w:lastRow="0" w:firstColumn="0" w:lastColumn="0" w:noHBand="0" w:noVBand="0"/>
      </w:tblPr>
      <w:tblGrid>
        <w:gridCol w:w="6541"/>
        <w:gridCol w:w="1273"/>
        <w:gridCol w:w="1273"/>
      </w:tblGrid>
      <w:tr w:rsidR="005C6008" w:rsidRPr="00E10730" w14:paraId="1675AB34" w14:textId="77777777">
        <w:trPr>
          <w:trHeight w:val="253"/>
        </w:trPr>
        <w:tc>
          <w:tcPr>
            <w:tcW w:w="6541" w:type="dxa"/>
            <w:tcBorders>
              <w:top w:val="nil"/>
              <w:left w:val="nil"/>
              <w:bottom w:val="nil"/>
              <w:right w:val="nil"/>
            </w:tcBorders>
            <w:shd w:val="clear" w:color="FFFFFF" w:fill="FFFFFF"/>
            <w:vAlign w:val="bottom"/>
          </w:tcPr>
          <w:p w14:paraId="3C99590E"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61FA3F8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273" w:type="dxa"/>
            <w:tcBorders>
              <w:top w:val="nil"/>
              <w:left w:val="nil"/>
              <w:bottom w:val="nil"/>
              <w:right w:val="nil"/>
            </w:tcBorders>
            <w:shd w:val="clear" w:color="FFFFFF" w:fill="FFFFFF"/>
            <w:vAlign w:val="bottom"/>
          </w:tcPr>
          <w:p w14:paraId="58642F4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r>
      <w:tr w:rsidR="005C6008" w:rsidRPr="00E10730" w14:paraId="78C18D16" w14:textId="77777777">
        <w:tblPrEx>
          <w:tblBorders>
            <w:top w:val="none" w:sz="0" w:space="0" w:color="auto"/>
            <w:left w:val="none" w:sz="0" w:space="0" w:color="auto"/>
            <w:bottom w:val="none" w:sz="0" w:space="0" w:color="auto"/>
            <w:right w:val="none" w:sz="0" w:space="0" w:color="auto"/>
          </w:tblBorders>
        </w:tblPrEx>
        <w:trPr>
          <w:trHeight w:val="260"/>
        </w:trPr>
        <w:tc>
          <w:tcPr>
            <w:tcW w:w="6541" w:type="dxa"/>
            <w:tcBorders>
              <w:top w:val="nil"/>
              <w:left w:val="nil"/>
              <w:bottom w:val="nil"/>
              <w:right w:val="nil"/>
            </w:tcBorders>
            <w:shd w:val="clear" w:color="FFFFFF" w:fill="FFFFFF"/>
            <w:vAlign w:val="bottom"/>
          </w:tcPr>
          <w:p w14:paraId="3B35B485"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1.1C: Grants</w:t>
            </w:r>
          </w:p>
        </w:tc>
        <w:tc>
          <w:tcPr>
            <w:tcW w:w="1273" w:type="dxa"/>
            <w:tcBorders>
              <w:top w:val="nil"/>
              <w:left w:val="nil"/>
              <w:bottom w:val="nil"/>
              <w:right w:val="nil"/>
            </w:tcBorders>
            <w:shd w:val="clear" w:color="FFFFFF" w:fill="FFFFFF"/>
            <w:vAlign w:val="bottom"/>
          </w:tcPr>
          <w:p w14:paraId="165B28D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273" w:type="dxa"/>
            <w:tcBorders>
              <w:top w:val="nil"/>
              <w:left w:val="nil"/>
              <w:bottom w:val="nil"/>
              <w:right w:val="nil"/>
            </w:tcBorders>
            <w:shd w:val="clear" w:color="FFFFFF" w:fill="FFFFFF"/>
            <w:vAlign w:val="bottom"/>
          </w:tcPr>
          <w:p w14:paraId="423B51E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r>
      <w:tr w:rsidR="005C6008" w:rsidRPr="00E10730" w14:paraId="17D1D15C" w14:textId="77777777">
        <w:tblPrEx>
          <w:tblBorders>
            <w:top w:val="none" w:sz="0" w:space="0" w:color="auto"/>
            <w:left w:val="none" w:sz="0" w:space="0" w:color="auto"/>
            <w:bottom w:val="none" w:sz="0" w:space="0" w:color="auto"/>
            <w:right w:val="none" w:sz="0" w:space="0" w:color="auto"/>
          </w:tblBorders>
        </w:tblPrEx>
        <w:trPr>
          <w:trHeight w:val="250"/>
        </w:trPr>
        <w:tc>
          <w:tcPr>
            <w:tcW w:w="6541" w:type="dxa"/>
            <w:tcBorders>
              <w:top w:val="nil"/>
              <w:left w:val="nil"/>
              <w:bottom w:val="nil"/>
              <w:right w:val="nil"/>
            </w:tcBorders>
            <w:shd w:val="clear" w:color="FFFFFF" w:fill="FFFFFF"/>
            <w:vAlign w:val="bottom"/>
          </w:tcPr>
          <w:p w14:paraId="344E8F76"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Private sector</w:t>
            </w:r>
          </w:p>
        </w:tc>
        <w:tc>
          <w:tcPr>
            <w:tcW w:w="1273" w:type="dxa"/>
            <w:tcBorders>
              <w:top w:val="nil"/>
              <w:left w:val="nil"/>
              <w:bottom w:val="nil"/>
              <w:right w:val="nil"/>
            </w:tcBorders>
            <w:shd w:val="clear" w:color="FFFFFF" w:fill="FFFFFF"/>
            <w:vAlign w:val="bottom"/>
          </w:tcPr>
          <w:p w14:paraId="44E26F1E"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73" w:type="dxa"/>
            <w:tcBorders>
              <w:top w:val="nil"/>
              <w:left w:val="nil"/>
              <w:bottom w:val="nil"/>
              <w:right w:val="nil"/>
            </w:tcBorders>
            <w:shd w:val="clear" w:color="FFFFFF" w:fill="FFFFFF"/>
            <w:vAlign w:val="bottom"/>
          </w:tcPr>
          <w:p w14:paraId="3DCDB627"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25DF1320" w14:textId="77777777">
        <w:tblPrEx>
          <w:tblBorders>
            <w:top w:val="none" w:sz="0" w:space="0" w:color="auto"/>
            <w:left w:val="none" w:sz="0" w:space="0" w:color="auto"/>
            <w:bottom w:val="none" w:sz="0" w:space="0" w:color="auto"/>
            <w:right w:val="none" w:sz="0" w:space="0" w:color="auto"/>
          </w:tblBorders>
        </w:tblPrEx>
        <w:trPr>
          <w:trHeight w:val="268"/>
        </w:trPr>
        <w:tc>
          <w:tcPr>
            <w:tcW w:w="6541" w:type="dxa"/>
            <w:tcBorders>
              <w:top w:val="nil"/>
              <w:left w:val="nil"/>
              <w:bottom w:val="nil"/>
              <w:right w:val="nil"/>
            </w:tcBorders>
            <w:shd w:val="clear" w:color="FFFFFF" w:fill="FFFFFF"/>
            <w:vAlign w:val="bottom"/>
          </w:tcPr>
          <w:p w14:paraId="67596C12" w14:textId="77777777" w:rsidR="005C6008" w:rsidRPr="00E10730" w:rsidRDefault="005C6008" w:rsidP="00115FA3">
            <w:pPr>
              <w:autoSpaceDE w:val="0"/>
              <w:autoSpaceDN w:val="0"/>
              <w:adjustRightInd w:val="0"/>
              <w:spacing w:after="0" w:line="240" w:lineRule="auto"/>
              <w:ind w:firstLine="360"/>
              <w:rPr>
                <w:rFonts w:eastAsia="Calibri" w:cs="Arial"/>
                <w:sz w:val="18"/>
                <w:szCs w:val="18"/>
              </w:rPr>
            </w:pPr>
            <w:r w:rsidRPr="00E10730">
              <w:rPr>
                <w:rFonts w:eastAsia="Calibri" w:cs="Arial"/>
                <w:sz w:val="18"/>
                <w:szCs w:val="18"/>
              </w:rPr>
              <w:t>Not for profit organisations</w:t>
            </w:r>
          </w:p>
        </w:tc>
        <w:tc>
          <w:tcPr>
            <w:tcW w:w="1273" w:type="dxa"/>
            <w:tcBorders>
              <w:top w:val="nil"/>
              <w:left w:val="nil"/>
              <w:bottom w:val="nil"/>
              <w:right w:val="nil"/>
            </w:tcBorders>
            <w:shd w:val="clear" w:color="FFFFFF" w:fill="FFFFFF"/>
            <w:vAlign w:val="bottom"/>
          </w:tcPr>
          <w:p w14:paraId="6C93CA7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34,791</w:t>
            </w:r>
          </w:p>
        </w:tc>
        <w:tc>
          <w:tcPr>
            <w:tcW w:w="1273" w:type="dxa"/>
            <w:tcBorders>
              <w:top w:val="nil"/>
              <w:left w:val="nil"/>
              <w:bottom w:val="nil"/>
              <w:right w:val="nil"/>
            </w:tcBorders>
            <w:shd w:val="clear" w:color="FFFFFF" w:fill="FFFFFF"/>
            <w:vAlign w:val="bottom"/>
          </w:tcPr>
          <w:p w14:paraId="7CCB7F4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11,916</w:t>
            </w:r>
          </w:p>
        </w:tc>
      </w:tr>
      <w:tr w:rsidR="005C6008" w:rsidRPr="00E10730" w14:paraId="464E2CBA" w14:textId="77777777">
        <w:tblPrEx>
          <w:tblBorders>
            <w:top w:val="none" w:sz="0" w:space="0" w:color="auto"/>
            <w:left w:val="none" w:sz="0" w:space="0" w:color="auto"/>
            <w:bottom w:val="none" w:sz="0" w:space="0" w:color="auto"/>
            <w:right w:val="none" w:sz="0" w:space="0" w:color="auto"/>
          </w:tblBorders>
        </w:tblPrEx>
        <w:trPr>
          <w:trHeight w:val="250"/>
        </w:trPr>
        <w:tc>
          <w:tcPr>
            <w:tcW w:w="6541" w:type="dxa"/>
            <w:tcBorders>
              <w:top w:val="nil"/>
              <w:left w:val="nil"/>
              <w:bottom w:val="nil"/>
              <w:right w:val="nil"/>
            </w:tcBorders>
            <w:shd w:val="clear" w:color="FFFFFF" w:fill="FFFFFF"/>
            <w:vAlign w:val="bottom"/>
          </w:tcPr>
          <w:p w14:paraId="79ED72FC"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grants</w:t>
            </w:r>
          </w:p>
        </w:tc>
        <w:tc>
          <w:tcPr>
            <w:tcW w:w="1273" w:type="dxa"/>
            <w:tcBorders>
              <w:top w:val="single" w:sz="4" w:space="0" w:color="auto"/>
              <w:left w:val="nil"/>
              <w:bottom w:val="single" w:sz="4" w:space="0" w:color="auto"/>
              <w:right w:val="nil"/>
            </w:tcBorders>
            <w:shd w:val="clear" w:color="FFFFFF" w:fill="FFFFFF"/>
            <w:vAlign w:val="bottom"/>
          </w:tcPr>
          <w:p w14:paraId="25612EE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34,791</w:t>
            </w:r>
          </w:p>
        </w:tc>
        <w:tc>
          <w:tcPr>
            <w:tcW w:w="1273" w:type="dxa"/>
            <w:tcBorders>
              <w:top w:val="single" w:sz="4" w:space="0" w:color="auto"/>
              <w:left w:val="nil"/>
              <w:bottom w:val="single" w:sz="4" w:space="0" w:color="auto"/>
              <w:right w:val="nil"/>
            </w:tcBorders>
            <w:shd w:val="clear" w:color="FFFFFF" w:fill="FFFFFF"/>
            <w:vAlign w:val="bottom"/>
          </w:tcPr>
          <w:p w14:paraId="1C500EA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11,916</w:t>
            </w:r>
          </w:p>
        </w:tc>
      </w:tr>
    </w:tbl>
    <w:p w14:paraId="4016A72C"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240" w:line="240" w:lineRule="auto"/>
        <w:rPr>
          <w:rFonts w:eastAsia="Calibri" w:cs="Arial"/>
          <w:b/>
          <w:bCs/>
          <w:sz w:val="18"/>
          <w:szCs w:val="18"/>
        </w:rPr>
      </w:pPr>
      <w:r w:rsidRPr="00E10730">
        <w:rPr>
          <w:rFonts w:eastAsia="Calibri" w:cs="Arial"/>
          <w:b/>
          <w:bCs/>
          <w:sz w:val="18"/>
          <w:szCs w:val="18"/>
        </w:rPr>
        <w:t>Accounting Policy</w:t>
      </w:r>
    </w:p>
    <w:p w14:paraId="40182763"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u w:val="single"/>
        </w:rPr>
      </w:pPr>
      <w:r w:rsidRPr="00E10730">
        <w:rPr>
          <w:rFonts w:eastAsia="Calibri" w:cs="Arial"/>
          <w:sz w:val="18"/>
          <w:szCs w:val="18"/>
          <w:u w:val="single"/>
        </w:rPr>
        <w:t>Grants</w:t>
      </w:r>
    </w:p>
    <w:p w14:paraId="79ABEA16"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The Agency administers a number of grant schemes. Grant liabilities are recognised to the extent that (i) the services required to be performed by the grantee have been performed or (ii) the grant eligibility criteria have been satisfied, but payments due have not been made.</w:t>
      </w:r>
    </w:p>
    <w:p w14:paraId="53404820"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When the Agency enters into an agreement to make these grants and services, but services have not been performed or criteria satisfied, this is considered a commitment.</w:t>
      </w:r>
    </w:p>
    <w:p w14:paraId="641BD076" w14:textId="77777777" w:rsidR="005C6008" w:rsidRPr="00E10730" w:rsidRDefault="005C6008" w:rsidP="002B432C">
      <w:pPr>
        <w:autoSpaceDE w:val="0"/>
        <w:autoSpaceDN w:val="0"/>
        <w:adjustRightInd w:val="0"/>
        <w:spacing w:after="0" w:line="240" w:lineRule="auto"/>
        <w:rPr>
          <w:rFonts w:eastAsia="Calibri" w:cs="Arial"/>
          <w:b/>
          <w:bCs/>
          <w:sz w:val="18"/>
          <w:szCs w:val="18"/>
        </w:rPr>
      </w:pPr>
    </w:p>
    <w:tbl>
      <w:tblPr>
        <w:tblW w:w="9087" w:type="dxa"/>
        <w:tblLayout w:type="fixed"/>
        <w:tblLook w:val="0000" w:firstRow="0" w:lastRow="0" w:firstColumn="0" w:lastColumn="0" w:noHBand="0" w:noVBand="0"/>
      </w:tblPr>
      <w:tblGrid>
        <w:gridCol w:w="6541"/>
        <w:gridCol w:w="1273"/>
        <w:gridCol w:w="1273"/>
      </w:tblGrid>
      <w:tr w:rsidR="005C6008" w:rsidRPr="00E10730" w14:paraId="2633949D" w14:textId="77777777" w:rsidTr="002A3A1D">
        <w:trPr>
          <w:trHeight w:val="210"/>
        </w:trPr>
        <w:tc>
          <w:tcPr>
            <w:tcW w:w="6541" w:type="dxa"/>
            <w:tcBorders>
              <w:top w:val="nil"/>
              <w:left w:val="nil"/>
              <w:bottom w:val="nil"/>
              <w:right w:val="nil"/>
            </w:tcBorders>
            <w:shd w:val="clear" w:color="FFFFFF" w:fill="FFFFFF"/>
            <w:vAlign w:val="bottom"/>
          </w:tcPr>
          <w:p w14:paraId="1A191ABB"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1.1D: Finance costs</w:t>
            </w:r>
          </w:p>
        </w:tc>
        <w:tc>
          <w:tcPr>
            <w:tcW w:w="1273" w:type="dxa"/>
            <w:tcBorders>
              <w:top w:val="nil"/>
              <w:left w:val="nil"/>
              <w:bottom w:val="nil"/>
              <w:right w:val="nil"/>
            </w:tcBorders>
            <w:shd w:val="clear" w:color="FFFFFF" w:fill="FFFFFF"/>
            <w:vAlign w:val="bottom"/>
          </w:tcPr>
          <w:p w14:paraId="502345EF"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743EBF08"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02129C62" w14:textId="77777777" w:rsidTr="002A3A1D">
        <w:trPr>
          <w:trHeight w:val="250"/>
        </w:trPr>
        <w:tc>
          <w:tcPr>
            <w:tcW w:w="6541" w:type="dxa"/>
            <w:tcBorders>
              <w:top w:val="nil"/>
              <w:left w:val="nil"/>
              <w:bottom w:val="nil"/>
              <w:right w:val="nil"/>
            </w:tcBorders>
            <w:shd w:val="clear" w:color="FFFFFF" w:fill="FFFFFF"/>
            <w:vAlign w:val="bottom"/>
          </w:tcPr>
          <w:p w14:paraId="23D90482"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Interest on lease liabilities</w:t>
            </w:r>
          </w:p>
        </w:tc>
        <w:tc>
          <w:tcPr>
            <w:tcW w:w="1273" w:type="dxa"/>
            <w:tcBorders>
              <w:top w:val="nil"/>
              <w:left w:val="nil"/>
              <w:bottom w:val="nil"/>
              <w:right w:val="nil"/>
            </w:tcBorders>
            <w:shd w:val="clear" w:color="FFFFFF" w:fill="FFFFFF"/>
            <w:vAlign w:val="bottom"/>
          </w:tcPr>
          <w:p w14:paraId="578EAEE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4,465</w:t>
            </w:r>
          </w:p>
        </w:tc>
        <w:tc>
          <w:tcPr>
            <w:tcW w:w="1273" w:type="dxa"/>
            <w:tcBorders>
              <w:top w:val="nil"/>
              <w:left w:val="nil"/>
              <w:bottom w:val="nil"/>
              <w:right w:val="nil"/>
            </w:tcBorders>
            <w:shd w:val="clear" w:color="FFFFFF" w:fill="FFFFFF"/>
            <w:vAlign w:val="bottom"/>
          </w:tcPr>
          <w:p w14:paraId="17D92FF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3,805</w:t>
            </w:r>
          </w:p>
        </w:tc>
      </w:tr>
      <w:tr w:rsidR="005C6008" w:rsidRPr="00E10730" w14:paraId="761FFD4B" w14:textId="77777777" w:rsidTr="002A3A1D">
        <w:trPr>
          <w:trHeight w:val="250"/>
        </w:trPr>
        <w:tc>
          <w:tcPr>
            <w:tcW w:w="6541" w:type="dxa"/>
            <w:tcBorders>
              <w:top w:val="nil"/>
              <w:left w:val="nil"/>
              <w:bottom w:val="nil"/>
              <w:right w:val="nil"/>
            </w:tcBorders>
            <w:shd w:val="clear" w:color="FFFFFF" w:fill="FFFFFF"/>
            <w:vAlign w:val="bottom"/>
          </w:tcPr>
          <w:p w14:paraId="1F061A2B"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Other interest payments</w:t>
            </w:r>
          </w:p>
        </w:tc>
        <w:tc>
          <w:tcPr>
            <w:tcW w:w="1273" w:type="dxa"/>
            <w:tcBorders>
              <w:top w:val="nil"/>
              <w:left w:val="nil"/>
              <w:bottom w:val="nil"/>
              <w:right w:val="nil"/>
            </w:tcBorders>
            <w:shd w:val="clear" w:color="FFFFFF" w:fill="FFFFFF"/>
            <w:vAlign w:val="bottom"/>
          </w:tcPr>
          <w:p w14:paraId="4826B0C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102</w:t>
            </w:r>
          </w:p>
        </w:tc>
        <w:tc>
          <w:tcPr>
            <w:tcW w:w="1273" w:type="dxa"/>
            <w:tcBorders>
              <w:top w:val="nil"/>
              <w:left w:val="nil"/>
              <w:bottom w:val="nil"/>
              <w:right w:val="nil"/>
            </w:tcBorders>
            <w:shd w:val="clear" w:color="FFFFFF" w:fill="FFFFFF"/>
            <w:vAlign w:val="bottom"/>
          </w:tcPr>
          <w:p w14:paraId="0F59766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1,365</w:t>
            </w:r>
          </w:p>
        </w:tc>
      </w:tr>
      <w:tr w:rsidR="005C6008" w:rsidRPr="00E10730" w14:paraId="16559EBA" w14:textId="77777777" w:rsidTr="002A3A1D">
        <w:trPr>
          <w:trHeight w:val="250"/>
        </w:trPr>
        <w:tc>
          <w:tcPr>
            <w:tcW w:w="6541" w:type="dxa"/>
            <w:tcBorders>
              <w:top w:val="nil"/>
              <w:left w:val="nil"/>
              <w:bottom w:val="nil"/>
              <w:right w:val="nil"/>
            </w:tcBorders>
            <w:shd w:val="clear" w:color="FFFFFF" w:fill="FFFFFF"/>
            <w:vAlign w:val="bottom"/>
          </w:tcPr>
          <w:p w14:paraId="44452912"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Unwinding of discount and discount rate movement</w:t>
            </w:r>
          </w:p>
        </w:tc>
        <w:tc>
          <w:tcPr>
            <w:tcW w:w="1273" w:type="dxa"/>
            <w:tcBorders>
              <w:top w:val="nil"/>
              <w:left w:val="nil"/>
              <w:bottom w:val="nil"/>
              <w:right w:val="nil"/>
            </w:tcBorders>
            <w:shd w:val="clear" w:color="FFFFFF" w:fill="FFFFFF"/>
            <w:vAlign w:val="bottom"/>
          </w:tcPr>
          <w:p w14:paraId="2C45771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566</w:t>
            </w:r>
          </w:p>
        </w:tc>
        <w:tc>
          <w:tcPr>
            <w:tcW w:w="1273" w:type="dxa"/>
            <w:tcBorders>
              <w:top w:val="nil"/>
              <w:left w:val="nil"/>
              <w:bottom w:val="nil"/>
              <w:right w:val="nil"/>
            </w:tcBorders>
            <w:shd w:val="clear" w:color="FFFFFF" w:fill="FFFFFF"/>
            <w:vAlign w:val="bottom"/>
          </w:tcPr>
          <w:p w14:paraId="7FF5DE1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293</w:t>
            </w:r>
          </w:p>
        </w:tc>
      </w:tr>
      <w:tr w:rsidR="005C6008" w:rsidRPr="00E10730" w14:paraId="2B9446A9" w14:textId="77777777" w:rsidTr="002A3A1D">
        <w:trPr>
          <w:trHeight w:val="260"/>
        </w:trPr>
        <w:tc>
          <w:tcPr>
            <w:tcW w:w="6541" w:type="dxa"/>
            <w:tcBorders>
              <w:top w:val="nil"/>
              <w:left w:val="nil"/>
              <w:bottom w:val="nil"/>
              <w:right w:val="nil"/>
            </w:tcBorders>
            <w:shd w:val="clear" w:color="FFFFFF" w:fill="FFFFFF"/>
            <w:vAlign w:val="bottom"/>
          </w:tcPr>
          <w:p w14:paraId="6DB709FA"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finance costs</w:t>
            </w:r>
          </w:p>
        </w:tc>
        <w:tc>
          <w:tcPr>
            <w:tcW w:w="1273" w:type="dxa"/>
            <w:tcBorders>
              <w:top w:val="single" w:sz="4" w:space="0" w:color="auto"/>
              <w:left w:val="nil"/>
              <w:bottom w:val="single" w:sz="4" w:space="0" w:color="auto"/>
              <w:right w:val="nil"/>
            </w:tcBorders>
            <w:shd w:val="clear" w:color="FFFFFF" w:fill="FFFFFF"/>
            <w:vAlign w:val="bottom"/>
          </w:tcPr>
          <w:p w14:paraId="2206B5C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5,133</w:t>
            </w:r>
          </w:p>
        </w:tc>
        <w:tc>
          <w:tcPr>
            <w:tcW w:w="1273" w:type="dxa"/>
            <w:tcBorders>
              <w:top w:val="single" w:sz="4" w:space="0" w:color="auto"/>
              <w:left w:val="nil"/>
              <w:bottom w:val="single" w:sz="4" w:space="0" w:color="auto"/>
              <w:right w:val="nil"/>
            </w:tcBorders>
            <w:shd w:val="clear" w:color="FFFFFF" w:fill="FFFFFF"/>
            <w:vAlign w:val="bottom"/>
          </w:tcPr>
          <w:p w14:paraId="76796E9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5,463</w:t>
            </w:r>
          </w:p>
        </w:tc>
      </w:tr>
    </w:tbl>
    <w:p w14:paraId="05259143" w14:textId="70E33B42" w:rsidR="005C6008" w:rsidRPr="002A3A1D" w:rsidRDefault="002A3A1D" w:rsidP="002A3A1D">
      <w:pPr>
        <w:autoSpaceDE w:val="0"/>
        <w:autoSpaceDN w:val="0"/>
        <w:adjustRightInd w:val="0"/>
        <w:spacing w:before="80" w:after="80" w:line="240" w:lineRule="auto"/>
        <w:ind w:right="607"/>
        <w:rPr>
          <w:rFonts w:eastAsia="Calibri" w:cs="Arial"/>
          <w:sz w:val="18"/>
          <w:szCs w:val="18"/>
        </w:rPr>
      </w:pPr>
      <w:r w:rsidRPr="00E10730">
        <w:rPr>
          <w:rFonts w:eastAsia="Calibri" w:cs="Arial"/>
          <w:sz w:val="18"/>
          <w:szCs w:val="18"/>
        </w:rPr>
        <w:t>The above lease disclosures should be read in conjunction with the accompanying notes 1.1B, 1.2B, 2.2A and 2.5.</w:t>
      </w:r>
    </w:p>
    <w:p w14:paraId="0D425829" w14:textId="77777777" w:rsidR="005C6008" w:rsidRPr="00E10730" w:rsidRDefault="005C6008" w:rsidP="002B432C">
      <w:pPr>
        <w:pBdr>
          <w:top w:val="single" w:sz="4" w:space="2" w:color="800080"/>
          <w:left w:val="single" w:sz="4" w:space="2" w:color="800080"/>
          <w:bottom w:val="single" w:sz="4" w:space="2" w:color="800080"/>
          <w:right w:val="single" w:sz="4" w:space="2" w:color="800080"/>
        </w:pBdr>
        <w:autoSpaceDE w:val="0"/>
        <w:autoSpaceDN w:val="0"/>
        <w:adjustRightInd w:val="0"/>
        <w:spacing w:before="80" w:after="80" w:line="240" w:lineRule="auto"/>
        <w:rPr>
          <w:rFonts w:eastAsia="Calibri" w:cs="Arial"/>
          <w:b/>
          <w:bCs/>
          <w:sz w:val="18"/>
          <w:szCs w:val="18"/>
        </w:rPr>
      </w:pPr>
      <w:r w:rsidRPr="00E10730">
        <w:rPr>
          <w:rFonts w:eastAsia="Calibri" w:cs="Arial"/>
          <w:b/>
          <w:bCs/>
          <w:sz w:val="18"/>
          <w:szCs w:val="18"/>
        </w:rPr>
        <w:t>Accounting Policy</w:t>
      </w:r>
    </w:p>
    <w:p w14:paraId="453CE5CD" w14:textId="77777777" w:rsidR="005C6008" w:rsidRPr="00E10730" w:rsidRDefault="005C6008" w:rsidP="002B432C">
      <w:pPr>
        <w:pBdr>
          <w:top w:val="single" w:sz="4" w:space="2" w:color="800080"/>
          <w:left w:val="single" w:sz="4" w:space="2" w:color="800080"/>
          <w:bottom w:val="single" w:sz="4" w:space="2" w:color="800080"/>
          <w:right w:val="single" w:sz="4" w:space="2" w:color="800080"/>
        </w:pBdr>
        <w:autoSpaceDE w:val="0"/>
        <w:autoSpaceDN w:val="0"/>
        <w:adjustRightInd w:val="0"/>
        <w:spacing w:before="80" w:after="80" w:line="240" w:lineRule="auto"/>
        <w:rPr>
          <w:rFonts w:eastAsia="Calibri" w:cs="Arial"/>
          <w:b/>
          <w:bCs/>
          <w:sz w:val="18"/>
          <w:szCs w:val="18"/>
        </w:rPr>
      </w:pPr>
      <w:r w:rsidRPr="00E10730">
        <w:rPr>
          <w:rFonts w:eastAsia="Calibri" w:cs="Arial"/>
          <w:sz w:val="18"/>
          <w:szCs w:val="18"/>
        </w:rPr>
        <w:t>All borrowing costs are expensed as incurred</w:t>
      </w:r>
      <w:r w:rsidRPr="00E10730">
        <w:rPr>
          <w:rFonts w:eastAsia="Calibri" w:cs="Arial"/>
          <w:b/>
          <w:bCs/>
          <w:sz w:val="18"/>
          <w:szCs w:val="18"/>
        </w:rPr>
        <w:t>.</w:t>
      </w:r>
    </w:p>
    <w:p w14:paraId="4C48B932" w14:textId="77777777" w:rsidR="005C6008" w:rsidRPr="00E10730" w:rsidRDefault="005C6008" w:rsidP="002B432C">
      <w:pPr>
        <w:autoSpaceDE w:val="0"/>
        <w:autoSpaceDN w:val="0"/>
        <w:adjustRightInd w:val="0"/>
        <w:spacing w:after="0" w:line="240" w:lineRule="auto"/>
        <w:rPr>
          <w:rFonts w:eastAsia="Calibri" w:cs="Arial"/>
          <w:b/>
          <w:bCs/>
          <w:sz w:val="18"/>
          <w:szCs w:val="18"/>
        </w:rPr>
      </w:pPr>
    </w:p>
    <w:tbl>
      <w:tblPr>
        <w:tblW w:w="0" w:type="auto"/>
        <w:tblLayout w:type="fixed"/>
        <w:tblLook w:val="0000" w:firstRow="0" w:lastRow="0" w:firstColumn="0" w:lastColumn="0" w:noHBand="0" w:noVBand="0"/>
      </w:tblPr>
      <w:tblGrid>
        <w:gridCol w:w="6071"/>
        <w:gridCol w:w="1726"/>
        <w:gridCol w:w="1275"/>
      </w:tblGrid>
      <w:tr w:rsidR="005C6008" w:rsidRPr="00E10730" w14:paraId="417F6032" w14:textId="77777777">
        <w:trPr>
          <w:trHeight w:val="260"/>
        </w:trPr>
        <w:tc>
          <w:tcPr>
            <w:tcW w:w="6071" w:type="dxa"/>
            <w:tcBorders>
              <w:top w:val="nil"/>
              <w:left w:val="nil"/>
              <w:bottom w:val="nil"/>
              <w:right w:val="nil"/>
            </w:tcBorders>
            <w:shd w:val="clear" w:color="FFFFFF" w:fill="FFFFFF"/>
            <w:vAlign w:val="bottom"/>
          </w:tcPr>
          <w:p w14:paraId="1CF59732"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1.1E: Write-down and impairment of other assets</w:t>
            </w:r>
          </w:p>
        </w:tc>
        <w:tc>
          <w:tcPr>
            <w:tcW w:w="1726" w:type="dxa"/>
            <w:tcBorders>
              <w:top w:val="nil"/>
              <w:left w:val="nil"/>
              <w:bottom w:val="nil"/>
              <w:right w:val="nil"/>
            </w:tcBorders>
            <w:shd w:val="clear" w:color="FFFFFF" w:fill="FFFFFF"/>
            <w:vAlign w:val="bottom"/>
          </w:tcPr>
          <w:p w14:paraId="14B61F73"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75" w:type="dxa"/>
            <w:tcBorders>
              <w:top w:val="nil"/>
              <w:left w:val="nil"/>
              <w:bottom w:val="nil"/>
              <w:right w:val="nil"/>
            </w:tcBorders>
            <w:shd w:val="clear" w:color="FFFFFF" w:fill="FFFFFF"/>
            <w:vAlign w:val="bottom"/>
          </w:tcPr>
          <w:p w14:paraId="29E140CA"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0A6BEB09" w14:textId="77777777">
        <w:trPr>
          <w:trHeight w:val="250"/>
        </w:trPr>
        <w:tc>
          <w:tcPr>
            <w:tcW w:w="6071" w:type="dxa"/>
            <w:tcBorders>
              <w:top w:val="nil"/>
              <w:left w:val="nil"/>
              <w:bottom w:val="nil"/>
              <w:right w:val="nil"/>
            </w:tcBorders>
            <w:shd w:val="clear" w:color="FFFFFF" w:fill="FFFFFF"/>
            <w:vAlign w:val="bottom"/>
          </w:tcPr>
          <w:p w14:paraId="4E9A3DB2" w14:textId="2A64F4DB"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 xml:space="preserve">Buildings, </w:t>
            </w:r>
            <w:r w:rsidR="00E71C32">
              <w:rPr>
                <w:rFonts w:eastAsia="Calibri" w:cs="Arial"/>
                <w:sz w:val="18"/>
                <w:szCs w:val="18"/>
              </w:rPr>
              <w:t>p</w:t>
            </w:r>
            <w:r w:rsidRPr="00E10730">
              <w:rPr>
                <w:rFonts w:eastAsia="Calibri" w:cs="Arial"/>
                <w:sz w:val="18"/>
                <w:szCs w:val="18"/>
              </w:rPr>
              <w:t>lant and equipment</w:t>
            </w:r>
          </w:p>
        </w:tc>
        <w:tc>
          <w:tcPr>
            <w:tcW w:w="1726" w:type="dxa"/>
            <w:tcBorders>
              <w:top w:val="nil"/>
              <w:left w:val="nil"/>
              <w:bottom w:val="nil"/>
              <w:right w:val="nil"/>
            </w:tcBorders>
            <w:shd w:val="clear" w:color="FFFFFF" w:fill="FFFFFF"/>
            <w:vAlign w:val="bottom"/>
          </w:tcPr>
          <w:p w14:paraId="0E3DC63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21</w:t>
            </w:r>
          </w:p>
        </w:tc>
        <w:tc>
          <w:tcPr>
            <w:tcW w:w="1275" w:type="dxa"/>
            <w:tcBorders>
              <w:top w:val="nil"/>
              <w:left w:val="nil"/>
              <w:bottom w:val="nil"/>
              <w:right w:val="nil"/>
            </w:tcBorders>
            <w:shd w:val="clear" w:color="FFFFFF" w:fill="FFFFFF"/>
            <w:vAlign w:val="bottom"/>
          </w:tcPr>
          <w:p w14:paraId="72E9B25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w:t>
            </w:r>
          </w:p>
        </w:tc>
      </w:tr>
      <w:tr w:rsidR="005C6008" w:rsidRPr="00E10730" w14:paraId="56066AA5" w14:textId="77777777">
        <w:trPr>
          <w:trHeight w:val="250"/>
        </w:trPr>
        <w:tc>
          <w:tcPr>
            <w:tcW w:w="6071" w:type="dxa"/>
            <w:tcBorders>
              <w:top w:val="nil"/>
              <w:left w:val="nil"/>
              <w:bottom w:val="nil"/>
              <w:right w:val="nil"/>
            </w:tcBorders>
            <w:shd w:val="clear" w:color="FFFFFF" w:fill="FFFFFF"/>
            <w:vAlign w:val="bottom"/>
          </w:tcPr>
          <w:p w14:paraId="69245E8E"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Participant and provider receivables</w:t>
            </w:r>
          </w:p>
        </w:tc>
        <w:tc>
          <w:tcPr>
            <w:tcW w:w="1726" w:type="dxa"/>
            <w:tcBorders>
              <w:top w:val="nil"/>
              <w:left w:val="nil"/>
              <w:bottom w:val="nil"/>
              <w:right w:val="nil"/>
            </w:tcBorders>
            <w:shd w:val="clear" w:color="FFFFFF" w:fill="FFFFFF"/>
            <w:vAlign w:val="bottom"/>
          </w:tcPr>
          <w:p w14:paraId="334C66D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4,553</w:t>
            </w:r>
          </w:p>
        </w:tc>
        <w:tc>
          <w:tcPr>
            <w:tcW w:w="1275" w:type="dxa"/>
            <w:tcBorders>
              <w:top w:val="nil"/>
              <w:left w:val="nil"/>
              <w:bottom w:val="nil"/>
              <w:right w:val="nil"/>
            </w:tcBorders>
            <w:shd w:val="clear" w:color="FFFFFF" w:fill="FFFFFF"/>
            <w:vAlign w:val="bottom"/>
          </w:tcPr>
          <w:p w14:paraId="15115C1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70,556</w:t>
            </w:r>
          </w:p>
        </w:tc>
      </w:tr>
      <w:tr w:rsidR="005C6008" w:rsidRPr="00E10730" w14:paraId="12E6129C" w14:textId="77777777">
        <w:trPr>
          <w:trHeight w:val="250"/>
        </w:trPr>
        <w:tc>
          <w:tcPr>
            <w:tcW w:w="6071" w:type="dxa"/>
            <w:tcBorders>
              <w:top w:val="nil"/>
              <w:left w:val="nil"/>
              <w:bottom w:val="nil"/>
              <w:right w:val="nil"/>
            </w:tcBorders>
            <w:shd w:val="clear" w:color="FFFFFF" w:fill="FFFFFF"/>
            <w:vAlign w:val="bottom"/>
          </w:tcPr>
          <w:p w14:paraId="4F360DB0"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Other receivables</w:t>
            </w:r>
          </w:p>
        </w:tc>
        <w:tc>
          <w:tcPr>
            <w:tcW w:w="1726" w:type="dxa"/>
            <w:tcBorders>
              <w:top w:val="nil"/>
              <w:left w:val="nil"/>
              <w:bottom w:val="nil"/>
              <w:right w:val="nil"/>
            </w:tcBorders>
            <w:shd w:val="clear" w:color="FFFFFF" w:fill="FFFFFF"/>
            <w:vAlign w:val="bottom"/>
          </w:tcPr>
          <w:p w14:paraId="67B7F94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(12)</w:t>
            </w:r>
          </w:p>
        </w:tc>
        <w:tc>
          <w:tcPr>
            <w:tcW w:w="1275" w:type="dxa"/>
            <w:tcBorders>
              <w:top w:val="nil"/>
              <w:left w:val="nil"/>
              <w:bottom w:val="nil"/>
              <w:right w:val="nil"/>
            </w:tcBorders>
            <w:shd w:val="clear" w:color="FFFFFF" w:fill="FFFFFF"/>
            <w:vAlign w:val="bottom"/>
          </w:tcPr>
          <w:p w14:paraId="17E3A2B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42</w:t>
            </w:r>
          </w:p>
        </w:tc>
      </w:tr>
      <w:tr w:rsidR="005C6008" w:rsidRPr="00E10730" w14:paraId="4B7BBB31" w14:textId="77777777">
        <w:trPr>
          <w:trHeight w:val="250"/>
        </w:trPr>
        <w:tc>
          <w:tcPr>
            <w:tcW w:w="6071" w:type="dxa"/>
            <w:tcBorders>
              <w:top w:val="nil"/>
              <w:left w:val="nil"/>
              <w:bottom w:val="nil"/>
              <w:right w:val="nil"/>
            </w:tcBorders>
            <w:shd w:val="clear" w:color="FFFFFF" w:fill="FFFFFF"/>
            <w:vAlign w:val="bottom"/>
          </w:tcPr>
          <w:p w14:paraId="1F64B321"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write-down and impairment of other assets</w:t>
            </w:r>
          </w:p>
        </w:tc>
        <w:tc>
          <w:tcPr>
            <w:tcW w:w="1726" w:type="dxa"/>
            <w:tcBorders>
              <w:top w:val="single" w:sz="4" w:space="0" w:color="auto"/>
              <w:left w:val="nil"/>
              <w:bottom w:val="single" w:sz="4" w:space="0" w:color="auto"/>
              <w:right w:val="nil"/>
            </w:tcBorders>
            <w:shd w:val="clear" w:color="FFFFFF" w:fill="FFFFFF"/>
            <w:vAlign w:val="bottom"/>
          </w:tcPr>
          <w:p w14:paraId="7538C54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4,562</w:t>
            </w:r>
          </w:p>
        </w:tc>
        <w:tc>
          <w:tcPr>
            <w:tcW w:w="1275" w:type="dxa"/>
            <w:tcBorders>
              <w:top w:val="single" w:sz="4" w:space="0" w:color="auto"/>
              <w:left w:val="nil"/>
              <w:bottom w:val="single" w:sz="4" w:space="0" w:color="auto"/>
              <w:right w:val="nil"/>
            </w:tcBorders>
            <w:shd w:val="clear" w:color="FFFFFF" w:fill="FFFFFF"/>
            <w:vAlign w:val="bottom"/>
          </w:tcPr>
          <w:p w14:paraId="1DF4981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70,598</w:t>
            </w:r>
          </w:p>
        </w:tc>
      </w:tr>
    </w:tbl>
    <w:p w14:paraId="64C924E9" w14:textId="77777777" w:rsidR="005C6008" w:rsidRPr="00E10730" w:rsidRDefault="005C6008" w:rsidP="00115FA3">
      <w:pPr>
        <w:autoSpaceDE w:val="0"/>
        <w:autoSpaceDN w:val="0"/>
        <w:adjustRightInd w:val="0"/>
        <w:spacing w:line="240" w:lineRule="auto"/>
        <w:rPr>
          <w:rFonts w:eastAsia="Calibri" w:cs="Arial"/>
          <w:b/>
          <w:bCs/>
          <w:sz w:val="18"/>
          <w:szCs w:val="18"/>
        </w:rPr>
      </w:pPr>
    </w:p>
    <w:tbl>
      <w:tblPr>
        <w:tblW w:w="0" w:type="auto"/>
        <w:tblLayout w:type="fixed"/>
        <w:tblLook w:val="0000" w:firstRow="0" w:lastRow="0" w:firstColumn="0" w:lastColumn="0" w:noHBand="0" w:noVBand="0"/>
      </w:tblPr>
      <w:tblGrid>
        <w:gridCol w:w="6541"/>
        <w:gridCol w:w="1273"/>
        <w:gridCol w:w="1273"/>
      </w:tblGrid>
      <w:tr w:rsidR="005C6008" w:rsidRPr="00E10730" w14:paraId="14F9E4A0" w14:textId="77777777">
        <w:trPr>
          <w:trHeight w:val="253"/>
        </w:trPr>
        <w:tc>
          <w:tcPr>
            <w:tcW w:w="6541" w:type="dxa"/>
            <w:tcBorders>
              <w:top w:val="nil"/>
              <w:left w:val="nil"/>
              <w:bottom w:val="nil"/>
              <w:right w:val="nil"/>
            </w:tcBorders>
            <w:shd w:val="clear" w:color="FFFFFF" w:fill="FFFFFF"/>
            <w:vAlign w:val="bottom"/>
          </w:tcPr>
          <w:p w14:paraId="1399DDE2"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1.1F: Community partnership costs</w:t>
            </w:r>
          </w:p>
        </w:tc>
        <w:tc>
          <w:tcPr>
            <w:tcW w:w="1273" w:type="dxa"/>
            <w:tcBorders>
              <w:top w:val="nil"/>
              <w:left w:val="nil"/>
              <w:bottom w:val="nil"/>
              <w:right w:val="nil"/>
            </w:tcBorders>
            <w:shd w:val="clear" w:color="FFFFFF" w:fill="FFFFFF"/>
            <w:vAlign w:val="bottom"/>
          </w:tcPr>
          <w:p w14:paraId="10E1D569"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42C4DA5C"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25C5D61E" w14:textId="77777777">
        <w:trPr>
          <w:trHeight w:val="253"/>
        </w:trPr>
        <w:tc>
          <w:tcPr>
            <w:tcW w:w="6541" w:type="dxa"/>
            <w:tcBorders>
              <w:top w:val="nil"/>
              <w:left w:val="nil"/>
              <w:bottom w:val="nil"/>
              <w:right w:val="nil"/>
            </w:tcBorders>
            <w:shd w:val="clear" w:color="FFFFFF" w:fill="FFFFFF"/>
            <w:vAlign w:val="bottom"/>
          </w:tcPr>
          <w:p w14:paraId="51C48280"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Early Childhood costs</w:t>
            </w:r>
          </w:p>
        </w:tc>
        <w:tc>
          <w:tcPr>
            <w:tcW w:w="1273" w:type="dxa"/>
            <w:tcBorders>
              <w:top w:val="nil"/>
              <w:left w:val="nil"/>
              <w:bottom w:val="nil"/>
              <w:right w:val="nil"/>
            </w:tcBorders>
            <w:shd w:val="clear" w:color="FFFFFF" w:fill="FFFFFF"/>
            <w:vAlign w:val="bottom"/>
          </w:tcPr>
          <w:p w14:paraId="7ACF411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237,190</w:t>
            </w:r>
          </w:p>
        </w:tc>
        <w:tc>
          <w:tcPr>
            <w:tcW w:w="1273" w:type="dxa"/>
            <w:tcBorders>
              <w:top w:val="nil"/>
              <w:left w:val="nil"/>
              <w:bottom w:val="nil"/>
              <w:right w:val="nil"/>
            </w:tcBorders>
            <w:shd w:val="clear" w:color="FFFFFF" w:fill="FFFFFF"/>
            <w:vAlign w:val="bottom"/>
          </w:tcPr>
          <w:p w14:paraId="7BFFF77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238,225</w:t>
            </w:r>
          </w:p>
        </w:tc>
      </w:tr>
      <w:tr w:rsidR="005C6008" w:rsidRPr="00E10730" w14:paraId="38B697B0" w14:textId="77777777">
        <w:trPr>
          <w:trHeight w:val="253"/>
        </w:trPr>
        <w:tc>
          <w:tcPr>
            <w:tcW w:w="6541" w:type="dxa"/>
            <w:tcBorders>
              <w:top w:val="nil"/>
              <w:left w:val="nil"/>
              <w:bottom w:val="nil"/>
              <w:right w:val="nil"/>
            </w:tcBorders>
            <w:shd w:val="clear" w:color="FFFFFF" w:fill="FFFFFF"/>
            <w:vAlign w:val="bottom"/>
          </w:tcPr>
          <w:p w14:paraId="31B40BCD"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Local Area Coordination costs</w:t>
            </w:r>
          </w:p>
        </w:tc>
        <w:tc>
          <w:tcPr>
            <w:tcW w:w="1273" w:type="dxa"/>
            <w:tcBorders>
              <w:top w:val="nil"/>
              <w:left w:val="nil"/>
              <w:bottom w:val="nil"/>
              <w:right w:val="nil"/>
            </w:tcBorders>
            <w:shd w:val="clear" w:color="FFFFFF" w:fill="FFFFFF"/>
            <w:vAlign w:val="bottom"/>
          </w:tcPr>
          <w:p w14:paraId="6335753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400,031</w:t>
            </w:r>
          </w:p>
        </w:tc>
        <w:tc>
          <w:tcPr>
            <w:tcW w:w="1273" w:type="dxa"/>
            <w:tcBorders>
              <w:top w:val="nil"/>
              <w:left w:val="nil"/>
              <w:bottom w:val="nil"/>
              <w:right w:val="nil"/>
            </w:tcBorders>
            <w:shd w:val="clear" w:color="FFFFFF" w:fill="FFFFFF"/>
            <w:vAlign w:val="bottom"/>
          </w:tcPr>
          <w:p w14:paraId="14DE8C3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389,186</w:t>
            </w:r>
          </w:p>
        </w:tc>
      </w:tr>
      <w:tr w:rsidR="005C6008" w:rsidRPr="00E10730" w14:paraId="5549BF23" w14:textId="77777777">
        <w:trPr>
          <w:trHeight w:val="253"/>
        </w:trPr>
        <w:tc>
          <w:tcPr>
            <w:tcW w:w="6541" w:type="dxa"/>
            <w:tcBorders>
              <w:top w:val="nil"/>
              <w:left w:val="nil"/>
              <w:bottom w:val="nil"/>
              <w:right w:val="nil"/>
            </w:tcBorders>
            <w:shd w:val="clear" w:color="FFFFFF" w:fill="FFFFFF"/>
            <w:vAlign w:val="bottom"/>
          </w:tcPr>
          <w:p w14:paraId="4FE61620"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Community partnership costs</w:t>
            </w:r>
          </w:p>
        </w:tc>
        <w:tc>
          <w:tcPr>
            <w:tcW w:w="1273" w:type="dxa"/>
            <w:tcBorders>
              <w:top w:val="single" w:sz="4" w:space="0" w:color="auto"/>
              <w:left w:val="nil"/>
              <w:bottom w:val="single" w:sz="4" w:space="0" w:color="auto"/>
              <w:right w:val="nil"/>
            </w:tcBorders>
            <w:shd w:val="clear" w:color="FFFFFF" w:fill="FFFFFF"/>
            <w:vAlign w:val="bottom"/>
          </w:tcPr>
          <w:p w14:paraId="48EBA5A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637,221</w:t>
            </w:r>
          </w:p>
        </w:tc>
        <w:tc>
          <w:tcPr>
            <w:tcW w:w="1273" w:type="dxa"/>
            <w:tcBorders>
              <w:top w:val="single" w:sz="4" w:space="0" w:color="auto"/>
              <w:left w:val="nil"/>
              <w:bottom w:val="single" w:sz="4" w:space="0" w:color="auto"/>
              <w:right w:val="nil"/>
            </w:tcBorders>
            <w:shd w:val="clear" w:color="FFFFFF" w:fill="FFFFFF"/>
            <w:vAlign w:val="bottom"/>
          </w:tcPr>
          <w:p w14:paraId="133E3A2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627,411</w:t>
            </w:r>
          </w:p>
        </w:tc>
      </w:tr>
    </w:tbl>
    <w:p w14:paraId="09367ACF"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22"/>
          <w:szCs w:val="22"/>
        </w:rPr>
        <w:br w:type="page"/>
      </w:r>
    </w:p>
    <w:p w14:paraId="0A12098E"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National Disability Insurance Agency</w:t>
      </w:r>
    </w:p>
    <w:p w14:paraId="71054275"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NOTES TO AND FORMING PART OF THE FINANCIAL STATEMENTS</w:t>
      </w:r>
    </w:p>
    <w:p w14:paraId="71D37358" w14:textId="77777777" w:rsidR="005C6008" w:rsidRPr="00E10730" w:rsidRDefault="005C6008" w:rsidP="00115FA3">
      <w:pPr>
        <w:autoSpaceDE w:val="0"/>
        <w:autoSpaceDN w:val="0"/>
        <w:adjustRightInd w:val="0"/>
        <w:spacing w:before="240" w:line="240" w:lineRule="auto"/>
        <w:rPr>
          <w:rFonts w:eastAsia="Calibri" w:cs="Arial"/>
          <w:b/>
          <w:bCs/>
          <w:sz w:val="18"/>
          <w:szCs w:val="18"/>
        </w:rPr>
      </w:pPr>
      <w:r w:rsidRPr="00E10730">
        <w:rPr>
          <w:rFonts w:eastAsia="Calibri" w:cs="Arial"/>
          <w:b/>
          <w:bCs/>
          <w:sz w:val="18"/>
          <w:szCs w:val="18"/>
        </w:rPr>
        <w:t>Early Childhood Costs</w:t>
      </w:r>
    </w:p>
    <w:p w14:paraId="57FCE616" w14:textId="77777777" w:rsidR="005C6008" w:rsidRPr="00E10730" w:rsidRDefault="005C6008" w:rsidP="00115FA3">
      <w:pPr>
        <w:autoSpaceDE w:val="0"/>
        <w:autoSpaceDN w:val="0"/>
        <w:adjustRightInd w:val="0"/>
        <w:spacing w:line="240" w:lineRule="auto"/>
        <w:rPr>
          <w:rFonts w:eastAsia="Calibri" w:cs="Arial"/>
          <w:sz w:val="18"/>
          <w:szCs w:val="18"/>
        </w:rPr>
      </w:pPr>
      <w:r w:rsidRPr="00E10730">
        <w:rPr>
          <w:rFonts w:eastAsia="Calibri" w:cs="Arial"/>
          <w:sz w:val="18"/>
          <w:szCs w:val="18"/>
        </w:rPr>
        <w:t>Reflects the costs incurred by the Agency of engaging Early Childhood partners to support families of children aged 0-8 years to connect to supports that best meet their child’s needs. This includes connecting families to community and other government services, providing early support, or helping to apply to the NDIS.</w:t>
      </w:r>
    </w:p>
    <w:p w14:paraId="1C13C238" w14:textId="77777777" w:rsidR="005C6008" w:rsidRPr="00E10730" w:rsidRDefault="005C6008" w:rsidP="00115FA3">
      <w:pPr>
        <w:autoSpaceDE w:val="0"/>
        <w:autoSpaceDN w:val="0"/>
        <w:adjustRightInd w:val="0"/>
        <w:spacing w:line="240" w:lineRule="auto"/>
        <w:rPr>
          <w:rFonts w:eastAsia="Calibri" w:cs="Arial"/>
          <w:b/>
          <w:bCs/>
          <w:sz w:val="18"/>
          <w:szCs w:val="18"/>
        </w:rPr>
      </w:pPr>
      <w:r w:rsidRPr="00E10730">
        <w:rPr>
          <w:rFonts w:eastAsia="Calibri" w:cs="Arial"/>
          <w:b/>
          <w:bCs/>
          <w:sz w:val="18"/>
          <w:szCs w:val="18"/>
        </w:rPr>
        <w:t xml:space="preserve">Local Area Coordination Costs </w:t>
      </w:r>
    </w:p>
    <w:p w14:paraId="3D0EAB38" w14:textId="77777777" w:rsidR="005C6008" w:rsidRPr="00E10730" w:rsidRDefault="005C6008" w:rsidP="00115FA3">
      <w:pPr>
        <w:autoSpaceDE w:val="0"/>
        <w:autoSpaceDN w:val="0"/>
        <w:adjustRightInd w:val="0"/>
        <w:spacing w:line="240" w:lineRule="auto"/>
        <w:rPr>
          <w:rFonts w:eastAsia="Calibri" w:cs="Arial"/>
          <w:sz w:val="18"/>
          <w:szCs w:val="18"/>
        </w:rPr>
      </w:pPr>
      <w:r w:rsidRPr="00E10730">
        <w:rPr>
          <w:rFonts w:eastAsia="Calibri" w:cs="Arial"/>
          <w:sz w:val="18"/>
          <w:szCs w:val="18"/>
        </w:rPr>
        <w:t>This reflects the costs incurred in funding Local Area Coordination (LAC) services.</w:t>
      </w:r>
    </w:p>
    <w:p w14:paraId="76CB6B1E" w14:textId="77777777" w:rsidR="005C6008" w:rsidRPr="00E10730" w:rsidRDefault="005C6008" w:rsidP="00115FA3">
      <w:pPr>
        <w:autoSpaceDE w:val="0"/>
        <w:autoSpaceDN w:val="0"/>
        <w:adjustRightInd w:val="0"/>
        <w:spacing w:line="240" w:lineRule="auto"/>
        <w:rPr>
          <w:rFonts w:eastAsia="Calibri" w:cs="Arial"/>
          <w:sz w:val="18"/>
          <w:szCs w:val="18"/>
        </w:rPr>
      </w:pPr>
      <w:r w:rsidRPr="00E10730">
        <w:rPr>
          <w:rFonts w:eastAsia="Calibri" w:cs="Arial"/>
          <w:sz w:val="18"/>
          <w:szCs w:val="18"/>
        </w:rPr>
        <w:t>LAC Partners support people 9 years and over to understand and access the NDIS, implement their NDIS plan and build capacity within the community. LAC supports the inclusion of all people with disability by developing community connections.</w:t>
      </w:r>
    </w:p>
    <w:p w14:paraId="74D94DB0"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b/>
          <w:bCs/>
          <w:sz w:val="18"/>
          <w:szCs w:val="18"/>
        </w:rPr>
      </w:pPr>
      <w:r w:rsidRPr="00E10730">
        <w:rPr>
          <w:rFonts w:eastAsia="Calibri" w:cs="Arial"/>
          <w:b/>
          <w:bCs/>
          <w:sz w:val="18"/>
          <w:szCs w:val="18"/>
        </w:rPr>
        <w:t>Accounting Policy</w:t>
      </w:r>
    </w:p>
    <w:p w14:paraId="4F865970"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The costs associated with community partnerships are recognised in accordance with contractual arrangements.</w:t>
      </w:r>
    </w:p>
    <w:tbl>
      <w:tblPr>
        <w:tblW w:w="0" w:type="auto"/>
        <w:tblBorders>
          <w:top w:val="single" w:sz="4" w:space="1" w:color="auto"/>
          <w:left w:val="single" w:sz="4" w:space="4" w:color="auto"/>
          <w:bottom w:val="single" w:sz="4" w:space="1" w:color="auto"/>
          <w:right w:val="single" w:sz="4" w:space="4" w:color="auto"/>
        </w:tblBorders>
        <w:tblLayout w:type="fixed"/>
        <w:tblLook w:val="0000" w:firstRow="0" w:lastRow="0" w:firstColumn="0" w:lastColumn="0" w:noHBand="0" w:noVBand="0"/>
      </w:tblPr>
      <w:tblGrid>
        <w:gridCol w:w="6541"/>
        <w:gridCol w:w="1273"/>
        <w:gridCol w:w="1273"/>
      </w:tblGrid>
      <w:tr w:rsidR="005C6008" w:rsidRPr="00E10730" w14:paraId="4F35FE82" w14:textId="77777777">
        <w:trPr>
          <w:trHeight w:val="253"/>
        </w:trPr>
        <w:tc>
          <w:tcPr>
            <w:tcW w:w="6541" w:type="dxa"/>
            <w:tcBorders>
              <w:top w:val="nil"/>
              <w:left w:val="nil"/>
              <w:bottom w:val="nil"/>
              <w:right w:val="nil"/>
            </w:tcBorders>
            <w:shd w:val="clear" w:color="FFFFFF" w:fill="FFFFFF"/>
            <w:vAlign w:val="bottom"/>
          </w:tcPr>
          <w:p w14:paraId="70220B4E"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6518A59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273" w:type="dxa"/>
            <w:tcBorders>
              <w:top w:val="nil"/>
              <w:left w:val="nil"/>
              <w:bottom w:val="nil"/>
              <w:right w:val="nil"/>
            </w:tcBorders>
            <w:shd w:val="clear" w:color="FFFFFF" w:fill="FFFFFF"/>
            <w:vAlign w:val="bottom"/>
          </w:tcPr>
          <w:p w14:paraId="7D94C42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r>
      <w:tr w:rsidR="005C6008" w:rsidRPr="00E10730" w14:paraId="6A2B9E65" w14:textId="77777777">
        <w:tblPrEx>
          <w:tblBorders>
            <w:top w:val="none" w:sz="0" w:space="0" w:color="auto"/>
            <w:left w:val="none" w:sz="0" w:space="0" w:color="auto"/>
            <w:bottom w:val="none" w:sz="0" w:space="0" w:color="auto"/>
            <w:right w:val="none" w:sz="0" w:space="0" w:color="auto"/>
          </w:tblBorders>
        </w:tblPrEx>
        <w:trPr>
          <w:trHeight w:val="253"/>
        </w:trPr>
        <w:tc>
          <w:tcPr>
            <w:tcW w:w="6541" w:type="dxa"/>
            <w:tcBorders>
              <w:top w:val="nil"/>
              <w:left w:val="nil"/>
              <w:bottom w:val="nil"/>
              <w:right w:val="nil"/>
            </w:tcBorders>
            <w:shd w:val="clear" w:color="FFFFFF" w:fill="FFFFFF"/>
            <w:vAlign w:val="bottom"/>
          </w:tcPr>
          <w:p w14:paraId="6571A242"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536AA06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273" w:type="dxa"/>
            <w:tcBorders>
              <w:top w:val="nil"/>
              <w:left w:val="nil"/>
              <w:bottom w:val="nil"/>
              <w:right w:val="nil"/>
            </w:tcBorders>
            <w:shd w:val="clear" w:color="FFFFFF" w:fill="FFFFFF"/>
            <w:vAlign w:val="bottom"/>
          </w:tcPr>
          <w:p w14:paraId="3C998FB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r>
      <w:tr w:rsidR="005C6008" w:rsidRPr="00E10730" w14:paraId="227CFD6C" w14:textId="77777777">
        <w:tblPrEx>
          <w:tblBorders>
            <w:top w:val="none" w:sz="0" w:space="0" w:color="auto"/>
            <w:left w:val="none" w:sz="0" w:space="0" w:color="auto"/>
            <w:bottom w:val="none" w:sz="0" w:space="0" w:color="auto"/>
            <w:right w:val="none" w:sz="0" w:space="0" w:color="auto"/>
          </w:tblBorders>
        </w:tblPrEx>
        <w:trPr>
          <w:trHeight w:val="260"/>
        </w:trPr>
        <w:tc>
          <w:tcPr>
            <w:tcW w:w="6541" w:type="dxa"/>
            <w:tcBorders>
              <w:top w:val="nil"/>
              <w:left w:val="nil"/>
              <w:bottom w:val="nil"/>
              <w:right w:val="nil"/>
            </w:tcBorders>
            <w:shd w:val="clear" w:color="FFFFFF" w:fill="FFFFFF"/>
            <w:vAlign w:val="bottom"/>
          </w:tcPr>
          <w:p w14:paraId="26688201"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1.1G: Participant plan expenses</w:t>
            </w:r>
          </w:p>
        </w:tc>
        <w:tc>
          <w:tcPr>
            <w:tcW w:w="1273" w:type="dxa"/>
            <w:tcBorders>
              <w:top w:val="nil"/>
              <w:left w:val="nil"/>
              <w:bottom w:val="nil"/>
              <w:right w:val="nil"/>
            </w:tcBorders>
            <w:shd w:val="clear" w:color="FFFFFF" w:fill="FFFFFF"/>
            <w:vAlign w:val="bottom"/>
          </w:tcPr>
          <w:p w14:paraId="125016C4"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25860BBC"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689FEE43" w14:textId="77777777">
        <w:tblPrEx>
          <w:tblBorders>
            <w:top w:val="none" w:sz="0" w:space="0" w:color="auto"/>
            <w:left w:val="none" w:sz="0" w:space="0" w:color="auto"/>
            <w:bottom w:val="none" w:sz="0" w:space="0" w:color="auto"/>
            <w:right w:val="none" w:sz="0" w:space="0" w:color="auto"/>
          </w:tblBorders>
        </w:tblPrEx>
        <w:trPr>
          <w:trHeight w:val="253"/>
        </w:trPr>
        <w:tc>
          <w:tcPr>
            <w:tcW w:w="6541" w:type="dxa"/>
            <w:tcBorders>
              <w:top w:val="nil"/>
              <w:left w:val="nil"/>
              <w:bottom w:val="nil"/>
              <w:right w:val="nil"/>
            </w:tcBorders>
            <w:shd w:val="clear" w:color="FFFFFF" w:fill="FFFFFF"/>
            <w:vAlign w:val="bottom"/>
          </w:tcPr>
          <w:p w14:paraId="3012CEB5"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Claims received from participants and providers</w:t>
            </w:r>
          </w:p>
        </w:tc>
        <w:tc>
          <w:tcPr>
            <w:tcW w:w="1273" w:type="dxa"/>
            <w:tcBorders>
              <w:top w:val="nil"/>
              <w:left w:val="nil"/>
              <w:bottom w:val="nil"/>
              <w:right w:val="nil"/>
            </w:tcBorders>
            <w:shd w:val="clear" w:color="FFFFFF" w:fill="FFFFFF"/>
            <w:vAlign w:val="bottom"/>
          </w:tcPr>
          <w:p w14:paraId="5C90D19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50,156,147</w:t>
            </w:r>
          </w:p>
        </w:tc>
        <w:tc>
          <w:tcPr>
            <w:tcW w:w="1273" w:type="dxa"/>
            <w:tcBorders>
              <w:top w:val="nil"/>
              <w:left w:val="nil"/>
              <w:bottom w:val="nil"/>
              <w:right w:val="nil"/>
            </w:tcBorders>
            <w:shd w:val="clear" w:color="FFFFFF" w:fill="FFFFFF"/>
            <w:vAlign w:val="bottom"/>
          </w:tcPr>
          <w:p w14:paraId="3AC6686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45,417,395</w:t>
            </w:r>
          </w:p>
        </w:tc>
      </w:tr>
      <w:tr w:rsidR="005C6008" w:rsidRPr="00E10730" w14:paraId="53CB1242" w14:textId="77777777">
        <w:tblPrEx>
          <w:tblBorders>
            <w:top w:val="none" w:sz="0" w:space="0" w:color="auto"/>
            <w:left w:val="none" w:sz="0" w:space="0" w:color="auto"/>
            <w:bottom w:val="none" w:sz="0" w:space="0" w:color="auto"/>
            <w:right w:val="none" w:sz="0" w:space="0" w:color="auto"/>
          </w:tblBorders>
        </w:tblPrEx>
        <w:trPr>
          <w:trHeight w:val="253"/>
        </w:trPr>
        <w:tc>
          <w:tcPr>
            <w:tcW w:w="6541" w:type="dxa"/>
            <w:tcBorders>
              <w:top w:val="nil"/>
              <w:left w:val="nil"/>
              <w:bottom w:val="nil"/>
              <w:right w:val="nil"/>
            </w:tcBorders>
            <w:shd w:val="clear" w:color="FFFFFF" w:fill="FFFFFF"/>
            <w:vAlign w:val="bottom"/>
          </w:tcPr>
          <w:p w14:paraId="5A847F0B"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Cost of services received in-kind</w:t>
            </w:r>
          </w:p>
        </w:tc>
        <w:tc>
          <w:tcPr>
            <w:tcW w:w="1273" w:type="dxa"/>
            <w:tcBorders>
              <w:top w:val="nil"/>
              <w:left w:val="nil"/>
              <w:bottom w:val="nil"/>
              <w:right w:val="nil"/>
            </w:tcBorders>
            <w:shd w:val="clear" w:color="FFFFFF" w:fill="FFFFFF"/>
            <w:vAlign w:val="bottom"/>
          </w:tcPr>
          <w:p w14:paraId="280AA8C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994,683</w:t>
            </w:r>
          </w:p>
        </w:tc>
        <w:tc>
          <w:tcPr>
            <w:tcW w:w="1273" w:type="dxa"/>
            <w:tcBorders>
              <w:top w:val="nil"/>
              <w:left w:val="nil"/>
              <w:bottom w:val="nil"/>
              <w:right w:val="nil"/>
            </w:tcBorders>
            <w:shd w:val="clear" w:color="FFFFFF" w:fill="FFFFFF"/>
            <w:vAlign w:val="bottom"/>
          </w:tcPr>
          <w:p w14:paraId="3BF8D33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927,547</w:t>
            </w:r>
          </w:p>
        </w:tc>
      </w:tr>
      <w:tr w:rsidR="005C6008" w:rsidRPr="00E10730" w14:paraId="55C01B6C" w14:textId="77777777">
        <w:tblPrEx>
          <w:tblBorders>
            <w:top w:val="none" w:sz="0" w:space="0" w:color="auto"/>
            <w:left w:val="none" w:sz="0" w:space="0" w:color="auto"/>
            <w:bottom w:val="none" w:sz="0" w:space="0" w:color="auto"/>
            <w:right w:val="none" w:sz="0" w:space="0" w:color="auto"/>
          </w:tblBorders>
        </w:tblPrEx>
        <w:trPr>
          <w:trHeight w:val="253"/>
        </w:trPr>
        <w:tc>
          <w:tcPr>
            <w:tcW w:w="6541" w:type="dxa"/>
            <w:tcBorders>
              <w:top w:val="nil"/>
              <w:left w:val="nil"/>
              <w:bottom w:val="nil"/>
              <w:right w:val="nil"/>
            </w:tcBorders>
            <w:shd w:val="clear" w:color="FFFFFF" w:fill="FFFFFF"/>
            <w:vAlign w:val="bottom"/>
          </w:tcPr>
          <w:p w14:paraId="308859CD"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 xml:space="preserve">Other changes to participant plan provisions </w:t>
            </w:r>
          </w:p>
        </w:tc>
        <w:tc>
          <w:tcPr>
            <w:tcW w:w="1273" w:type="dxa"/>
            <w:tcBorders>
              <w:top w:val="nil"/>
              <w:left w:val="nil"/>
              <w:bottom w:val="nil"/>
              <w:right w:val="nil"/>
            </w:tcBorders>
            <w:shd w:val="clear" w:color="FFFFFF" w:fill="FFFFFF"/>
            <w:vAlign w:val="bottom"/>
          </w:tcPr>
          <w:p w14:paraId="79E9CF8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51,774</w:t>
            </w:r>
          </w:p>
        </w:tc>
        <w:tc>
          <w:tcPr>
            <w:tcW w:w="1273" w:type="dxa"/>
            <w:tcBorders>
              <w:top w:val="nil"/>
              <w:left w:val="nil"/>
              <w:bottom w:val="nil"/>
              <w:right w:val="nil"/>
            </w:tcBorders>
            <w:shd w:val="clear" w:color="FFFFFF" w:fill="FFFFFF"/>
            <w:vAlign w:val="bottom"/>
          </w:tcPr>
          <w:p w14:paraId="19CC82B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7,236</w:t>
            </w:r>
          </w:p>
        </w:tc>
      </w:tr>
      <w:tr w:rsidR="005C6008" w:rsidRPr="00E10730" w14:paraId="2A1A8577" w14:textId="77777777">
        <w:tblPrEx>
          <w:tblBorders>
            <w:top w:val="none" w:sz="0" w:space="0" w:color="auto"/>
            <w:left w:val="none" w:sz="0" w:space="0" w:color="auto"/>
            <w:bottom w:val="none" w:sz="0" w:space="0" w:color="auto"/>
            <w:right w:val="none" w:sz="0" w:space="0" w:color="auto"/>
          </w:tblBorders>
        </w:tblPrEx>
        <w:trPr>
          <w:trHeight w:val="253"/>
        </w:trPr>
        <w:tc>
          <w:tcPr>
            <w:tcW w:w="6541" w:type="dxa"/>
            <w:tcBorders>
              <w:top w:val="nil"/>
              <w:left w:val="nil"/>
              <w:bottom w:val="nil"/>
              <w:right w:val="nil"/>
            </w:tcBorders>
            <w:shd w:val="clear" w:color="FFFFFF" w:fill="FFFFFF"/>
            <w:vAlign w:val="bottom"/>
          </w:tcPr>
          <w:p w14:paraId="45E8CFC2"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participant plan expenses</w:t>
            </w:r>
          </w:p>
        </w:tc>
        <w:tc>
          <w:tcPr>
            <w:tcW w:w="1273" w:type="dxa"/>
            <w:tcBorders>
              <w:top w:val="single" w:sz="4" w:space="0" w:color="auto"/>
              <w:left w:val="nil"/>
              <w:bottom w:val="single" w:sz="4" w:space="0" w:color="auto"/>
              <w:right w:val="nil"/>
            </w:tcBorders>
            <w:shd w:val="clear" w:color="FFFFFF" w:fill="FFFFFF"/>
            <w:vAlign w:val="bottom"/>
          </w:tcPr>
          <w:p w14:paraId="0F7710E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51,202,604</w:t>
            </w:r>
          </w:p>
        </w:tc>
        <w:tc>
          <w:tcPr>
            <w:tcW w:w="1273" w:type="dxa"/>
            <w:tcBorders>
              <w:top w:val="single" w:sz="4" w:space="0" w:color="auto"/>
              <w:left w:val="nil"/>
              <w:bottom w:val="single" w:sz="4" w:space="0" w:color="auto"/>
              <w:right w:val="nil"/>
            </w:tcBorders>
            <w:shd w:val="clear" w:color="FFFFFF" w:fill="FFFFFF"/>
            <w:vAlign w:val="bottom"/>
          </w:tcPr>
          <w:p w14:paraId="65D150E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46,352,178</w:t>
            </w:r>
          </w:p>
        </w:tc>
      </w:tr>
    </w:tbl>
    <w:p w14:paraId="567EF940" w14:textId="77777777" w:rsidR="005C6008" w:rsidRPr="00E10730" w:rsidRDefault="005C6008" w:rsidP="00115FA3">
      <w:pPr>
        <w:autoSpaceDE w:val="0"/>
        <w:autoSpaceDN w:val="0"/>
        <w:adjustRightInd w:val="0"/>
        <w:spacing w:after="0" w:line="240" w:lineRule="auto"/>
        <w:rPr>
          <w:rFonts w:eastAsia="Calibri" w:cs="Arial"/>
          <w:sz w:val="22"/>
          <w:szCs w:val="22"/>
        </w:rPr>
      </w:pPr>
    </w:p>
    <w:p w14:paraId="602CEFFA"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b/>
          <w:bCs/>
          <w:sz w:val="18"/>
          <w:szCs w:val="18"/>
        </w:rPr>
      </w:pPr>
      <w:r w:rsidRPr="00E10730">
        <w:rPr>
          <w:rFonts w:eastAsia="Calibri" w:cs="Arial"/>
          <w:b/>
          <w:bCs/>
          <w:sz w:val="18"/>
          <w:szCs w:val="18"/>
        </w:rPr>
        <w:t>Accounting Policy</w:t>
      </w:r>
    </w:p>
    <w:p w14:paraId="36FF40F5"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The costs associated with participant plan expenses are recognised as and when the Agency receives claims from participants and providers. Accounting policies for expenses resulting from adjustment to the participant plan provision are contained in Section 2.6 – Provisions.</w:t>
      </w:r>
    </w:p>
    <w:p w14:paraId="796BC97F" w14:textId="77777777" w:rsidR="005C6008" w:rsidRPr="00E10730" w:rsidRDefault="005C6008" w:rsidP="00115FA3">
      <w:pPr>
        <w:autoSpaceDE w:val="0"/>
        <w:autoSpaceDN w:val="0"/>
        <w:adjustRightInd w:val="0"/>
        <w:spacing w:before="240" w:line="240" w:lineRule="auto"/>
        <w:rPr>
          <w:rFonts w:eastAsia="Calibri" w:cs="Arial"/>
          <w:b/>
          <w:bCs/>
          <w:sz w:val="18"/>
          <w:szCs w:val="18"/>
        </w:rPr>
      </w:pPr>
      <w:r w:rsidRPr="00E10730">
        <w:rPr>
          <w:rFonts w:eastAsia="Calibri" w:cs="Arial"/>
          <w:b/>
          <w:bCs/>
          <w:sz w:val="18"/>
          <w:szCs w:val="18"/>
        </w:rPr>
        <w:t>Participant plan expenses</w:t>
      </w:r>
    </w:p>
    <w:p w14:paraId="371E0CD1" w14:textId="77777777" w:rsidR="005C6008" w:rsidRPr="00E10730" w:rsidRDefault="005C6008" w:rsidP="00115FA3">
      <w:pPr>
        <w:autoSpaceDE w:val="0"/>
        <w:autoSpaceDN w:val="0"/>
        <w:adjustRightInd w:val="0"/>
        <w:spacing w:after="240" w:line="240" w:lineRule="auto"/>
        <w:rPr>
          <w:rFonts w:eastAsia="Calibri" w:cs="Arial"/>
          <w:sz w:val="18"/>
          <w:szCs w:val="18"/>
        </w:rPr>
      </w:pPr>
      <w:r w:rsidRPr="00E10730">
        <w:rPr>
          <w:rFonts w:eastAsia="Calibri" w:cs="Arial"/>
          <w:sz w:val="18"/>
          <w:szCs w:val="18"/>
        </w:rPr>
        <w:t>The Agency makes payments to registered providers and participants with self-managed plans for supports delivered in line with a participant’s approved plan. Registered providers (for plan- and Agency-Managed plans) and self-managing participants can access NDIS portals to submit payment claims for delivered supports. Self-lodgement of claims from providers and participants can lead to payments that are inconsistent with Agency guidance, even where no deliberate fraud is intended by the claimant. To mitigate this risk and to assess the potential financial impact, the Agency maintains an assurance testing program, with monthly reviews completed throughout the corresponding financial year. The methodology for calculating and reporting errors is periodically reviewed.</w:t>
      </w:r>
    </w:p>
    <w:p w14:paraId="16DE752F" w14:textId="77777777" w:rsidR="005C6008" w:rsidRPr="00E10730" w:rsidRDefault="005C6008" w:rsidP="00115FA3">
      <w:pPr>
        <w:autoSpaceDE w:val="0"/>
        <w:autoSpaceDN w:val="0"/>
        <w:adjustRightInd w:val="0"/>
        <w:spacing w:after="240" w:line="240" w:lineRule="auto"/>
        <w:rPr>
          <w:rFonts w:eastAsia="Calibri" w:cs="Arial"/>
          <w:sz w:val="18"/>
          <w:szCs w:val="18"/>
        </w:rPr>
      </w:pPr>
      <w:r w:rsidRPr="00E10730">
        <w:rPr>
          <w:rFonts w:eastAsia="Calibri" w:cs="Arial"/>
          <w:sz w:val="18"/>
          <w:szCs w:val="18"/>
        </w:rPr>
        <w:t xml:space="preserve">Errors identified in the review process can be either critical (having a potential financial impact) or non-critical (having no direct financial impact e.g. keying errors like incomplete ABN, provider name, or date of service etc). All critical errors are subject to further validation, with recovery action, where required and considered to be economical, undertaken in accordance with the Agency’s Debt Management Procedures. The outcomes of this testing are extrapolated to indicate an annualised potential financial impact. </w:t>
      </w:r>
    </w:p>
    <w:p w14:paraId="6F425BF2" w14:textId="004EFF2D" w:rsidR="005C6008" w:rsidRPr="00E10730" w:rsidRDefault="005C6008" w:rsidP="00115FA3">
      <w:pPr>
        <w:autoSpaceDE w:val="0"/>
        <w:autoSpaceDN w:val="0"/>
        <w:adjustRightInd w:val="0"/>
        <w:spacing w:after="240" w:line="240" w:lineRule="auto"/>
        <w:rPr>
          <w:rFonts w:eastAsia="Calibri" w:cs="Arial"/>
          <w:sz w:val="18"/>
          <w:szCs w:val="18"/>
        </w:rPr>
      </w:pPr>
      <w:r w:rsidRPr="00E10730">
        <w:rPr>
          <w:rFonts w:eastAsia="Calibri" w:cs="Arial"/>
          <w:sz w:val="18"/>
          <w:szCs w:val="18"/>
        </w:rPr>
        <w:t xml:space="preserve">For 2025–26, the estimated potential financial impact of the provider (plan- and Agency-managed) critical error rates </w:t>
      </w:r>
      <w:r w:rsidR="003338DB" w:rsidRPr="00E10730">
        <w:rPr>
          <w:rFonts w:eastAsia="Calibri" w:cs="Arial"/>
          <w:sz w:val="18"/>
          <w:szCs w:val="18"/>
        </w:rPr>
        <w:t>were</w:t>
      </w:r>
      <w:r w:rsidRPr="00E10730">
        <w:rPr>
          <w:rFonts w:eastAsia="Calibri" w:cs="Arial"/>
          <w:sz w:val="18"/>
          <w:szCs w:val="18"/>
        </w:rPr>
        <w:t xml:space="preserve"> assessed as being $1,</w:t>
      </w:r>
      <w:r w:rsidR="003338DB" w:rsidRPr="00E10730">
        <w:rPr>
          <w:rFonts w:eastAsia="Calibri" w:cs="Arial"/>
          <w:sz w:val="18"/>
          <w:szCs w:val="18"/>
        </w:rPr>
        <w:t>725.8</w:t>
      </w:r>
      <w:r w:rsidRPr="00E10730">
        <w:rPr>
          <w:rFonts w:eastAsia="Calibri" w:cs="Arial"/>
          <w:sz w:val="18"/>
          <w:szCs w:val="18"/>
        </w:rPr>
        <w:t xml:space="preserve">m (3.8% of total provider payments) compared to $1,550.6m (3.9% of total provider payments) in 2024–25. </w:t>
      </w:r>
    </w:p>
    <w:p w14:paraId="5FCE44E1" w14:textId="23070AAB" w:rsidR="005C6008" w:rsidRPr="00E10730" w:rsidRDefault="005C6008" w:rsidP="00115FA3">
      <w:pPr>
        <w:autoSpaceDE w:val="0"/>
        <w:autoSpaceDN w:val="0"/>
        <w:adjustRightInd w:val="0"/>
        <w:spacing w:after="240" w:line="240" w:lineRule="auto"/>
        <w:rPr>
          <w:rFonts w:eastAsia="Calibri" w:cs="Arial"/>
          <w:sz w:val="18"/>
          <w:szCs w:val="18"/>
        </w:rPr>
      </w:pPr>
      <w:r w:rsidRPr="00E10730">
        <w:rPr>
          <w:rFonts w:eastAsia="Calibri" w:cs="Arial"/>
          <w:sz w:val="18"/>
          <w:szCs w:val="18"/>
        </w:rPr>
        <w:t>The estimated potential financial impact of the participant self-managed plan critical error rates was assessed as being $33</w:t>
      </w:r>
      <w:r w:rsidR="00F042A4" w:rsidRPr="00E10730">
        <w:rPr>
          <w:rFonts w:eastAsia="Calibri" w:cs="Arial"/>
          <w:sz w:val="18"/>
          <w:szCs w:val="18"/>
        </w:rPr>
        <w:t>5</w:t>
      </w:r>
      <w:r w:rsidRPr="00E10730">
        <w:rPr>
          <w:rFonts w:eastAsia="Calibri" w:cs="Arial"/>
          <w:sz w:val="18"/>
          <w:szCs w:val="18"/>
        </w:rPr>
        <w:t>.</w:t>
      </w:r>
      <w:r w:rsidR="00F042A4" w:rsidRPr="00E10730">
        <w:rPr>
          <w:rFonts w:eastAsia="Calibri" w:cs="Arial"/>
          <w:sz w:val="18"/>
          <w:szCs w:val="18"/>
        </w:rPr>
        <w:t>6</w:t>
      </w:r>
      <w:r w:rsidRPr="00E10730">
        <w:rPr>
          <w:rFonts w:eastAsia="Calibri" w:cs="Arial"/>
          <w:sz w:val="18"/>
          <w:szCs w:val="18"/>
        </w:rPr>
        <w:t>m (6.9% of total self-managed participant payments) compared to $408.9m (8.5% of total self-managed participant payments) in 2024–25.</w:t>
      </w:r>
    </w:p>
    <w:p w14:paraId="07355039" w14:textId="23D08538" w:rsidR="005C6008" w:rsidRPr="00E10730" w:rsidRDefault="005C6008" w:rsidP="00115FA3">
      <w:pPr>
        <w:autoSpaceDE w:val="0"/>
        <w:autoSpaceDN w:val="0"/>
        <w:adjustRightInd w:val="0"/>
        <w:spacing w:after="240" w:line="240" w:lineRule="auto"/>
        <w:rPr>
          <w:rFonts w:eastAsia="Calibri" w:cs="Arial"/>
          <w:sz w:val="18"/>
          <w:szCs w:val="18"/>
        </w:rPr>
      </w:pPr>
      <w:r w:rsidRPr="00E10730">
        <w:rPr>
          <w:rFonts w:eastAsia="Calibri" w:cs="Arial"/>
          <w:sz w:val="18"/>
          <w:szCs w:val="18"/>
        </w:rPr>
        <w:t xml:space="preserve">For provider (plan- and Agency-managed) payments, the primary factor driving the </w:t>
      </w:r>
      <w:r w:rsidR="00F042A4" w:rsidRPr="00E10730">
        <w:rPr>
          <w:rFonts w:eastAsia="Calibri" w:cs="Arial"/>
          <w:sz w:val="18"/>
          <w:szCs w:val="18"/>
        </w:rPr>
        <w:t>in</w:t>
      </w:r>
      <w:r w:rsidRPr="00E10730">
        <w:rPr>
          <w:rFonts w:eastAsia="Calibri" w:cs="Arial"/>
          <w:sz w:val="18"/>
          <w:szCs w:val="18"/>
        </w:rPr>
        <w:t xml:space="preserve">crease in estimated error value is the </w:t>
      </w:r>
      <w:r w:rsidR="005A3B20" w:rsidRPr="00E10730">
        <w:rPr>
          <w:rFonts w:eastAsia="Calibri" w:cs="Arial"/>
          <w:sz w:val="18"/>
          <w:szCs w:val="18"/>
        </w:rPr>
        <w:t>in</w:t>
      </w:r>
      <w:r w:rsidRPr="00E10730">
        <w:rPr>
          <w:rFonts w:eastAsia="Calibri" w:cs="Arial"/>
          <w:sz w:val="18"/>
          <w:szCs w:val="18"/>
        </w:rPr>
        <w:t xml:space="preserve">crease in the total value of payments made by the Agency in 2025–26. For self-managed payments, the primary factor driving the </w:t>
      </w:r>
      <w:r w:rsidR="005A3B20" w:rsidRPr="00E10730">
        <w:rPr>
          <w:rFonts w:eastAsia="Calibri" w:cs="Arial"/>
          <w:sz w:val="18"/>
          <w:szCs w:val="18"/>
        </w:rPr>
        <w:t>dec</w:t>
      </w:r>
      <w:r w:rsidRPr="00E10730">
        <w:rPr>
          <w:rFonts w:eastAsia="Calibri" w:cs="Arial"/>
          <w:sz w:val="18"/>
          <w:szCs w:val="18"/>
        </w:rPr>
        <w:t xml:space="preserve">rease in estimated error value is the </w:t>
      </w:r>
      <w:r w:rsidR="005A3B20" w:rsidRPr="00E10730">
        <w:rPr>
          <w:rFonts w:eastAsia="Calibri" w:cs="Arial"/>
          <w:sz w:val="18"/>
          <w:szCs w:val="18"/>
        </w:rPr>
        <w:t>decrease</w:t>
      </w:r>
      <w:r w:rsidRPr="00E10730">
        <w:rPr>
          <w:rFonts w:eastAsia="Calibri" w:cs="Arial"/>
          <w:sz w:val="18"/>
          <w:szCs w:val="18"/>
        </w:rPr>
        <w:t xml:space="preserve"> in the number of errors found together with the proportional </w:t>
      </w:r>
      <w:r w:rsidR="00C24737" w:rsidRPr="00E10730">
        <w:rPr>
          <w:rFonts w:eastAsia="Calibri" w:cs="Arial"/>
          <w:sz w:val="18"/>
          <w:szCs w:val="18"/>
        </w:rPr>
        <w:t>de</w:t>
      </w:r>
      <w:r w:rsidRPr="00E10730">
        <w:rPr>
          <w:rFonts w:eastAsia="Calibri" w:cs="Arial"/>
          <w:sz w:val="18"/>
          <w:szCs w:val="18"/>
        </w:rPr>
        <w:t>crease in the average error value over the sample group applied against the total value of payments made by the Agency in 2025–26.</w:t>
      </w:r>
    </w:p>
    <w:p w14:paraId="23533E13" w14:textId="38EF129C" w:rsidR="005C6008" w:rsidRPr="00E10730" w:rsidRDefault="005C6008" w:rsidP="00115FA3">
      <w:pPr>
        <w:autoSpaceDE w:val="0"/>
        <w:autoSpaceDN w:val="0"/>
        <w:adjustRightInd w:val="0"/>
        <w:spacing w:after="240" w:line="240" w:lineRule="auto"/>
        <w:rPr>
          <w:rFonts w:eastAsia="Calibri" w:cs="Arial"/>
          <w:sz w:val="18"/>
          <w:szCs w:val="18"/>
        </w:rPr>
      </w:pPr>
      <w:r w:rsidRPr="00E10730">
        <w:rPr>
          <w:rFonts w:eastAsia="Calibri" w:cs="Arial"/>
          <w:sz w:val="18"/>
          <w:szCs w:val="18"/>
        </w:rPr>
        <w:t xml:space="preserve">The </w:t>
      </w:r>
      <w:r w:rsidR="00C24737" w:rsidRPr="00E10730">
        <w:rPr>
          <w:rFonts w:eastAsia="Calibri" w:cs="Arial"/>
          <w:sz w:val="18"/>
          <w:szCs w:val="18"/>
        </w:rPr>
        <w:t>Agency</w:t>
      </w:r>
      <w:r w:rsidRPr="00E10730">
        <w:rPr>
          <w:rFonts w:eastAsia="Calibri" w:cs="Arial"/>
          <w:sz w:val="18"/>
          <w:szCs w:val="18"/>
        </w:rPr>
        <w:t> also undertakes additional business assurance and integrity testing activities as part of the management of the </w:t>
      </w:r>
      <w:r w:rsidR="00C24737" w:rsidRPr="00E10730">
        <w:rPr>
          <w:rFonts w:eastAsia="Calibri" w:cs="Arial"/>
          <w:sz w:val="18"/>
          <w:szCs w:val="18"/>
        </w:rPr>
        <w:t>Scheme</w:t>
      </w:r>
      <w:r w:rsidRPr="00E10730">
        <w:rPr>
          <w:rFonts w:eastAsia="Calibri" w:cs="Arial"/>
          <w:sz w:val="18"/>
          <w:szCs w:val="18"/>
        </w:rPr>
        <w:t>.</w:t>
      </w:r>
    </w:p>
    <w:p w14:paraId="60F91F90" w14:textId="77777777" w:rsidR="00C33E22" w:rsidRPr="00A60CBE" w:rsidRDefault="00C33E22" w:rsidP="00C33E22">
      <w:pPr>
        <w:pBdr>
          <w:bottom w:val="single" w:sz="4" w:space="1" w:color="auto"/>
        </w:pBdr>
        <w:autoSpaceDE w:val="0"/>
        <w:autoSpaceDN w:val="0"/>
        <w:adjustRightInd w:val="0"/>
        <w:spacing w:after="0" w:line="240" w:lineRule="auto"/>
        <w:rPr>
          <w:rStyle w:val="Strong"/>
        </w:rPr>
      </w:pPr>
      <w:r w:rsidRPr="00A60CBE">
        <w:rPr>
          <w:rStyle w:val="Strong"/>
        </w:rPr>
        <w:t>National Disability Insurance Agency</w:t>
      </w:r>
    </w:p>
    <w:p w14:paraId="503CB6D8" w14:textId="77777777" w:rsidR="00C33E22" w:rsidRPr="00A60CBE" w:rsidRDefault="00C33E22" w:rsidP="00C33E22">
      <w:pPr>
        <w:pBdr>
          <w:bottom w:val="single" w:sz="4" w:space="1" w:color="auto"/>
        </w:pBdr>
        <w:autoSpaceDE w:val="0"/>
        <w:autoSpaceDN w:val="0"/>
        <w:adjustRightInd w:val="0"/>
        <w:spacing w:after="0" w:line="240" w:lineRule="auto"/>
        <w:rPr>
          <w:rStyle w:val="Strong"/>
        </w:rPr>
      </w:pPr>
      <w:r w:rsidRPr="00A60CBE">
        <w:rPr>
          <w:rStyle w:val="Strong"/>
        </w:rPr>
        <w:t>NOTES TO AND FORMING PART OF THE FINANCIAL STATEMENTS</w:t>
      </w:r>
    </w:p>
    <w:p w14:paraId="4B812E8D" w14:textId="63B83F39" w:rsidR="005C6008" w:rsidRPr="00E10730" w:rsidRDefault="005C6008" w:rsidP="00C33E22">
      <w:pPr>
        <w:autoSpaceDE w:val="0"/>
        <w:autoSpaceDN w:val="0"/>
        <w:adjustRightInd w:val="0"/>
        <w:spacing w:before="120" w:after="240" w:line="240" w:lineRule="auto"/>
        <w:rPr>
          <w:rFonts w:eastAsia="Calibri" w:cs="Arial"/>
          <w:sz w:val="18"/>
          <w:szCs w:val="18"/>
        </w:rPr>
      </w:pPr>
      <w:r w:rsidRPr="00E10730">
        <w:rPr>
          <w:rFonts w:eastAsia="Calibri" w:cs="Arial"/>
          <w:sz w:val="18"/>
          <w:szCs w:val="18"/>
        </w:rPr>
        <w:t xml:space="preserve">The Fraud Fusion Taskforce (FFT) is a multiagency, cross government initiative co-led by the </w:t>
      </w:r>
      <w:r w:rsidR="00007B18" w:rsidRPr="00E10730">
        <w:rPr>
          <w:rFonts w:eastAsia="Calibri" w:cs="Arial"/>
          <w:sz w:val="18"/>
          <w:szCs w:val="18"/>
        </w:rPr>
        <w:t>Agency</w:t>
      </w:r>
      <w:r w:rsidRPr="00E10730">
        <w:rPr>
          <w:rFonts w:eastAsia="Calibri" w:cs="Arial"/>
          <w:sz w:val="18"/>
          <w:szCs w:val="18"/>
        </w:rPr>
        <w:t xml:space="preserve"> to strengthen the Commonwealth’s response to serious and organised fraud across government payment programs, including the </w:t>
      </w:r>
      <w:r w:rsidR="00007B18" w:rsidRPr="00E10730">
        <w:rPr>
          <w:rFonts w:eastAsia="Calibri" w:cs="Arial"/>
          <w:sz w:val="18"/>
          <w:szCs w:val="18"/>
        </w:rPr>
        <w:t>Scheme</w:t>
      </w:r>
      <w:r w:rsidRPr="00E10730">
        <w:rPr>
          <w:rFonts w:eastAsia="Calibri" w:cs="Arial"/>
          <w:sz w:val="18"/>
          <w:szCs w:val="18"/>
        </w:rPr>
        <w:t xml:space="preserve">. It brings together law enforcement, regulatory and integrity agencies to enable intelligence sharing, coordinate enforcement activity and design preventative, system level responses to integrity risks. Through its 25 member agencies, the FFT has significantly increased the scale and effectiveness of action taken against criminal exploitation of the </w:t>
      </w:r>
      <w:r w:rsidR="00007B18" w:rsidRPr="00E10730">
        <w:rPr>
          <w:rFonts w:eastAsia="Calibri" w:cs="Arial"/>
          <w:sz w:val="18"/>
          <w:szCs w:val="18"/>
        </w:rPr>
        <w:t>Scheme</w:t>
      </w:r>
      <w:r w:rsidRPr="00E10730">
        <w:rPr>
          <w:rFonts w:eastAsia="Calibri" w:cs="Arial"/>
          <w:sz w:val="18"/>
          <w:szCs w:val="18"/>
        </w:rPr>
        <w:t xml:space="preserve"> and other payment programs.</w:t>
      </w:r>
    </w:p>
    <w:p w14:paraId="35E3B449" w14:textId="77A2ADDB" w:rsidR="005C6008" w:rsidRPr="00E10730" w:rsidRDefault="005C6008" w:rsidP="00115FA3">
      <w:pPr>
        <w:autoSpaceDE w:val="0"/>
        <w:autoSpaceDN w:val="0"/>
        <w:adjustRightInd w:val="0"/>
        <w:spacing w:after="240" w:line="240" w:lineRule="auto"/>
        <w:rPr>
          <w:rFonts w:eastAsia="Calibri" w:cs="Arial"/>
          <w:sz w:val="18"/>
          <w:szCs w:val="18"/>
        </w:rPr>
      </w:pPr>
      <w:r w:rsidRPr="00E10730">
        <w:rPr>
          <w:rFonts w:eastAsia="Calibri" w:cs="Arial"/>
          <w:sz w:val="18"/>
          <w:szCs w:val="18"/>
        </w:rPr>
        <w:t xml:space="preserve">Beyond enforcement, the FFT plays a critical role in identifying systemic vulnerabilities and informing program and system reform. Working with the Crack Down on Fraud initiative, FFT insights have materially improved the detection of high-risk providers and noncompliant behaviour. Operationally, the FFT has demonstrated strong results. Over the past three years it has supported hundreds of joint fraud investigations involving billions of dollars, materially improving detection capability and cross agency responsiveness. Its work has directly informed </w:t>
      </w:r>
      <w:r w:rsidR="00F44228" w:rsidRPr="00E10730">
        <w:rPr>
          <w:rFonts w:eastAsia="Calibri" w:cs="Arial"/>
          <w:sz w:val="18"/>
          <w:szCs w:val="18"/>
        </w:rPr>
        <w:t>Agency</w:t>
      </w:r>
      <w:r w:rsidRPr="00E10730">
        <w:rPr>
          <w:rFonts w:eastAsia="Calibri" w:cs="Arial"/>
          <w:sz w:val="18"/>
          <w:szCs w:val="18"/>
        </w:rPr>
        <w:t xml:space="preserve"> system uplifts, legislative reform and investment decisions, improved the maturity of fraud prevention and surfaced integrity risks that were previously not visible.</w:t>
      </w:r>
    </w:p>
    <w:p w14:paraId="7B881EEC" w14:textId="5F5F7997" w:rsidR="005C6008" w:rsidRPr="00E10730" w:rsidRDefault="005C6008" w:rsidP="00115FA3">
      <w:pPr>
        <w:autoSpaceDE w:val="0"/>
        <w:autoSpaceDN w:val="0"/>
        <w:adjustRightInd w:val="0"/>
        <w:spacing w:after="240" w:line="240" w:lineRule="auto"/>
        <w:rPr>
          <w:rFonts w:eastAsia="Calibri" w:cs="Arial"/>
          <w:sz w:val="18"/>
          <w:szCs w:val="18"/>
        </w:rPr>
      </w:pPr>
      <w:r w:rsidRPr="00E10730">
        <w:rPr>
          <w:rFonts w:eastAsia="Calibri" w:cs="Arial"/>
          <w:sz w:val="18"/>
          <w:szCs w:val="18"/>
        </w:rPr>
        <w:t>Additional Agency activity </w:t>
      </w:r>
      <w:r w:rsidR="00F44228" w:rsidRPr="00E10730">
        <w:rPr>
          <w:rFonts w:eastAsia="Calibri" w:cs="Arial"/>
          <w:sz w:val="18"/>
          <w:szCs w:val="18"/>
        </w:rPr>
        <w:t xml:space="preserve"> </w:t>
      </w:r>
      <w:r w:rsidRPr="00E10730">
        <w:rPr>
          <w:rFonts w:eastAsia="Calibri" w:cs="Arial"/>
          <w:sz w:val="18"/>
          <w:szCs w:val="18"/>
        </w:rPr>
        <w:t>on the integrity of the Scheme is achieved through fraud investigations and prosecutions, often with FFT partners. Results achieved from the FFT and the Crackdown on Fraud program have included:</w:t>
      </w:r>
    </w:p>
    <w:p w14:paraId="30172BBC" w14:textId="5E9A0C52" w:rsidR="005C6008" w:rsidRPr="00E10730" w:rsidRDefault="005C6008" w:rsidP="001C6F9B">
      <w:pPr>
        <w:pStyle w:val="Fiancialbullet"/>
      </w:pPr>
      <w:r w:rsidRPr="00E10730">
        <w:t>Strengthened evidence requirements for self-managed claims to improve payment integrity and reduce fraud risk</w:t>
      </w:r>
      <w:r w:rsidR="00684800" w:rsidRPr="00E10730">
        <w:t>.</w:t>
      </w:r>
    </w:p>
    <w:p w14:paraId="03F5A9A3" w14:textId="2E257C47" w:rsidR="005C6008" w:rsidRPr="00E10730" w:rsidRDefault="005C6008" w:rsidP="001C6F9B">
      <w:pPr>
        <w:pStyle w:val="Fiancialbullet"/>
      </w:pPr>
      <w:r w:rsidRPr="00E10730">
        <w:t xml:space="preserve">Strengthened provider identity checks by requiring over 36,000 provider staff to use digital identity to access </w:t>
      </w:r>
      <w:r w:rsidR="00684800" w:rsidRPr="00E10730">
        <w:t>Scheme</w:t>
      </w:r>
      <w:r w:rsidRPr="00E10730">
        <w:t xml:space="preserve"> provider portals.</w:t>
      </w:r>
    </w:p>
    <w:p w14:paraId="027979A2" w14:textId="77777777" w:rsidR="005C6008" w:rsidRPr="00E10730" w:rsidRDefault="005C6008" w:rsidP="001C6F9B">
      <w:pPr>
        <w:pStyle w:val="Fiancialbullet"/>
      </w:pPr>
      <w:r w:rsidRPr="00E10730">
        <w:t>Improved payment safeguards by delaying payments to unauthorised support coordinators, giving participants time to review claims.</w:t>
      </w:r>
    </w:p>
    <w:p w14:paraId="093BDDCC" w14:textId="77777777" w:rsidR="005C6008" w:rsidRPr="00E10730" w:rsidRDefault="005C6008" w:rsidP="001C6F9B">
      <w:pPr>
        <w:pStyle w:val="Fiancialbullet"/>
      </w:pPr>
      <w:r w:rsidRPr="00E10730">
        <w:t>Delivered an e-invoicing pilot to streamline claims processing through automation, increasing efficiency and enabling greater focus on high-risk claims.</w:t>
      </w:r>
    </w:p>
    <w:p w14:paraId="58B89973" w14:textId="724686F0" w:rsidR="005C6008" w:rsidRPr="00E10730" w:rsidRDefault="005C6008" w:rsidP="001C6F9B">
      <w:pPr>
        <w:pStyle w:val="Fiancialbullet"/>
      </w:pPr>
      <w:r w:rsidRPr="00E10730">
        <w:t xml:space="preserve">Strengthened API security for </w:t>
      </w:r>
      <w:r w:rsidR="00684800" w:rsidRPr="00E10730">
        <w:t>Scheme</w:t>
      </w:r>
      <w:r w:rsidRPr="00E10730">
        <w:t xml:space="preserve"> digital partners, providing safer and more efficient transactions with the </w:t>
      </w:r>
      <w:r w:rsidR="00684800" w:rsidRPr="00E10730">
        <w:t>Agency</w:t>
      </w:r>
      <w:r w:rsidRPr="00E10730">
        <w:t>.</w:t>
      </w:r>
    </w:p>
    <w:p w14:paraId="3CE3C668" w14:textId="282E0441" w:rsidR="005C6008" w:rsidRPr="00E10730" w:rsidRDefault="005C6008" w:rsidP="001C6F9B">
      <w:pPr>
        <w:pStyle w:val="Fiancialbullet"/>
      </w:pPr>
      <w:r w:rsidRPr="00E10730">
        <w:t xml:space="preserve">Expanded the Integrity Management System, strengthening the </w:t>
      </w:r>
      <w:r w:rsidR="00663990" w:rsidRPr="00E10730">
        <w:t>Agency</w:t>
      </w:r>
      <w:r w:rsidRPr="00E10730">
        <w:t>’s ability to detect and respond to fraud, non</w:t>
      </w:r>
      <w:r w:rsidR="005B6E63">
        <w:t>-</w:t>
      </w:r>
      <w:r w:rsidRPr="00E10730">
        <w:t>compliance and integrity risks.</w:t>
      </w:r>
      <w:r w:rsidRPr="00E10730">
        <w:br w:type="page"/>
      </w:r>
    </w:p>
    <w:p w14:paraId="093F5515"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National Disability Insurance Agency</w:t>
      </w:r>
    </w:p>
    <w:p w14:paraId="5DAFBD2D"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NOTES TO AND FORMING PART OF THE FINANCIAL STATEMENTS</w:t>
      </w:r>
    </w:p>
    <w:p w14:paraId="39F94A2E" w14:textId="77777777" w:rsidR="005C6008" w:rsidRPr="00E10730" w:rsidRDefault="005C6008" w:rsidP="00115FA3">
      <w:pPr>
        <w:shd w:val="clear" w:color="auto" w:fill="000000"/>
        <w:autoSpaceDE w:val="0"/>
        <w:autoSpaceDN w:val="0"/>
        <w:adjustRightInd w:val="0"/>
        <w:spacing w:before="240" w:after="0" w:line="240" w:lineRule="auto"/>
        <w:ind w:left="426" w:hanging="426"/>
        <w:rPr>
          <w:rFonts w:eastAsia="Calibri" w:cs="Arial"/>
          <w:b/>
          <w:bCs/>
          <w:color w:val="FFFFFF"/>
          <w:sz w:val="20"/>
          <w:szCs w:val="20"/>
        </w:rPr>
      </w:pPr>
      <w:r w:rsidRPr="00E10730">
        <w:rPr>
          <w:rFonts w:eastAsia="Calibri" w:cs="Arial"/>
          <w:b/>
          <w:bCs/>
          <w:color w:val="FFFFFF"/>
          <w:sz w:val="20"/>
          <w:szCs w:val="20"/>
        </w:rPr>
        <w:t>1.2.</w:t>
      </w:r>
      <w:r w:rsidRPr="00E10730">
        <w:rPr>
          <w:rFonts w:eastAsia="Calibri" w:cs="Arial"/>
          <w:b/>
          <w:bCs/>
          <w:color w:val="FFFFFF"/>
          <w:sz w:val="20"/>
          <w:szCs w:val="20"/>
        </w:rPr>
        <w:tab/>
        <w:t>Own-Source Revenue and Gains</w:t>
      </w:r>
    </w:p>
    <w:p w14:paraId="2B9F9098" w14:textId="77777777" w:rsidR="005C6008" w:rsidRPr="00E10730" w:rsidRDefault="005C6008" w:rsidP="00115FA3">
      <w:pPr>
        <w:autoSpaceDE w:val="0"/>
        <w:autoSpaceDN w:val="0"/>
        <w:adjustRightInd w:val="0"/>
        <w:spacing w:after="0" w:line="240" w:lineRule="auto"/>
        <w:rPr>
          <w:rFonts w:eastAsia="Calibri" w:cs="Arial"/>
          <w:sz w:val="22"/>
          <w:szCs w:val="22"/>
        </w:rPr>
      </w:pPr>
    </w:p>
    <w:tbl>
      <w:tblPr>
        <w:tblW w:w="0" w:type="auto"/>
        <w:tblLayout w:type="fixed"/>
        <w:tblLook w:val="0000" w:firstRow="0" w:lastRow="0" w:firstColumn="0" w:lastColumn="0" w:noHBand="0" w:noVBand="0"/>
      </w:tblPr>
      <w:tblGrid>
        <w:gridCol w:w="6532"/>
        <w:gridCol w:w="1297"/>
        <w:gridCol w:w="1258"/>
      </w:tblGrid>
      <w:tr w:rsidR="005C6008" w:rsidRPr="00E10730" w14:paraId="038BEB38" w14:textId="77777777">
        <w:trPr>
          <w:trHeight w:val="250"/>
        </w:trPr>
        <w:tc>
          <w:tcPr>
            <w:tcW w:w="6532" w:type="dxa"/>
            <w:tcBorders>
              <w:top w:val="nil"/>
              <w:left w:val="nil"/>
              <w:bottom w:val="nil"/>
              <w:right w:val="nil"/>
            </w:tcBorders>
            <w:shd w:val="clear" w:color="FFFFFF" w:fill="FFFFFF"/>
            <w:vAlign w:val="bottom"/>
          </w:tcPr>
          <w:p w14:paraId="237ACE71"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OWN SOURCE REVENUE</w:t>
            </w:r>
          </w:p>
        </w:tc>
        <w:tc>
          <w:tcPr>
            <w:tcW w:w="1297" w:type="dxa"/>
            <w:tcBorders>
              <w:top w:val="nil"/>
              <w:left w:val="nil"/>
              <w:bottom w:val="nil"/>
              <w:right w:val="nil"/>
            </w:tcBorders>
            <w:shd w:val="clear" w:color="FFFFFF" w:fill="FFFFFF"/>
            <w:vAlign w:val="bottom"/>
          </w:tcPr>
          <w:p w14:paraId="394E99D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258" w:type="dxa"/>
            <w:tcBorders>
              <w:top w:val="nil"/>
              <w:left w:val="nil"/>
              <w:bottom w:val="nil"/>
              <w:right w:val="nil"/>
            </w:tcBorders>
            <w:shd w:val="clear" w:color="FFFFFF" w:fill="FFFFFF"/>
            <w:vAlign w:val="bottom"/>
          </w:tcPr>
          <w:p w14:paraId="1771CB2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r>
      <w:tr w:rsidR="005C6008" w:rsidRPr="00E10730" w14:paraId="2B9F823D" w14:textId="77777777">
        <w:trPr>
          <w:trHeight w:val="250"/>
        </w:trPr>
        <w:tc>
          <w:tcPr>
            <w:tcW w:w="6532" w:type="dxa"/>
            <w:tcBorders>
              <w:top w:val="nil"/>
              <w:left w:val="nil"/>
              <w:bottom w:val="nil"/>
              <w:right w:val="nil"/>
            </w:tcBorders>
            <w:shd w:val="clear" w:color="FFFFFF" w:fill="FFFFFF"/>
            <w:vAlign w:val="bottom"/>
          </w:tcPr>
          <w:p w14:paraId="29CB7878"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297" w:type="dxa"/>
            <w:tcBorders>
              <w:top w:val="nil"/>
              <w:left w:val="nil"/>
              <w:bottom w:val="nil"/>
              <w:right w:val="nil"/>
            </w:tcBorders>
            <w:shd w:val="clear" w:color="FFFFFF" w:fill="FFFFFF"/>
            <w:vAlign w:val="bottom"/>
          </w:tcPr>
          <w:p w14:paraId="7DD9651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258" w:type="dxa"/>
            <w:tcBorders>
              <w:top w:val="nil"/>
              <w:left w:val="nil"/>
              <w:bottom w:val="nil"/>
              <w:right w:val="nil"/>
            </w:tcBorders>
            <w:shd w:val="clear" w:color="FFFFFF" w:fill="FFFFFF"/>
            <w:vAlign w:val="bottom"/>
          </w:tcPr>
          <w:p w14:paraId="1808FB5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r>
      <w:tr w:rsidR="005C6008" w:rsidRPr="00E10730" w14:paraId="16456E50" w14:textId="77777777">
        <w:trPr>
          <w:trHeight w:val="260"/>
        </w:trPr>
        <w:tc>
          <w:tcPr>
            <w:tcW w:w="6532" w:type="dxa"/>
            <w:tcBorders>
              <w:top w:val="nil"/>
              <w:left w:val="nil"/>
              <w:bottom w:val="nil"/>
              <w:right w:val="nil"/>
            </w:tcBorders>
            <w:shd w:val="clear" w:color="FFFFFF" w:fill="FFFFFF"/>
            <w:vAlign w:val="bottom"/>
          </w:tcPr>
          <w:p w14:paraId="21543022"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1.2A: Rendering of services</w:t>
            </w:r>
          </w:p>
        </w:tc>
        <w:tc>
          <w:tcPr>
            <w:tcW w:w="1297" w:type="dxa"/>
            <w:tcBorders>
              <w:top w:val="nil"/>
              <w:left w:val="nil"/>
              <w:bottom w:val="nil"/>
              <w:right w:val="nil"/>
            </w:tcBorders>
            <w:shd w:val="clear" w:color="FFFFFF" w:fill="FFFFFF"/>
            <w:vAlign w:val="bottom"/>
          </w:tcPr>
          <w:p w14:paraId="35C75741"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58" w:type="dxa"/>
            <w:tcBorders>
              <w:top w:val="nil"/>
              <w:left w:val="nil"/>
              <w:bottom w:val="nil"/>
              <w:right w:val="nil"/>
            </w:tcBorders>
            <w:shd w:val="clear" w:color="FFFFFF" w:fill="FFFFFF"/>
            <w:vAlign w:val="bottom"/>
          </w:tcPr>
          <w:p w14:paraId="3B6B165B"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49B2E405" w14:textId="77777777">
        <w:trPr>
          <w:trHeight w:val="260"/>
        </w:trPr>
        <w:tc>
          <w:tcPr>
            <w:tcW w:w="6532" w:type="dxa"/>
            <w:tcBorders>
              <w:top w:val="nil"/>
              <w:left w:val="nil"/>
              <w:bottom w:val="nil"/>
              <w:right w:val="nil"/>
            </w:tcBorders>
            <w:shd w:val="clear" w:color="FFFFFF" w:fill="FFFFFF"/>
            <w:vAlign w:val="bottom"/>
          </w:tcPr>
          <w:p w14:paraId="00A5B0F5" w14:textId="77777777" w:rsidR="005C6008" w:rsidRPr="00E10730" w:rsidRDefault="005C6008" w:rsidP="00115FA3">
            <w:pPr>
              <w:autoSpaceDE w:val="0"/>
              <w:autoSpaceDN w:val="0"/>
              <w:adjustRightInd w:val="0"/>
              <w:spacing w:after="0" w:line="240" w:lineRule="auto"/>
              <w:ind w:left="220"/>
              <w:rPr>
                <w:rFonts w:eastAsia="Calibri" w:cs="Arial"/>
                <w:b/>
                <w:bCs/>
                <w:sz w:val="18"/>
                <w:szCs w:val="18"/>
              </w:rPr>
            </w:pPr>
            <w:r w:rsidRPr="00E10730">
              <w:rPr>
                <w:rFonts w:eastAsia="Calibri" w:cs="Arial"/>
                <w:b/>
                <w:bCs/>
                <w:sz w:val="18"/>
                <w:szCs w:val="18"/>
              </w:rPr>
              <w:t xml:space="preserve">Rendering of services in connection with: </w:t>
            </w:r>
          </w:p>
        </w:tc>
        <w:tc>
          <w:tcPr>
            <w:tcW w:w="1297" w:type="dxa"/>
            <w:tcBorders>
              <w:top w:val="nil"/>
              <w:left w:val="nil"/>
              <w:bottom w:val="nil"/>
              <w:right w:val="nil"/>
            </w:tcBorders>
            <w:shd w:val="clear" w:color="FFFFFF" w:fill="FFFFFF"/>
            <w:vAlign w:val="bottom"/>
          </w:tcPr>
          <w:p w14:paraId="6F825BD3"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58" w:type="dxa"/>
            <w:tcBorders>
              <w:top w:val="nil"/>
              <w:left w:val="nil"/>
              <w:bottom w:val="nil"/>
              <w:right w:val="nil"/>
            </w:tcBorders>
            <w:shd w:val="clear" w:color="FFFFFF" w:fill="FFFFFF"/>
            <w:vAlign w:val="bottom"/>
          </w:tcPr>
          <w:p w14:paraId="7709B007"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267C3024" w14:textId="77777777">
        <w:trPr>
          <w:trHeight w:val="250"/>
        </w:trPr>
        <w:tc>
          <w:tcPr>
            <w:tcW w:w="6532" w:type="dxa"/>
            <w:tcBorders>
              <w:top w:val="nil"/>
              <w:left w:val="nil"/>
              <w:bottom w:val="nil"/>
              <w:right w:val="nil"/>
            </w:tcBorders>
            <w:shd w:val="clear" w:color="FFFFFF" w:fill="FFFFFF"/>
            <w:vAlign w:val="bottom"/>
          </w:tcPr>
          <w:p w14:paraId="6EE267CF" w14:textId="77777777" w:rsidR="005C6008" w:rsidRPr="00E10730" w:rsidRDefault="005C6008" w:rsidP="00115FA3">
            <w:pPr>
              <w:autoSpaceDE w:val="0"/>
              <w:autoSpaceDN w:val="0"/>
              <w:adjustRightInd w:val="0"/>
              <w:spacing w:after="0" w:line="240" w:lineRule="auto"/>
              <w:ind w:left="440"/>
              <w:rPr>
                <w:rFonts w:eastAsia="Calibri" w:cs="Arial"/>
                <w:sz w:val="18"/>
                <w:szCs w:val="18"/>
              </w:rPr>
            </w:pPr>
            <w:r w:rsidRPr="00E10730">
              <w:rPr>
                <w:rFonts w:eastAsia="Calibri" w:cs="Arial"/>
                <w:sz w:val="18"/>
                <w:szCs w:val="18"/>
              </w:rPr>
              <w:t>Related parties - contributions from Commonwealth</w:t>
            </w:r>
          </w:p>
        </w:tc>
        <w:tc>
          <w:tcPr>
            <w:tcW w:w="1297" w:type="dxa"/>
            <w:tcBorders>
              <w:top w:val="nil"/>
              <w:left w:val="nil"/>
              <w:bottom w:val="nil"/>
              <w:right w:val="nil"/>
            </w:tcBorders>
            <w:shd w:val="clear" w:color="FFFFFF" w:fill="FFFFFF"/>
            <w:vAlign w:val="bottom"/>
          </w:tcPr>
          <w:p w14:paraId="7EB561C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38,216,437</w:t>
            </w:r>
          </w:p>
        </w:tc>
        <w:tc>
          <w:tcPr>
            <w:tcW w:w="1258" w:type="dxa"/>
            <w:tcBorders>
              <w:top w:val="nil"/>
              <w:left w:val="nil"/>
              <w:bottom w:val="nil"/>
              <w:right w:val="nil"/>
            </w:tcBorders>
            <w:shd w:val="clear" w:color="FFFFFF" w:fill="FFFFFF"/>
            <w:vAlign w:val="bottom"/>
          </w:tcPr>
          <w:p w14:paraId="0F756A5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33,561,217</w:t>
            </w:r>
          </w:p>
        </w:tc>
      </w:tr>
      <w:tr w:rsidR="005C6008" w:rsidRPr="00E10730" w14:paraId="36342B8E" w14:textId="77777777">
        <w:trPr>
          <w:trHeight w:val="250"/>
        </w:trPr>
        <w:tc>
          <w:tcPr>
            <w:tcW w:w="6532" w:type="dxa"/>
            <w:tcBorders>
              <w:top w:val="nil"/>
              <w:left w:val="nil"/>
              <w:bottom w:val="nil"/>
              <w:right w:val="nil"/>
            </w:tcBorders>
            <w:shd w:val="clear" w:color="FFFFFF" w:fill="FFFFFF"/>
            <w:vAlign w:val="bottom"/>
          </w:tcPr>
          <w:p w14:paraId="054FADF2" w14:textId="77777777" w:rsidR="005C6008" w:rsidRPr="00E10730" w:rsidRDefault="005C6008" w:rsidP="00115FA3">
            <w:pPr>
              <w:autoSpaceDE w:val="0"/>
              <w:autoSpaceDN w:val="0"/>
              <w:adjustRightInd w:val="0"/>
              <w:spacing w:after="0" w:line="240" w:lineRule="auto"/>
              <w:ind w:left="440"/>
              <w:rPr>
                <w:rFonts w:eastAsia="Calibri" w:cs="Arial"/>
                <w:sz w:val="18"/>
                <w:szCs w:val="18"/>
              </w:rPr>
            </w:pPr>
            <w:r w:rsidRPr="00E10730">
              <w:rPr>
                <w:rFonts w:eastAsia="Calibri" w:cs="Arial"/>
                <w:sz w:val="18"/>
                <w:szCs w:val="18"/>
              </w:rPr>
              <w:t>External parties - contributions from state and territory governments</w:t>
            </w:r>
          </w:p>
        </w:tc>
        <w:tc>
          <w:tcPr>
            <w:tcW w:w="1297" w:type="dxa"/>
            <w:tcBorders>
              <w:top w:val="nil"/>
              <w:left w:val="nil"/>
              <w:bottom w:val="nil"/>
              <w:right w:val="nil"/>
            </w:tcBorders>
            <w:shd w:val="clear" w:color="FFFFFF" w:fill="FFFFFF"/>
            <w:vAlign w:val="bottom"/>
          </w:tcPr>
          <w:p w14:paraId="5CD0E0B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12,091,714</w:t>
            </w:r>
          </w:p>
        </w:tc>
        <w:tc>
          <w:tcPr>
            <w:tcW w:w="1258" w:type="dxa"/>
            <w:tcBorders>
              <w:top w:val="nil"/>
              <w:left w:val="nil"/>
              <w:bottom w:val="nil"/>
              <w:right w:val="nil"/>
            </w:tcBorders>
            <w:shd w:val="clear" w:color="FFFFFF" w:fill="FFFFFF"/>
            <w:vAlign w:val="bottom"/>
          </w:tcPr>
          <w:p w14:paraId="544A01C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11,656,741</w:t>
            </w:r>
          </w:p>
        </w:tc>
      </w:tr>
      <w:tr w:rsidR="005C6008" w:rsidRPr="00E10730" w14:paraId="292843AF" w14:textId="77777777">
        <w:trPr>
          <w:trHeight w:val="250"/>
        </w:trPr>
        <w:tc>
          <w:tcPr>
            <w:tcW w:w="6532" w:type="dxa"/>
            <w:tcBorders>
              <w:top w:val="nil"/>
              <w:left w:val="nil"/>
              <w:bottom w:val="nil"/>
              <w:right w:val="nil"/>
            </w:tcBorders>
            <w:shd w:val="clear" w:color="FFFFFF" w:fill="FFFFFF"/>
            <w:vAlign w:val="bottom"/>
          </w:tcPr>
          <w:p w14:paraId="0A77B9C3"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revenue from rendering of services</w:t>
            </w:r>
          </w:p>
        </w:tc>
        <w:tc>
          <w:tcPr>
            <w:tcW w:w="1297" w:type="dxa"/>
            <w:tcBorders>
              <w:top w:val="single" w:sz="4" w:space="0" w:color="auto"/>
              <w:left w:val="nil"/>
              <w:bottom w:val="single" w:sz="4" w:space="0" w:color="auto"/>
              <w:right w:val="nil"/>
            </w:tcBorders>
            <w:shd w:val="clear" w:color="FFFFFF" w:fill="FFFFFF"/>
            <w:vAlign w:val="bottom"/>
          </w:tcPr>
          <w:p w14:paraId="2E1E12C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50,308,151</w:t>
            </w:r>
          </w:p>
        </w:tc>
        <w:tc>
          <w:tcPr>
            <w:tcW w:w="1258" w:type="dxa"/>
            <w:tcBorders>
              <w:top w:val="single" w:sz="4" w:space="0" w:color="auto"/>
              <w:left w:val="nil"/>
              <w:bottom w:val="single" w:sz="4" w:space="0" w:color="auto"/>
              <w:right w:val="nil"/>
            </w:tcBorders>
            <w:shd w:val="clear" w:color="FFFFFF" w:fill="FFFFFF"/>
            <w:vAlign w:val="bottom"/>
          </w:tcPr>
          <w:p w14:paraId="52C34B3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45,217,958</w:t>
            </w:r>
          </w:p>
        </w:tc>
      </w:tr>
    </w:tbl>
    <w:p w14:paraId="08B962D9"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240" w:line="240" w:lineRule="auto"/>
        <w:rPr>
          <w:rFonts w:eastAsia="Calibri" w:cs="Arial"/>
          <w:b/>
          <w:bCs/>
          <w:sz w:val="18"/>
          <w:szCs w:val="18"/>
        </w:rPr>
      </w:pPr>
      <w:r w:rsidRPr="00E10730">
        <w:rPr>
          <w:rFonts w:eastAsia="Calibri" w:cs="Arial"/>
          <w:b/>
          <w:bCs/>
          <w:sz w:val="18"/>
          <w:szCs w:val="18"/>
        </w:rPr>
        <w:t>Accounting Policy</w:t>
      </w:r>
    </w:p>
    <w:p w14:paraId="4B11E33E"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Payments to the Agency from the Commonwealth, state and territory governments are recognised as revenue when they become payable to the Agency under the relevant signed agreement. These include payments outlined in the bilateral agreements for the funding of the Scheme. Payments received in advance and any outstanding offsets to be deducted from future period receipts are treated as unearned revenue (refer note 2.4).</w:t>
      </w:r>
    </w:p>
    <w:p w14:paraId="08479526"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The transaction price for the Scheme contributions is the total amount payable by the jurisdictions to fund the Scheme under their bilateral agreements. The bilateral agreements have annual performance obligations.</w:t>
      </w:r>
    </w:p>
    <w:p w14:paraId="3D317B31"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Total contributions revenue from state and territories governments comprises cash and non-cash components. Non-cash contributions (i.e. In-kind) are reported as non-cash revenue in Note 1.2C Other Revenue. In-Kind contributions reduce the total cash contributions payable by state and territory governments to the Scheme in accordance with the bilateral agreements.</w:t>
      </w:r>
    </w:p>
    <w:p w14:paraId="2E4FDCF8"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22"/>
          <w:szCs w:val="22"/>
        </w:rPr>
        <w:br w:type="page"/>
      </w:r>
    </w:p>
    <w:p w14:paraId="48DCEB96"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National Disability Insurance Agency</w:t>
      </w:r>
    </w:p>
    <w:p w14:paraId="5E46BCFF"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NOTES TO AND FORMING PART OF THE FINANCIAL STATEMENTS</w:t>
      </w:r>
    </w:p>
    <w:p w14:paraId="5ACD64DE" w14:textId="77777777" w:rsidR="005C6008" w:rsidRPr="00E10730" w:rsidRDefault="005C6008" w:rsidP="00115FA3">
      <w:pPr>
        <w:spacing w:after="0" w:line="240" w:lineRule="auto"/>
        <w:rPr>
          <w:rFonts w:eastAsia="Calibri" w:cs="Arial"/>
          <w:sz w:val="12"/>
          <w:szCs w:val="12"/>
        </w:rPr>
      </w:pPr>
    </w:p>
    <w:tbl>
      <w:tblPr>
        <w:tblW w:w="0" w:type="auto"/>
        <w:tblLayout w:type="fixed"/>
        <w:tblLook w:val="0000" w:firstRow="0" w:lastRow="0" w:firstColumn="0" w:lastColumn="0" w:noHBand="0" w:noVBand="0"/>
      </w:tblPr>
      <w:tblGrid>
        <w:gridCol w:w="6541"/>
        <w:gridCol w:w="1273"/>
        <w:gridCol w:w="1273"/>
      </w:tblGrid>
      <w:tr w:rsidR="005C6008" w:rsidRPr="00E10730" w14:paraId="04D01DA1" w14:textId="77777777">
        <w:trPr>
          <w:trHeight w:val="250"/>
        </w:trPr>
        <w:tc>
          <w:tcPr>
            <w:tcW w:w="6541" w:type="dxa"/>
            <w:tcBorders>
              <w:top w:val="nil"/>
              <w:left w:val="nil"/>
              <w:bottom w:val="nil"/>
              <w:right w:val="nil"/>
            </w:tcBorders>
            <w:shd w:val="clear" w:color="FFFFFF" w:fill="FFFFFF"/>
            <w:vAlign w:val="bottom"/>
          </w:tcPr>
          <w:p w14:paraId="14A37783"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5E2C8E6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273" w:type="dxa"/>
            <w:tcBorders>
              <w:top w:val="nil"/>
              <w:left w:val="nil"/>
              <w:bottom w:val="nil"/>
              <w:right w:val="nil"/>
            </w:tcBorders>
            <w:shd w:val="clear" w:color="FFFFFF" w:fill="FFFFFF"/>
            <w:vAlign w:val="bottom"/>
          </w:tcPr>
          <w:p w14:paraId="6E6070B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r>
      <w:tr w:rsidR="005C6008" w:rsidRPr="00E10730" w14:paraId="6793B6B6" w14:textId="77777777">
        <w:trPr>
          <w:trHeight w:val="250"/>
        </w:trPr>
        <w:tc>
          <w:tcPr>
            <w:tcW w:w="6541" w:type="dxa"/>
            <w:tcBorders>
              <w:top w:val="nil"/>
              <w:left w:val="nil"/>
              <w:bottom w:val="nil"/>
              <w:right w:val="nil"/>
            </w:tcBorders>
            <w:shd w:val="clear" w:color="FFFFFF" w:fill="FFFFFF"/>
            <w:vAlign w:val="bottom"/>
          </w:tcPr>
          <w:p w14:paraId="3F0D6F8C"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017D215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273" w:type="dxa"/>
            <w:tcBorders>
              <w:top w:val="nil"/>
              <w:left w:val="nil"/>
              <w:bottom w:val="nil"/>
              <w:right w:val="nil"/>
            </w:tcBorders>
            <w:shd w:val="clear" w:color="FFFFFF" w:fill="FFFFFF"/>
            <w:vAlign w:val="bottom"/>
          </w:tcPr>
          <w:p w14:paraId="38747AB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r>
      <w:tr w:rsidR="005C6008" w:rsidRPr="00E10730" w14:paraId="60047A9E" w14:textId="77777777">
        <w:trPr>
          <w:trHeight w:val="260"/>
        </w:trPr>
        <w:tc>
          <w:tcPr>
            <w:tcW w:w="6541" w:type="dxa"/>
            <w:tcBorders>
              <w:top w:val="nil"/>
              <w:left w:val="nil"/>
              <w:bottom w:val="nil"/>
              <w:right w:val="nil"/>
            </w:tcBorders>
            <w:shd w:val="clear" w:color="FFFFFF" w:fill="FFFFFF"/>
            <w:vAlign w:val="bottom"/>
          </w:tcPr>
          <w:p w14:paraId="28D54454"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1.2B: Rental income</w:t>
            </w:r>
          </w:p>
        </w:tc>
        <w:tc>
          <w:tcPr>
            <w:tcW w:w="1273" w:type="dxa"/>
            <w:tcBorders>
              <w:top w:val="nil"/>
              <w:left w:val="nil"/>
              <w:bottom w:val="nil"/>
              <w:right w:val="nil"/>
            </w:tcBorders>
            <w:shd w:val="clear" w:color="FFFFFF" w:fill="FFFFFF"/>
            <w:vAlign w:val="bottom"/>
          </w:tcPr>
          <w:p w14:paraId="18AB06B0"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73" w:type="dxa"/>
            <w:tcBorders>
              <w:top w:val="nil"/>
              <w:left w:val="nil"/>
              <w:bottom w:val="nil"/>
              <w:right w:val="nil"/>
            </w:tcBorders>
            <w:shd w:val="clear" w:color="FFFFFF" w:fill="FFFFFF"/>
            <w:vAlign w:val="bottom"/>
          </w:tcPr>
          <w:p w14:paraId="742C3BF1"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288D982C" w14:textId="77777777">
        <w:trPr>
          <w:trHeight w:val="260"/>
        </w:trPr>
        <w:tc>
          <w:tcPr>
            <w:tcW w:w="6541" w:type="dxa"/>
            <w:tcBorders>
              <w:top w:val="nil"/>
              <w:left w:val="nil"/>
              <w:bottom w:val="nil"/>
              <w:right w:val="nil"/>
            </w:tcBorders>
            <w:shd w:val="clear" w:color="FFFFFF" w:fill="FFFFFF"/>
            <w:vAlign w:val="bottom"/>
          </w:tcPr>
          <w:p w14:paraId="26E0F929"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Operating lease:</w:t>
            </w:r>
          </w:p>
        </w:tc>
        <w:tc>
          <w:tcPr>
            <w:tcW w:w="1273" w:type="dxa"/>
            <w:tcBorders>
              <w:top w:val="nil"/>
              <w:left w:val="nil"/>
              <w:bottom w:val="nil"/>
              <w:right w:val="nil"/>
            </w:tcBorders>
            <w:shd w:val="clear" w:color="FFFFFF" w:fill="FFFFFF"/>
            <w:vAlign w:val="bottom"/>
          </w:tcPr>
          <w:p w14:paraId="1FC353BE"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73" w:type="dxa"/>
            <w:tcBorders>
              <w:top w:val="nil"/>
              <w:left w:val="nil"/>
              <w:bottom w:val="nil"/>
              <w:right w:val="nil"/>
            </w:tcBorders>
            <w:shd w:val="clear" w:color="FFFFFF" w:fill="FFFFFF"/>
            <w:vAlign w:val="bottom"/>
          </w:tcPr>
          <w:p w14:paraId="23705C31"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390193A7" w14:textId="77777777">
        <w:trPr>
          <w:trHeight w:val="250"/>
        </w:trPr>
        <w:tc>
          <w:tcPr>
            <w:tcW w:w="6541" w:type="dxa"/>
            <w:tcBorders>
              <w:top w:val="nil"/>
              <w:left w:val="nil"/>
              <w:bottom w:val="nil"/>
              <w:right w:val="nil"/>
            </w:tcBorders>
            <w:shd w:val="clear" w:color="FFFFFF" w:fill="FFFFFF"/>
            <w:vAlign w:val="bottom"/>
          </w:tcPr>
          <w:p w14:paraId="5B1397B0"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Subleasing right-of-use assets</w:t>
            </w:r>
          </w:p>
        </w:tc>
        <w:tc>
          <w:tcPr>
            <w:tcW w:w="1273" w:type="dxa"/>
            <w:tcBorders>
              <w:top w:val="nil"/>
              <w:left w:val="nil"/>
              <w:bottom w:val="nil"/>
              <w:right w:val="nil"/>
            </w:tcBorders>
            <w:shd w:val="clear" w:color="FFFFFF" w:fill="FFFFFF"/>
            <w:vAlign w:val="bottom"/>
          </w:tcPr>
          <w:p w14:paraId="19AF34A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618</w:t>
            </w:r>
          </w:p>
        </w:tc>
        <w:tc>
          <w:tcPr>
            <w:tcW w:w="1273" w:type="dxa"/>
            <w:tcBorders>
              <w:top w:val="nil"/>
              <w:left w:val="nil"/>
              <w:bottom w:val="nil"/>
              <w:right w:val="nil"/>
            </w:tcBorders>
            <w:shd w:val="clear" w:color="FFFFFF" w:fill="FFFFFF"/>
            <w:vAlign w:val="bottom"/>
          </w:tcPr>
          <w:p w14:paraId="7182910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468</w:t>
            </w:r>
          </w:p>
        </w:tc>
      </w:tr>
      <w:tr w:rsidR="005C6008" w:rsidRPr="00E10730" w14:paraId="2A3C61BB" w14:textId="77777777">
        <w:trPr>
          <w:trHeight w:val="250"/>
        </w:trPr>
        <w:tc>
          <w:tcPr>
            <w:tcW w:w="6541" w:type="dxa"/>
            <w:tcBorders>
              <w:top w:val="nil"/>
              <w:left w:val="nil"/>
              <w:bottom w:val="nil"/>
              <w:right w:val="nil"/>
            </w:tcBorders>
            <w:shd w:val="clear" w:color="FFFFFF" w:fill="FFFFFF"/>
            <w:vAlign w:val="bottom"/>
          </w:tcPr>
          <w:p w14:paraId="0C8A41D1"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rental income</w:t>
            </w:r>
          </w:p>
        </w:tc>
        <w:tc>
          <w:tcPr>
            <w:tcW w:w="1273" w:type="dxa"/>
            <w:tcBorders>
              <w:top w:val="single" w:sz="4" w:space="0" w:color="auto"/>
              <w:left w:val="nil"/>
              <w:bottom w:val="single" w:sz="4" w:space="0" w:color="auto"/>
              <w:right w:val="nil"/>
            </w:tcBorders>
            <w:shd w:val="clear" w:color="FFFFFF" w:fill="FFFFFF"/>
            <w:vAlign w:val="bottom"/>
          </w:tcPr>
          <w:p w14:paraId="2F0BA1B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618</w:t>
            </w:r>
          </w:p>
        </w:tc>
        <w:tc>
          <w:tcPr>
            <w:tcW w:w="1273" w:type="dxa"/>
            <w:tcBorders>
              <w:top w:val="single" w:sz="4" w:space="0" w:color="auto"/>
              <w:left w:val="nil"/>
              <w:bottom w:val="single" w:sz="4" w:space="0" w:color="auto"/>
              <w:right w:val="nil"/>
            </w:tcBorders>
            <w:shd w:val="clear" w:color="FFFFFF" w:fill="FFFFFF"/>
            <w:vAlign w:val="bottom"/>
          </w:tcPr>
          <w:p w14:paraId="6C483C4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468</w:t>
            </w:r>
          </w:p>
        </w:tc>
      </w:tr>
    </w:tbl>
    <w:p w14:paraId="697E0DC9" w14:textId="77777777" w:rsidR="005C6008" w:rsidRPr="00E10730" w:rsidRDefault="005C6008" w:rsidP="00115FA3">
      <w:pPr>
        <w:autoSpaceDE w:val="0"/>
        <w:autoSpaceDN w:val="0"/>
        <w:adjustRightInd w:val="0"/>
        <w:spacing w:after="0" w:line="240" w:lineRule="auto"/>
        <w:rPr>
          <w:rFonts w:eastAsia="Calibri" w:cs="Arial"/>
          <w:sz w:val="6"/>
          <w:szCs w:val="6"/>
          <w:vertAlign w:val="superscript"/>
        </w:rPr>
      </w:pPr>
    </w:p>
    <w:p w14:paraId="23E3C378"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b/>
          <w:bCs/>
          <w:sz w:val="18"/>
          <w:szCs w:val="18"/>
        </w:rPr>
        <w:t>Operating Leases</w:t>
      </w:r>
    </w:p>
    <w:p w14:paraId="73CE9833" w14:textId="77777777" w:rsidR="005C6008" w:rsidRPr="00E10730" w:rsidRDefault="005C6008" w:rsidP="00AF4CE4">
      <w:pPr>
        <w:autoSpaceDE w:val="0"/>
        <w:autoSpaceDN w:val="0"/>
        <w:adjustRightInd w:val="0"/>
        <w:spacing w:after="0" w:line="240" w:lineRule="auto"/>
        <w:rPr>
          <w:rFonts w:eastAsia="Calibri" w:cs="Arial"/>
          <w:sz w:val="6"/>
          <w:szCs w:val="6"/>
          <w:vertAlign w:val="superscript"/>
        </w:rPr>
      </w:pPr>
      <w:r w:rsidRPr="00E10730">
        <w:rPr>
          <w:rFonts w:eastAsia="Calibri" w:cs="Arial"/>
          <w:sz w:val="18"/>
          <w:szCs w:val="18"/>
        </w:rPr>
        <w:t>The NDIA entered into agreements with the Department of Social Services, the Department of Health, Disability and Ageing and the NDIS Quality and Safeguard Commission to occupy some of the NDIA’s properties. The NDIA retains the rights and risks in underlying assets associated with these leases. There are established risk management processes and a governance structure for escalation of issues. As the sublet arrangements are Commonwealth entity to Commonwealth entity, the risk was deemed to be low and are facilitated through the existing relationships with these entities.</w:t>
      </w:r>
    </w:p>
    <w:p w14:paraId="5BF5348C" w14:textId="77777777" w:rsidR="005C6008" w:rsidRPr="00E10730" w:rsidRDefault="005C6008" w:rsidP="00115FA3">
      <w:pPr>
        <w:autoSpaceDE w:val="0"/>
        <w:autoSpaceDN w:val="0"/>
        <w:adjustRightInd w:val="0"/>
        <w:spacing w:after="0" w:line="240" w:lineRule="auto"/>
        <w:rPr>
          <w:rFonts w:eastAsia="Calibri" w:cs="Arial"/>
          <w:sz w:val="6"/>
          <w:szCs w:val="6"/>
          <w:vertAlign w:val="superscript"/>
        </w:rPr>
      </w:pPr>
    </w:p>
    <w:tbl>
      <w:tblPr>
        <w:tblW w:w="0" w:type="auto"/>
        <w:tblLayout w:type="fixed"/>
        <w:tblLook w:val="0000" w:firstRow="0" w:lastRow="0" w:firstColumn="0" w:lastColumn="0" w:noHBand="0" w:noVBand="0"/>
      </w:tblPr>
      <w:tblGrid>
        <w:gridCol w:w="6541"/>
        <w:gridCol w:w="1273"/>
        <w:gridCol w:w="1273"/>
      </w:tblGrid>
      <w:tr w:rsidR="005C6008" w:rsidRPr="00E10730" w14:paraId="20E46563" w14:textId="77777777">
        <w:trPr>
          <w:trHeight w:val="250"/>
        </w:trPr>
        <w:tc>
          <w:tcPr>
            <w:tcW w:w="6541" w:type="dxa"/>
            <w:tcBorders>
              <w:top w:val="nil"/>
              <w:left w:val="nil"/>
              <w:bottom w:val="nil"/>
              <w:right w:val="nil"/>
            </w:tcBorders>
            <w:shd w:val="clear" w:color="FFFFFF" w:fill="FFFFFF"/>
            <w:vAlign w:val="bottom"/>
          </w:tcPr>
          <w:p w14:paraId="68EDBB05"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Maturity analysis of operating lease receivables</w:t>
            </w:r>
          </w:p>
        </w:tc>
        <w:tc>
          <w:tcPr>
            <w:tcW w:w="1273" w:type="dxa"/>
            <w:tcBorders>
              <w:top w:val="nil"/>
              <w:left w:val="nil"/>
              <w:bottom w:val="nil"/>
              <w:right w:val="nil"/>
            </w:tcBorders>
            <w:shd w:val="clear" w:color="FFFFFF" w:fill="FFFFFF"/>
            <w:vAlign w:val="bottom"/>
          </w:tcPr>
          <w:p w14:paraId="032C98B2"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 </w:t>
            </w:r>
          </w:p>
        </w:tc>
        <w:tc>
          <w:tcPr>
            <w:tcW w:w="1273" w:type="dxa"/>
            <w:tcBorders>
              <w:top w:val="nil"/>
              <w:left w:val="nil"/>
              <w:bottom w:val="nil"/>
              <w:right w:val="nil"/>
            </w:tcBorders>
            <w:shd w:val="clear" w:color="FFFFFF" w:fill="FFFFFF"/>
            <w:vAlign w:val="bottom"/>
          </w:tcPr>
          <w:p w14:paraId="60EA8B07"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 </w:t>
            </w:r>
          </w:p>
        </w:tc>
      </w:tr>
      <w:tr w:rsidR="005C6008" w:rsidRPr="00E10730" w14:paraId="6159AFF4" w14:textId="77777777">
        <w:trPr>
          <w:trHeight w:val="250"/>
        </w:trPr>
        <w:tc>
          <w:tcPr>
            <w:tcW w:w="6541" w:type="dxa"/>
            <w:tcBorders>
              <w:top w:val="nil"/>
              <w:left w:val="nil"/>
              <w:bottom w:val="nil"/>
              <w:right w:val="nil"/>
            </w:tcBorders>
            <w:shd w:val="clear" w:color="FFFFFF" w:fill="FFFFFF"/>
            <w:vAlign w:val="bottom"/>
          </w:tcPr>
          <w:p w14:paraId="75124946"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Within one year</w:t>
            </w:r>
          </w:p>
        </w:tc>
        <w:tc>
          <w:tcPr>
            <w:tcW w:w="1273" w:type="dxa"/>
            <w:tcBorders>
              <w:top w:val="nil"/>
              <w:left w:val="nil"/>
              <w:bottom w:val="nil"/>
              <w:right w:val="nil"/>
            </w:tcBorders>
            <w:shd w:val="clear" w:color="FFFFFF" w:fill="FFFFFF"/>
            <w:vAlign w:val="bottom"/>
          </w:tcPr>
          <w:p w14:paraId="5991F91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478</w:t>
            </w:r>
          </w:p>
        </w:tc>
        <w:tc>
          <w:tcPr>
            <w:tcW w:w="1273" w:type="dxa"/>
            <w:tcBorders>
              <w:top w:val="nil"/>
              <w:left w:val="nil"/>
              <w:bottom w:val="nil"/>
              <w:right w:val="nil"/>
            </w:tcBorders>
            <w:shd w:val="clear" w:color="FFFFFF" w:fill="FFFFFF"/>
            <w:vAlign w:val="bottom"/>
          </w:tcPr>
          <w:p w14:paraId="500EC2F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468</w:t>
            </w:r>
          </w:p>
        </w:tc>
      </w:tr>
      <w:tr w:rsidR="005C6008" w:rsidRPr="00E10730" w14:paraId="74179672" w14:textId="77777777">
        <w:trPr>
          <w:trHeight w:val="250"/>
        </w:trPr>
        <w:tc>
          <w:tcPr>
            <w:tcW w:w="6541" w:type="dxa"/>
            <w:tcBorders>
              <w:top w:val="nil"/>
              <w:left w:val="nil"/>
              <w:bottom w:val="nil"/>
              <w:right w:val="nil"/>
            </w:tcBorders>
            <w:shd w:val="clear" w:color="FFFFFF" w:fill="FFFFFF"/>
            <w:vAlign w:val="bottom"/>
          </w:tcPr>
          <w:p w14:paraId="48C00F03"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One to two years</w:t>
            </w:r>
          </w:p>
        </w:tc>
        <w:tc>
          <w:tcPr>
            <w:tcW w:w="1273" w:type="dxa"/>
            <w:tcBorders>
              <w:top w:val="nil"/>
              <w:left w:val="nil"/>
              <w:bottom w:val="nil"/>
              <w:right w:val="nil"/>
            </w:tcBorders>
            <w:shd w:val="clear" w:color="FFFFFF" w:fill="FFFFFF"/>
            <w:vAlign w:val="bottom"/>
          </w:tcPr>
          <w:p w14:paraId="0B0CCB1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137</w:t>
            </w:r>
          </w:p>
        </w:tc>
        <w:tc>
          <w:tcPr>
            <w:tcW w:w="1273" w:type="dxa"/>
            <w:tcBorders>
              <w:top w:val="nil"/>
              <w:left w:val="nil"/>
              <w:bottom w:val="nil"/>
              <w:right w:val="nil"/>
            </w:tcBorders>
            <w:shd w:val="clear" w:color="FFFFFF" w:fill="FFFFFF"/>
            <w:vAlign w:val="bottom"/>
          </w:tcPr>
          <w:p w14:paraId="04D82BD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128</w:t>
            </w:r>
          </w:p>
        </w:tc>
      </w:tr>
      <w:tr w:rsidR="005C6008" w:rsidRPr="00E10730" w14:paraId="0C036765" w14:textId="77777777">
        <w:trPr>
          <w:trHeight w:val="250"/>
        </w:trPr>
        <w:tc>
          <w:tcPr>
            <w:tcW w:w="6541" w:type="dxa"/>
            <w:tcBorders>
              <w:top w:val="nil"/>
              <w:left w:val="nil"/>
              <w:bottom w:val="nil"/>
              <w:right w:val="nil"/>
            </w:tcBorders>
            <w:shd w:val="clear" w:color="FFFFFF" w:fill="FFFFFF"/>
            <w:vAlign w:val="bottom"/>
          </w:tcPr>
          <w:p w14:paraId="47F3997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undiscounted lease payments receivable</w:t>
            </w:r>
          </w:p>
        </w:tc>
        <w:tc>
          <w:tcPr>
            <w:tcW w:w="1273" w:type="dxa"/>
            <w:tcBorders>
              <w:top w:val="single" w:sz="4" w:space="0" w:color="auto"/>
              <w:left w:val="nil"/>
              <w:bottom w:val="single" w:sz="4" w:space="0" w:color="auto"/>
              <w:right w:val="nil"/>
            </w:tcBorders>
            <w:shd w:val="clear" w:color="FFFFFF" w:fill="FFFFFF"/>
            <w:vAlign w:val="bottom"/>
          </w:tcPr>
          <w:p w14:paraId="67531C0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615</w:t>
            </w:r>
          </w:p>
        </w:tc>
        <w:tc>
          <w:tcPr>
            <w:tcW w:w="1273" w:type="dxa"/>
            <w:tcBorders>
              <w:top w:val="single" w:sz="4" w:space="0" w:color="auto"/>
              <w:left w:val="nil"/>
              <w:bottom w:val="single" w:sz="4" w:space="0" w:color="auto"/>
              <w:right w:val="nil"/>
            </w:tcBorders>
            <w:shd w:val="clear" w:color="FFFFFF" w:fill="FFFFFF"/>
            <w:vAlign w:val="bottom"/>
          </w:tcPr>
          <w:p w14:paraId="7A683D4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596</w:t>
            </w:r>
          </w:p>
        </w:tc>
      </w:tr>
    </w:tbl>
    <w:p w14:paraId="79A253BF" w14:textId="52A9D93E" w:rsidR="005C6008" w:rsidRPr="00E10730" w:rsidRDefault="005C6008" w:rsidP="00115FA3">
      <w:pPr>
        <w:autoSpaceDE w:val="0"/>
        <w:autoSpaceDN w:val="0"/>
        <w:adjustRightInd w:val="0"/>
        <w:spacing w:before="60" w:after="0" w:line="240" w:lineRule="auto"/>
        <w:rPr>
          <w:rFonts w:eastAsia="Calibri" w:cs="Arial"/>
          <w:sz w:val="18"/>
          <w:szCs w:val="18"/>
        </w:rPr>
      </w:pPr>
      <w:r w:rsidRPr="00E10730">
        <w:rPr>
          <w:rFonts w:eastAsia="Calibri" w:cs="Arial"/>
          <w:sz w:val="18"/>
          <w:szCs w:val="18"/>
        </w:rPr>
        <w:t xml:space="preserve">The above lease disclosures should be read in conjunction with the accompanying notes 1.1B, 1.1D, 2.2A </w:t>
      </w:r>
      <w:r w:rsidR="00083268" w:rsidRPr="00E10730">
        <w:rPr>
          <w:rFonts w:eastAsia="Calibri" w:cs="Arial"/>
          <w:sz w:val="18"/>
          <w:szCs w:val="18"/>
        </w:rPr>
        <w:t>and</w:t>
      </w:r>
      <w:r w:rsidRPr="00E10730">
        <w:rPr>
          <w:rFonts w:eastAsia="Calibri" w:cs="Arial"/>
          <w:sz w:val="18"/>
          <w:szCs w:val="18"/>
        </w:rPr>
        <w:t xml:space="preserve"> 2.5.</w:t>
      </w:r>
    </w:p>
    <w:p w14:paraId="6373C038" w14:textId="77777777" w:rsidR="005C6008" w:rsidRPr="00E10730" w:rsidRDefault="005C6008" w:rsidP="00115FA3">
      <w:pPr>
        <w:autoSpaceDE w:val="0"/>
        <w:autoSpaceDN w:val="0"/>
        <w:adjustRightInd w:val="0"/>
        <w:spacing w:after="0" w:line="240" w:lineRule="auto"/>
        <w:rPr>
          <w:rFonts w:eastAsia="Calibri" w:cs="Arial"/>
          <w:sz w:val="18"/>
          <w:szCs w:val="18"/>
        </w:rPr>
      </w:pPr>
    </w:p>
    <w:tbl>
      <w:tblPr>
        <w:tblW w:w="0" w:type="auto"/>
        <w:tblLayout w:type="fixed"/>
        <w:tblLook w:val="0000" w:firstRow="0" w:lastRow="0" w:firstColumn="0" w:lastColumn="0" w:noHBand="0" w:noVBand="0"/>
      </w:tblPr>
      <w:tblGrid>
        <w:gridCol w:w="6541"/>
        <w:gridCol w:w="1273"/>
        <w:gridCol w:w="1273"/>
      </w:tblGrid>
      <w:tr w:rsidR="005C6008" w:rsidRPr="00E10730" w14:paraId="00514F05" w14:textId="77777777">
        <w:trPr>
          <w:trHeight w:val="250"/>
        </w:trPr>
        <w:tc>
          <w:tcPr>
            <w:tcW w:w="6541" w:type="dxa"/>
            <w:tcBorders>
              <w:top w:val="nil"/>
              <w:left w:val="nil"/>
              <w:bottom w:val="nil"/>
              <w:right w:val="nil"/>
            </w:tcBorders>
            <w:shd w:val="clear" w:color="FFFFFF" w:fill="FFFFFF"/>
            <w:vAlign w:val="bottom"/>
          </w:tcPr>
          <w:p w14:paraId="6AA20BAB"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1.2C: Other revenue</w:t>
            </w:r>
          </w:p>
        </w:tc>
        <w:tc>
          <w:tcPr>
            <w:tcW w:w="1273" w:type="dxa"/>
            <w:tcBorders>
              <w:top w:val="nil"/>
              <w:left w:val="nil"/>
              <w:bottom w:val="nil"/>
              <w:right w:val="nil"/>
            </w:tcBorders>
            <w:shd w:val="clear" w:color="FFFFFF" w:fill="FFFFFF"/>
            <w:vAlign w:val="bottom"/>
          </w:tcPr>
          <w:p w14:paraId="65A68B77"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73" w:type="dxa"/>
            <w:tcBorders>
              <w:top w:val="nil"/>
              <w:left w:val="nil"/>
              <w:bottom w:val="nil"/>
              <w:right w:val="nil"/>
            </w:tcBorders>
            <w:shd w:val="clear" w:color="FFFFFF" w:fill="FFFFFF"/>
            <w:vAlign w:val="bottom"/>
          </w:tcPr>
          <w:p w14:paraId="41414719"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7E580596" w14:textId="77777777">
        <w:trPr>
          <w:trHeight w:val="250"/>
        </w:trPr>
        <w:tc>
          <w:tcPr>
            <w:tcW w:w="6541" w:type="dxa"/>
            <w:tcBorders>
              <w:top w:val="nil"/>
              <w:left w:val="nil"/>
              <w:bottom w:val="nil"/>
              <w:right w:val="nil"/>
            </w:tcBorders>
            <w:shd w:val="clear" w:color="FFFFFF" w:fill="FFFFFF"/>
            <w:vAlign w:val="bottom"/>
          </w:tcPr>
          <w:p w14:paraId="4A512A7D"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External parties - Contributions in-kind from state and territory governments</w:t>
            </w:r>
          </w:p>
        </w:tc>
        <w:tc>
          <w:tcPr>
            <w:tcW w:w="1273" w:type="dxa"/>
            <w:tcBorders>
              <w:top w:val="nil"/>
              <w:left w:val="nil"/>
              <w:bottom w:val="nil"/>
              <w:right w:val="nil"/>
            </w:tcBorders>
            <w:shd w:val="clear" w:color="FFFFFF" w:fill="FFFFFF"/>
            <w:vAlign w:val="bottom"/>
          </w:tcPr>
          <w:p w14:paraId="26D7D5A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994,683</w:t>
            </w:r>
          </w:p>
        </w:tc>
        <w:tc>
          <w:tcPr>
            <w:tcW w:w="1273" w:type="dxa"/>
            <w:tcBorders>
              <w:top w:val="nil"/>
              <w:left w:val="nil"/>
              <w:bottom w:val="nil"/>
              <w:right w:val="nil"/>
            </w:tcBorders>
            <w:shd w:val="clear" w:color="FFFFFF" w:fill="FFFFFF"/>
            <w:vAlign w:val="bottom"/>
          </w:tcPr>
          <w:p w14:paraId="412D350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927,547</w:t>
            </w:r>
          </w:p>
        </w:tc>
      </w:tr>
      <w:tr w:rsidR="005C6008" w:rsidRPr="00E10730" w14:paraId="4C4FE22E" w14:textId="77777777">
        <w:trPr>
          <w:trHeight w:val="250"/>
        </w:trPr>
        <w:tc>
          <w:tcPr>
            <w:tcW w:w="6541" w:type="dxa"/>
            <w:tcBorders>
              <w:top w:val="nil"/>
              <w:left w:val="nil"/>
              <w:bottom w:val="nil"/>
              <w:right w:val="nil"/>
            </w:tcBorders>
            <w:shd w:val="clear" w:color="FFFFFF" w:fill="FFFFFF"/>
            <w:vAlign w:val="bottom"/>
          </w:tcPr>
          <w:p w14:paraId="11DB469A"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Compensation receipts</w:t>
            </w:r>
          </w:p>
        </w:tc>
        <w:tc>
          <w:tcPr>
            <w:tcW w:w="1273" w:type="dxa"/>
            <w:tcBorders>
              <w:top w:val="nil"/>
              <w:left w:val="nil"/>
              <w:bottom w:val="nil"/>
              <w:right w:val="nil"/>
            </w:tcBorders>
            <w:shd w:val="clear" w:color="FFFFFF" w:fill="FFFFFF"/>
            <w:vAlign w:val="bottom"/>
          </w:tcPr>
          <w:p w14:paraId="2430463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65,708</w:t>
            </w:r>
          </w:p>
        </w:tc>
        <w:tc>
          <w:tcPr>
            <w:tcW w:w="1273" w:type="dxa"/>
            <w:tcBorders>
              <w:top w:val="nil"/>
              <w:left w:val="nil"/>
              <w:bottom w:val="nil"/>
              <w:right w:val="nil"/>
            </w:tcBorders>
            <w:shd w:val="clear" w:color="FFFFFF" w:fill="FFFFFF"/>
            <w:vAlign w:val="bottom"/>
          </w:tcPr>
          <w:p w14:paraId="6B0224E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69,234</w:t>
            </w:r>
          </w:p>
        </w:tc>
      </w:tr>
      <w:tr w:rsidR="005C6008" w:rsidRPr="00E10730" w14:paraId="66807297" w14:textId="77777777">
        <w:trPr>
          <w:trHeight w:val="250"/>
        </w:trPr>
        <w:tc>
          <w:tcPr>
            <w:tcW w:w="6541" w:type="dxa"/>
            <w:tcBorders>
              <w:top w:val="nil"/>
              <w:left w:val="nil"/>
              <w:bottom w:val="nil"/>
              <w:right w:val="nil"/>
            </w:tcBorders>
            <w:shd w:val="clear" w:color="FFFFFF" w:fill="FFFFFF"/>
            <w:vAlign w:val="bottom"/>
          </w:tcPr>
          <w:p w14:paraId="2FA4D435"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Cost recoveries</w:t>
            </w:r>
          </w:p>
        </w:tc>
        <w:tc>
          <w:tcPr>
            <w:tcW w:w="1273" w:type="dxa"/>
            <w:tcBorders>
              <w:top w:val="nil"/>
              <w:left w:val="nil"/>
              <w:bottom w:val="nil"/>
              <w:right w:val="nil"/>
            </w:tcBorders>
            <w:shd w:val="clear" w:color="FFFFFF" w:fill="FFFFFF"/>
            <w:vAlign w:val="bottom"/>
          </w:tcPr>
          <w:p w14:paraId="616DB26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13</w:t>
            </w:r>
          </w:p>
        </w:tc>
        <w:tc>
          <w:tcPr>
            <w:tcW w:w="1273" w:type="dxa"/>
            <w:tcBorders>
              <w:top w:val="nil"/>
              <w:left w:val="nil"/>
              <w:bottom w:val="nil"/>
              <w:right w:val="nil"/>
            </w:tcBorders>
            <w:shd w:val="clear" w:color="FFFFFF" w:fill="FFFFFF"/>
            <w:vAlign w:val="bottom"/>
          </w:tcPr>
          <w:p w14:paraId="4861AEE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w:t>
            </w:r>
          </w:p>
        </w:tc>
      </w:tr>
      <w:tr w:rsidR="005C6008" w:rsidRPr="00E10730" w14:paraId="7B3C466E" w14:textId="77777777">
        <w:trPr>
          <w:trHeight w:val="250"/>
        </w:trPr>
        <w:tc>
          <w:tcPr>
            <w:tcW w:w="6541" w:type="dxa"/>
            <w:tcBorders>
              <w:top w:val="nil"/>
              <w:left w:val="nil"/>
              <w:bottom w:val="nil"/>
              <w:right w:val="nil"/>
            </w:tcBorders>
            <w:shd w:val="clear" w:color="FFFFFF" w:fill="FFFFFF"/>
            <w:vAlign w:val="bottom"/>
          </w:tcPr>
          <w:p w14:paraId="68B90968"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 xml:space="preserve">Other miscellaneous revenue </w:t>
            </w:r>
          </w:p>
        </w:tc>
        <w:tc>
          <w:tcPr>
            <w:tcW w:w="1273" w:type="dxa"/>
            <w:tcBorders>
              <w:top w:val="nil"/>
              <w:left w:val="nil"/>
              <w:bottom w:val="nil"/>
              <w:right w:val="nil"/>
            </w:tcBorders>
            <w:shd w:val="clear" w:color="FFFFFF" w:fill="FFFFFF"/>
            <w:vAlign w:val="bottom"/>
          </w:tcPr>
          <w:p w14:paraId="1DAAD2F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557</w:t>
            </w:r>
          </w:p>
        </w:tc>
        <w:tc>
          <w:tcPr>
            <w:tcW w:w="1273" w:type="dxa"/>
            <w:tcBorders>
              <w:top w:val="nil"/>
              <w:left w:val="nil"/>
              <w:bottom w:val="nil"/>
              <w:right w:val="nil"/>
            </w:tcBorders>
            <w:shd w:val="clear" w:color="FFFFFF" w:fill="FFFFFF"/>
            <w:vAlign w:val="bottom"/>
          </w:tcPr>
          <w:p w14:paraId="3D6C350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770</w:t>
            </w:r>
          </w:p>
        </w:tc>
      </w:tr>
      <w:tr w:rsidR="005C6008" w:rsidRPr="00E10730" w14:paraId="74F54437" w14:textId="77777777">
        <w:trPr>
          <w:trHeight w:val="250"/>
        </w:trPr>
        <w:tc>
          <w:tcPr>
            <w:tcW w:w="6541" w:type="dxa"/>
            <w:tcBorders>
              <w:top w:val="nil"/>
              <w:left w:val="nil"/>
              <w:bottom w:val="nil"/>
              <w:right w:val="nil"/>
            </w:tcBorders>
            <w:shd w:val="clear" w:color="FFFFFF" w:fill="FFFFFF"/>
            <w:vAlign w:val="bottom"/>
          </w:tcPr>
          <w:p w14:paraId="5266DCD3"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other revenue</w:t>
            </w:r>
          </w:p>
        </w:tc>
        <w:tc>
          <w:tcPr>
            <w:tcW w:w="1273" w:type="dxa"/>
            <w:tcBorders>
              <w:top w:val="single" w:sz="4" w:space="0" w:color="auto"/>
              <w:left w:val="nil"/>
              <w:bottom w:val="single" w:sz="4" w:space="0" w:color="auto"/>
              <w:right w:val="nil"/>
            </w:tcBorders>
            <w:shd w:val="clear" w:color="FFFFFF" w:fill="FFFFFF"/>
            <w:vAlign w:val="bottom"/>
          </w:tcPr>
          <w:p w14:paraId="4F32760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1,060,961</w:t>
            </w:r>
          </w:p>
        </w:tc>
        <w:tc>
          <w:tcPr>
            <w:tcW w:w="1273" w:type="dxa"/>
            <w:tcBorders>
              <w:top w:val="single" w:sz="4" w:space="0" w:color="auto"/>
              <w:left w:val="nil"/>
              <w:bottom w:val="single" w:sz="4" w:space="0" w:color="auto"/>
              <w:right w:val="nil"/>
            </w:tcBorders>
            <w:shd w:val="clear" w:color="FFFFFF" w:fill="FFFFFF"/>
            <w:vAlign w:val="bottom"/>
          </w:tcPr>
          <w:p w14:paraId="5DE6A92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997,556</w:t>
            </w:r>
          </w:p>
        </w:tc>
      </w:tr>
    </w:tbl>
    <w:p w14:paraId="0046F183" w14:textId="77777777" w:rsidR="005C6008" w:rsidRPr="00E10730" w:rsidRDefault="005C6008" w:rsidP="00115FA3">
      <w:pPr>
        <w:autoSpaceDE w:val="0"/>
        <w:autoSpaceDN w:val="0"/>
        <w:adjustRightInd w:val="0"/>
        <w:spacing w:after="0" w:line="240" w:lineRule="auto"/>
        <w:ind w:right="607"/>
        <w:rPr>
          <w:rFonts w:eastAsia="Calibri" w:cs="Arial"/>
          <w:sz w:val="18"/>
          <w:szCs w:val="18"/>
        </w:rPr>
      </w:pPr>
    </w:p>
    <w:p w14:paraId="3CABE80F"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b/>
          <w:bCs/>
          <w:sz w:val="18"/>
          <w:szCs w:val="18"/>
        </w:rPr>
      </w:pPr>
      <w:r w:rsidRPr="00E10730">
        <w:rPr>
          <w:rFonts w:eastAsia="Calibri" w:cs="Arial"/>
          <w:b/>
          <w:bCs/>
          <w:sz w:val="18"/>
          <w:szCs w:val="18"/>
        </w:rPr>
        <w:t>Accounting Policy</w:t>
      </w:r>
    </w:p>
    <w:p w14:paraId="29F26D81"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u w:val="single"/>
        </w:rPr>
      </w:pPr>
      <w:r w:rsidRPr="00E10730">
        <w:rPr>
          <w:rFonts w:eastAsia="Calibri" w:cs="Arial"/>
          <w:sz w:val="18"/>
          <w:szCs w:val="18"/>
          <w:u w:val="single"/>
        </w:rPr>
        <w:t xml:space="preserve">Contributions in-kind from state and territory governments </w:t>
      </w:r>
    </w:p>
    <w:p w14:paraId="545FBEDC"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Contributions in-kind from state and territory governments are termed volunteer services under Australian Accounting Standards as they are received free of charge. Volunteer services are recognised as own-source income when, and only when, a fair value can be reliably determined, and the services would have been purchased if they had not been contributed. Use of these services is recognised as an expense. Volunteer services are recorded as either revenue or gains depending on their nature.</w:t>
      </w:r>
    </w:p>
    <w:p w14:paraId="7829E552"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Prior to the commencement of the Scheme, each state and territory government had committed to provide (directly or by engaging service providers) agreed items such as disability services, health services, family support, education, employment, transport, and/or housing to people with a disability. The on-going provision of these agreed services on behalf of the Agency is regarded as an in-kind contribution under Australian Accounting Standards and is accounted for as income from the contribution of services at the date when the services are provided. The fair value of these contributions is the unit cost provided by the jurisdiction which is based on the value the jurisdiction has paid under its funding arrangements with the provider.</w:t>
      </w:r>
    </w:p>
    <w:p w14:paraId="7A4F6E1A" w14:textId="2DFBF91A"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Total contributions revenue from state and territories governments comprises cash and non-cash components. Cash contributions are reported as revenue in Note 1.2A Rendering of services. Total cash received from state and territories governments is reduced (i.e. offset) by the total value of In-Kind contributions in accordance with the bilateral agreements.</w:t>
      </w:r>
    </w:p>
    <w:p w14:paraId="543FCA43"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b/>
          <w:bCs/>
          <w:sz w:val="18"/>
          <w:szCs w:val="18"/>
        </w:rPr>
      </w:pPr>
      <w:r w:rsidRPr="00E10730">
        <w:rPr>
          <w:rFonts w:eastAsia="Calibri" w:cs="Arial"/>
          <w:b/>
          <w:bCs/>
          <w:sz w:val="18"/>
          <w:szCs w:val="18"/>
        </w:rPr>
        <w:t>Key judgements and estimates</w:t>
      </w:r>
    </w:p>
    <w:p w14:paraId="2E3F5F0E"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u w:val="single"/>
        </w:rPr>
      </w:pPr>
      <w:r w:rsidRPr="00E10730">
        <w:rPr>
          <w:rFonts w:eastAsia="Calibri" w:cs="Arial"/>
          <w:sz w:val="18"/>
          <w:szCs w:val="18"/>
          <w:u w:val="single"/>
        </w:rPr>
        <w:t>Contributions in-kind from state and territory governments</w:t>
      </w:r>
    </w:p>
    <w:p w14:paraId="502E7972"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The Agency records income in relation to non-cash or in-kind contributions from state and territory governments at the time when the services are provided to participants. In some cases, the Agency may not have been formally notified that the state or territory government has provided or funded a contribution to a participant. In this circumstance, the Agency makes an estimate of the amount of in-kind contributions provided to participants during the period but not yet notified to the Agency. These estimates are based on the latest available evidence of in-kind supports provided to participants by the state and territory governments.</w:t>
      </w:r>
    </w:p>
    <w:p w14:paraId="33DC2674" w14:textId="77777777" w:rsidR="0019176F" w:rsidRDefault="0019176F" w:rsidP="00AF4CE4">
      <w:pPr>
        <w:pBdr>
          <w:bottom w:val="single" w:sz="4" w:space="1" w:color="auto"/>
        </w:pBdr>
        <w:autoSpaceDE w:val="0"/>
        <w:autoSpaceDN w:val="0"/>
        <w:adjustRightInd w:val="0"/>
        <w:spacing w:before="240" w:after="0" w:line="240" w:lineRule="auto"/>
        <w:rPr>
          <w:rStyle w:val="Strong"/>
        </w:rPr>
      </w:pPr>
      <w:r>
        <w:rPr>
          <w:rStyle w:val="Strong"/>
        </w:rPr>
        <w:br w:type="page"/>
      </w:r>
    </w:p>
    <w:p w14:paraId="21F5F0B1" w14:textId="152126DA" w:rsidR="005C6008" w:rsidRPr="00A60CBE" w:rsidRDefault="005C6008" w:rsidP="00AF4CE4">
      <w:pPr>
        <w:pBdr>
          <w:bottom w:val="single" w:sz="4" w:space="1" w:color="auto"/>
        </w:pBdr>
        <w:autoSpaceDE w:val="0"/>
        <w:autoSpaceDN w:val="0"/>
        <w:adjustRightInd w:val="0"/>
        <w:spacing w:before="240" w:after="0" w:line="240" w:lineRule="auto"/>
        <w:rPr>
          <w:rStyle w:val="Strong"/>
        </w:rPr>
      </w:pPr>
      <w:r w:rsidRPr="00A60CBE">
        <w:rPr>
          <w:rStyle w:val="Strong"/>
        </w:rPr>
        <w:t>National Disability Insurance Agency</w:t>
      </w:r>
    </w:p>
    <w:p w14:paraId="731F8DD0" w14:textId="77777777" w:rsidR="005C6008" w:rsidRPr="00A60CBE" w:rsidRDefault="005C6008" w:rsidP="00115FA3">
      <w:pPr>
        <w:pBdr>
          <w:bottom w:val="single" w:sz="4" w:space="1" w:color="auto"/>
        </w:pBdr>
        <w:autoSpaceDE w:val="0"/>
        <w:autoSpaceDN w:val="0"/>
        <w:adjustRightInd w:val="0"/>
        <w:spacing w:after="0" w:line="240" w:lineRule="auto"/>
        <w:rPr>
          <w:rStyle w:val="Strong"/>
        </w:rPr>
      </w:pPr>
      <w:r w:rsidRPr="00A60CBE">
        <w:rPr>
          <w:rStyle w:val="Strong"/>
        </w:rPr>
        <w:t>NOTES TO AND FORMING PART OF THE FINANCIAL STATEMENTS</w:t>
      </w:r>
    </w:p>
    <w:p w14:paraId="1C906AC3" w14:textId="77777777" w:rsidR="005C6008" w:rsidRPr="00E10730" w:rsidRDefault="005C6008" w:rsidP="00115FA3">
      <w:pPr>
        <w:autoSpaceDE w:val="0"/>
        <w:autoSpaceDN w:val="0"/>
        <w:adjustRightInd w:val="0"/>
        <w:spacing w:after="0" w:line="240" w:lineRule="auto"/>
        <w:ind w:right="607"/>
        <w:rPr>
          <w:rFonts w:eastAsia="Calibri" w:cs="Arial"/>
          <w:b/>
          <w:bCs/>
          <w:sz w:val="20"/>
          <w:szCs w:val="20"/>
        </w:rPr>
      </w:pPr>
    </w:p>
    <w:p w14:paraId="6B5C7A9A"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b/>
          <w:bCs/>
          <w:sz w:val="18"/>
          <w:szCs w:val="18"/>
        </w:rPr>
      </w:pPr>
      <w:r w:rsidRPr="00E10730">
        <w:rPr>
          <w:rFonts w:eastAsia="Calibri" w:cs="Arial"/>
          <w:b/>
          <w:bCs/>
          <w:sz w:val="18"/>
          <w:szCs w:val="18"/>
        </w:rPr>
        <w:t>Accounting Policy</w:t>
      </w:r>
    </w:p>
    <w:p w14:paraId="55D855E3"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u w:val="single"/>
        </w:rPr>
      </w:pPr>
      <w:r w:rsidRPr="00E10730">
        <w:rPr>
          <w:rFonts w:eastAsia="Calibri" w:cs="Arial"/>
          <w:sz w:val="18"/>
          <w:szCs w:val="18"/>
          <w:u w:val="single"/>
        </w:rPr>
        <w:t>Compensation</w:t>
      </w:r>
    </w:p>
    <w:p w14:paraId="6763CDB0"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 xml:space="preserve">The Agency has powers set out in the NDIS Act and the NDIS Compensation Rules to recover compensation settlements that have been made to participants in certain circumstances. This legislation and its interaction with general compensation law is highly complex. As a result, the Agency’s entitlement to, and the value of, compensation revenue cannot be reliably determined until the circumstances of each case are fully analysed. The legislation also provides the Agency with the option to apply a compensation reduction amount (CRA) to participant plans in lieu of recovering the compensation in a lump sum. Where the Agency elects to apply a CRA to a participant’s plan, a lower level of supports will be provided to the participant in future periods, resulting in a reduction in future participant plan expenses, rather than the recognition of compensation revenue. </w:t>
      </w:r>
    </w:p>
    <w:p w14:paraId="7AD6CC2D"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 xml:space="preserve">Compensation revenue is recognised when the delegate determines that a specified debt recovery amount is appropriate. </w:t>
      </w:r>
    </w:p>
    <w:p w14:paraId="1D63C220"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From time to time, some compensation debt recovery amounts are subject to the reviewable decisions under section 100 of the NDIS Act which result in partial or full refunds of the compensation receipts. If a refund is related to compensation receipts initially raised in a previous financial year, the amount is reported in Note 1.1E: Write-down and impairment of other assets, instead of a reversal of compensation receipts in Note 1.2C: Other Revenue.</w:t>
      </w:r>
    </w:p>
    <w:p w14:paraId="171B0F22"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Further discussion on the recognition and valuation of compensation recoveries is included in Section 4 Managing Uncertainties.</w:t>
      </w:r>
    </w:p>
    <w:tbl>
      <w:tblPr>
        <w:tblW w:w="0" w:type="auto"/>
        <w:tblBorders>
          <w:top w:val="single" w:sz="4" w:space="1" w:color="auto"/>
          <w:left w:val="single" w:sz="4" w:space="4" w:color="auto"/>
          <w:bottom w:val="single" w:sz="4" w:space="1" w:color="auto"/>
          <w:right w:val="single" w:sz="4" w:space="4" w:color="auto"/>
        </w:tblBorders>
        <w:tblLayout w:type="fixed"/>
        <w:tblLook w:val="0000" w:firstRow="0" w:lastRow="0" w:firstColumn="0" w:lastColumn="0" w:noHBand="0" w:noVBand="0"/>
      </w:tblPr>
      <w:tblGrid>
        <w:gridCol w:w="6541"/>
        <w:gridCol w:w="1273"/>
        <w:gridCol w:w="1273"/>
      </w:tblGrid>
      <w:tr w:rsidR="005C6008" w:rsidRPr="00E10730" w14:paraId="148A7969" w14:textId="77777777">
        <w:trPr>
          <w:trHeight w:val="253"/>
        </w:trPr>
        <w:tc>
          <w:tcPr>
            <w:tcW w:w="6541" w:type="dxa"/>
            <w:tcBorders>
              <w:top w:val="nil"/>
              <w:left w:val="nil"/>
              <w:bottom w:val="nil"/>
              <w:right w:val="nil"/>
            </w:tcBorders>
            <w:shd w:val="clear" w:color="FFFFFF" w:fill="FFFFFF"/>
            <w:vAlign w:val="bottom"/>
          </w:tcPr>
          <w:p w14:paraId="04204619"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652DF02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273" w:type="dxa"/>
            <w:tcBorders>
              <w:top w:val="nil"/>
              <w:left w:val="nil"/>
              <w:bottom w:val="nil"/>
              <w:right w:val="nil"/>
            </w:tcBorders>
            <w:shd w:val="clear" w:color="FFFFFF" w:fill="FFFFFF"/>
            <w:vAlign w:val="bottom"/>
          </w:tcPr>
          <w:p w14:paraId="2E6284B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r>
      <w:tr w:rsidR="005C6008" w:rsidRPr="00E10730" w14:paraId="72E94656" w14:textId="77777777">
        <w:tblPrEx>
          <w:tblBorders>
            <w:top w:val="none" w:sz="0" w:space="0" w:color="auto"/>
            <w:left w:val="none" w:sz="0" w:space="0" w:color="auto"/>
            <w:bottom w:val="none" w:sz="0" w:space="0" w:color="auto"/>
            <w:right w:val="none" w:sz="0" w:space="0" w:color="auto"/>
          </w:tblBorders>
        </w:tblPrEx>
        <w:trPr>
          <w:trHeight w:val="253"/>
        </w:trPr>
        <w:tc>
          <w:tcPr>
            <w:tcW w:w="6541" w:type="dxa"/>
            <w:tcBorders>
              <w:top w:val="nil"/>
              <w:left w:val="nil"/>
              <w:bottom w:val="nil"/>
              <w:right w:val="nil"/>
            </w:tcBorders>
            <w:shd w:val="clear" w:color="FFFFFF" w:fill="FFFFFF"/>
            <w:vAlign w:val="bottom"/>
          </w:tcPr>
          <w:p w14:paraId="1F608092"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5431293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273" w:type="dxa"/>
            <w:tcBorders>
              <w:top w:val="nil"/>
              <w:left w:val="nil"/>
              <w:bottom w:val="nil"/>
              <w:right w:val="nil"/>
            </w:tcBorders>
            <w:shd w:val="clear" w:color="FFFFFF" w:fill="FFFFFF"/>
            <w:vAlign w:val="bottom"/>
          </w:tcPr>
          <w:p w14:paraId="7D0639E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r>
      <w:tr w:rsidR="005C6008" w:rsidRPr="00E10730" w14:paraId="41D20DCE" w14:textId="77777777">
        <w:tblPrEx>
          <w:tblBorders>
            <w:top w:val="none" w:sz="0" w:space="0" w:color="auto"/>
            <w:left w:val="none" w:sz="0" w:space="0" w:color="auto"/>
            <w:bottom w:val="none" w:sz="0" w:space="0" w:color="auto"/>
            <w:right w:val="none" w:sz="0" w:space="0" w:color="auto"/>
          </w:tblBorders>
        </w:tblPrEx>
        <w:trPr>
          <w:trHeight w:val="253"/>
        </w:trPr>
        <w:tc>
          <w:tcPr>
            <w:tcW w:w="6541" w:type="dxa"/>
            <w:tcBorders>
              <w:top w:val="nil"/>
              <w:left w:val="nil"/>
              <w:bottom w:val="nil"/>
              <w:right w:val="nil"/>
            </w:tcBorders>
            <w:shd w:val="clear" w:color="FFFFFF" w:fill="FFFFFF"/>
            <w:vAlign w:val="bottom"/>
          </w:tcPr>
          <w:p w14:paraId="7A3C3A37"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1.2D: Other gains</w:t>
            </w:r>
          </w:p>
        </w:tc>
        <w:tc>
          <w:tcPr>
            <w:tcW w:w="1273" w:type="dxa"/>
            <w:tcBorders>
              <w:top w:val="nil"/>
              <w:left w:val="nil"/>
              <w:bottom w:val="nil"/>
              <w:right w:val="nil"/>
            </w:tcBorders>
            <w:shd w:val="clear" w:color="FFFFFF" w:fill="FFFFFF"/>
            <w:vAlign w:val="bottom"/>
          </w:tcPr>
          <w:p w14:paraId="73923C4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4C1E4F39"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5E257E2C" w14:textId="77777777">
        <w:tblPrEx>
          <w:tblBorders>
            <w:top w:val="none" w:sz="0" w:space="0" w:color="auto"/>
            <w:left w:val="none" w:sz="0" w:space="0" w:color="auto"/>
            <w:bottom w:val="none" w:sz="0" w:space="0" w:color="auto"/>
            <w:right w:val="none" w:sz="0" w:space="0" w:color="auto"/>
          </w:tblBorders>
        </w:tblPrEx>
        <w:trPr>
          <w:trHeight w:val="255"/>
        </w:trPr>
        <w:tc>
          <w:tcPr>
            <w:tcW w:w="6541" w:type="dxa"/>
            <w:tcBorders>
              <w:top w:val="nil"/>
              <w:left w:val="nil"/>
              <w:bottom w:val="nil"/>
              <w:right w:val="nil"/>
            </w:tcBorders>
            <w:shd w:val="clear" w:color="FFFFFF" w:fill="FFFFFF"/>
          </w:tcPr>
          <w:p w14:paraId="32687858"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Reversal/write back of provisions</w:t>
            </w:r>
          </w:p>
        </w:tc>
        <w:tc>
          <w:tcPr>
            <w:tcW w:w="1273" w:type="dxa"/>
            <w:tcBorders>
              <w:top w:val="nil"/>
              <w:left w:val="nil"/>
              <w:bottom w:val="nil"/>
              <w:right w:val="nil"/>
            </w:tcBorders>
            <w:shd w:val="clear" w:color="FFFFFF" w:fill="FFFFFF"/>
            <w:vAlign w:val="bottom"/>
          </w:tcPr>
          <w:p w14:paraId="6CDDA00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617</w:t>
            </w:r>
          </w:p>
        </w:tc>
        <w:tc>
          <w:tcPr>
            <w:tcW w:w="1273" w:type="dxa"/>
            <w:tcBorders>
              <w:top w:val="nil"/>
              <w:left w:val="nil"/>
              <w:bottom w:val="nil"/>
              <w:right w:val="nil"/>
            </w:tcBorders>
            <w:shd w:val="clear" w:color="FFFFFF" w:fill="FFFFFF"/>
            <w:vAlign w:val="bottom"/>
          </w:tcPr>
          <w:p w14:paraId="0D5056F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526</w:t>
            </w:r>
          </w:p>
        </w:tc>
      </w:tr>
      <w:tr w:rsidR="005C6008" w:rsidRPr="00E10730" w14:paraId="68CAB07D" w14:textId="77777777">
        <w:tblPrEx>
          <w:tblBorders>
            <w:top w:val="none" w:sz="0" w:space="0" w:color="auto"/>
            <w:left w:val="none" w:sz="0" w:space="0" w:color="auto"/>
            <w:bottom w:val="none" w:sz="0" w:space="0" w:color="auto"/>
            <w:right w:val="none" w:sz="0" w:space="0" w:color="auto"/>
          </w:tblBorders>
        </w:tblPrEx>
        <w:trPr>
          <w:trHeight w:val="253"/>
        </w:trPr>
        <w:tc>
          <w:tcPr>
            <w:tcW w:w="6541" w:type="dxa"/>
            <w:tcBorders>
              <w:top w:val="nil"/>
              <w:left w:val="nil"/>
              <w:bottom w:val="nil"/>
              <w:right w:val="nil"/>
            </w:tcBorders>
            <w:shd w:val="clear" w:color="FFFFFF" w:fill="FFFFFF"/>
          </w:tcPr>
          <w:p w14:paraId="5F665784"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Scheme payment cancellations</w:t>
            </w:r>
          </w:p>
        </w:tc>
        <w:tc>
          <w:tcPr>
            <w:tcW w:w="1273" w:type="dxa"/>
            <w:tcBorders>
              <w:top w:val="nil"/>
              <w:left w:val="nil"/>
              <w:bottom w:val="nil"/>
              <w:right w:val="nil"/>
            </w:tcBorders>
            <w:shd w:val="clear" w:color="FFFFFF" w:fill="FFFFFF"/>
            <w:vAlign w:val="bottom"/>
          </w:tcPr>
          <w:p w14:paraId="7438549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87,907</w:t>
            </w:r>
          </w:p>
        </w:tc>
        <w:tc>
          <w:tcPr>
            <w:tcW w:w="1273" w:type="dxa"/>
            <w:tcBorders>
              <w:top w:val="nil"/>
              <w:left w:val="nil"/>
              <w:bottom w:val="nil"/>
              <w:right w:val="nil"/>
            </w:tcBorders>
            <w:shd w:val="clear" w:color="FFFFFF" w:fill="FFFFFF"/>
            <w:vAlign w:val="bottom"/>
          </w:tcPr>
          <w:p w14:paraId="3013204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105,792</w:t>
            </w:r>
          </w:p>
        </w:tc>
      </w:tr>
      <w:tr w:rsidR="005C6008" w:rsidRPr="00E10730" w14:paraId="73F3992F" w14:textId="77777777">
        <w:tblPrEx>
          <w:tblBorders>
            <w:top w:val="none" w:sz="0" w:space="0" w:color="auto"/>
            <w:left w:val="none" w:sz="0" w:space="0" w:color="auto"/>
            <w:bottom w:val="none" w:sz="0" w:space="0" w:color="auto"/>
            <w:right w:val="none" w:sz="0" w:space="0" w:color="auto"/>
          </w:tblBorders>
        </w:tblPrEx>
        <w:trPr>
          <w:trHeight w:val="255"/>
        </w:trPr>
        <w:tc>
          <w:tcPr>
            <w:tcW w:w="6541" w:type="dxa"/>
            <w:tcBorders>
              <w:top w:val="nil"/>
              <w:left w:val="nil"/>
              <w:bottom w:val="nil"/>
              <w:right w:val="nil"/>
            </w:tcBorders>
            <w:shd w:val="clear" w:color="FFFFFF" w:fill="FFFFFF"/>
          </w:tcPr>
          <w:p w14:paraId="42E1A40B"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Other</w:t>
            </w:r>
          </w:p>
        </w:tc>
        <w:tc>
          <w:tcPr>
            <w:tcW w:w="1273" w:type="dxa"/>
            <w:tcBorders>
              <w:top w:val="nil"/>
              <w:left w:val="nil"/>
              <w:bottom w:val="nil"/>
              <w:right w:val="nil"/>
            </w:tcBorders>
            <w:shd w:val="clear" w:color="FFFFFF" w:fill="FFFFFF"/>
            <w:vAlign w:val="bottom"/>
          </w:tcPr>
          <w:p w14:paraId="655F24C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150</w:t>
            </w:r>
          </w:p>
        </w:tc>
        <w:tc>
          <w:tcPr>
            <w:tcW w:w="1273" w:type="dxa"/>
            <w:tcBorders>
              <w:top w:val="nil"/>
              <w:left w:val="nil"/>
              <w:bottom w:val="nil"/>
              <w:right w:val="nil"/>
            </w:tcBorders>
            <w:shd w:val="clear" w:color="FFFFFF" w:fill="FFFFFF"/>
            <w:vAlign w:val="bottom"/>
          </w:tcPr>
          <w:p w14:paraId="0E126D3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725</w:t>
            </w:r>
          </w:p>
        </w:tc>
      </w:tr>
      <w:tr w:rsidR="005C6008" w:rsidRPr="00E10730" w14:paraId="2D464EFC" w14:textId="77777777">
        <w:tblPrEx>
          <w:tblBorders>
            <w:top w:val="none" w:sz="0" w:space="0" w:color="auto"/>
            <w:left w:val="none" w:sz="0" w:space="0" w:color="auto"/>
            <w:bottom w:val="none" w:sz="0" w:space="0" w:color="auto"/>
            <w:right w:val="none" w:sz="0" w:space="0" w:color="auto"/>
          </w:tblBorders>
        </w:tblPrEx>
        <w:trPr>
          <w:trHeight w:val="253"/>
        </w:trPr>
        <w:tc>
          <w:tcPr>
            <w:tcW w:w="6541" w:type="dxa"/>
            <w:tcBorders>
              <w:top w:val="nil"/>
              <w:left w:val="nil"/>
              <w:bottom w:val="nil"/>
              <w:right w:val="nil"/>
            </w:tcBorders>
            <w:shd w:val="clear" w:color="FFFFFF" w:fill="FFFFFF"/>
            <w:vAlign w:val="bottom"/>
          </w:tcPr>
          <w:p w14:paraId="63489C9A"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gains</w:t>
            </w:r>
          </w:p>
        </w:tc>
        <w:tc>
          <w:tcPr>
            <w:tcW w:w="1273" w:type="dxa"/>
            <w:tcBorders>
              <w:top w:val="single" w:sz="4" w:space="0" w:color="auto"/>
              <w:left w:val="nil"/>
              <w:bottom w:val="single" w:sz="4" w:space="0" w:color="auto"/>
              <w:right w:val="nil"/>
            </w:tcBorders>
            <w:shd w:val="clear" w:color="FFFFFF" w:fill="FFFFFF"/>
            <w:vAlign w:val="bottom"/>
          </w:tcPr>
          <w:p w14:paraId="73ACBBF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88,674</w:t>
            </w:r>
          </w:p>
        </w:tc>
        <w:tc>
          <w:tcPr>
            <w:tcW w:w="1273" w:type="dxa"/>
            <w:tcBorders>
              <w:top w:val="single" w:sz="4" w:space="0" w:color="auto"/>
              <w:left w:val="nil"/>
              <w:bottom w:val="single" w:sz="4" w:space="0" w:color="auto"/>
              <w:right w:val="nil"/>
            </w:tcBorders>
            <w:shd w:val="clear" w:color="FFFFFF" w:fill="FFFFFF"/>
            <w:vAlign w:val="bottom"/>
          </w:tcPr>
          <w:p w14:paraId="44B34AB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107,043</w:t>
            </w:r>
          </w:p>
        </w:tc>
      </w:tr>
    </w:tbl>
    <w:p w14:paraId="7D50E0BA"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240" w:line="240" w:lineRule="auto"/>
        <w:rPr>
          <w:rFonts w:eastAsia="Calibri" w:cs="Arial"/>
          <w:b/>
          <w:bCs/>
          <w:sz w:val="18"/>
          <w:szCs w:val="18"/>
        </w:rPr>
      </w:pPr>
      <w:r w:rsidRPr="00E10730">
        <w:rPr>
          <w:rFonts w:eastAsia="Calibri" w:cs="Arial"/>
          <w:b/>
          <w:bCs/>
          <w:sz w:val="18"/>
          <w:szCs w:val="18"/>
        </w:rPr>
        <w:t>Accounting Policy</w:t>
      </w:r>
    </w:p>
    <w:p w14:paraId="22CA2ED7"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u w:val="single"/>
        </w:rPr>
      </w:pPr>
      <w:r w:rsidRPr="00E10730">
        <w:rPr>
          <w:rFonts w:eastAsia="Calibri" w:cs="Arial"/>
          <w:sz w:val="18"/>
          <w:szCs w:val="18"/>
          <w:u w:val="single"/>
        </w:rPr>
        <w:t>Revenue from Government</w:t>
      </w:r>
    </w:p>
    <w:p w14:paraId="4173BDE8"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Funding received from Commonwealth (received by the Agency as a corporate Commonwealth entity payment item) is recognised as Revenue from Government unless the funding is in the nature of an equity injection or a loan.</w:t>
      </w:r>
    </w:p>
    <w:p w14:paraId="104931EB"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Revenue from Government should be read in conjunction with the Statement of Comprehensive Income Budget Variances Commentary.</w:t>
      </w:r>
    </w:p>
    <w:p w14:paraId="630CC688" w14:textId="77777777" w:rsidR="005C6008" w:rsidRPr="00E10730" w:rsidRDefault="005C6008" w:rsidP="00115FA3">
      <w:pPr>
        <w:autoSpaceDE w:val="0"/>
        <w:autoSpaceDN w:val="0"/>
        <w:adjustRightInd w:val="0"/>
        <w:spacing w:after="0" w:line="240" w:lineRule="auto"/>
        <w:rPr>
          <w:rFonts w:eastAsia="Calibri" w:cs="Arial"/>
          <w:sz w:val="22"/>
          <w:szCs w:val="22"/>
        </w:rPr>
      </w:pPr>
      <w:r w:rsidRPr="00E10730">
        <w:rPr>
          <w:rFonts w:eastAsia="Calibri" w:cs="Arial"/>
          <w:sz w:val="22"/>
          <w:szCs w:val="22"/>
        </w:rPr>
        <w:br w:type="page"/>
      </w:r>
    </w:p>
    <w:p w14:paraId="7C293827"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National Disability Insurance Agency</w:t>
      </w:r>
    </w:p>
    <w:p w14:paraId="545C2DD2"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6F56C2A7" w14:textId="77777777" w:rsidR="005C6008" w:rsidRPr="00E10730" w:rsidRDefault="005C6008" w:rsidP="00115FA3">
      <w:pPr>
        <w:shd w:val="clear" w:color="auto" w:fill="800080"/>
        <w:autoSpaceDE w:val="0"/>
        <w:autoSpaceDN w:val="0"/>
        <w:adjustRightInd w:val="0"/>
        <w:spacing w:before="80" w:after="0" w:line="240" w:lineRule="auto"/>
        <w:ind w:left="360" w:hanging="360"/>
        <w:rPr>
          <w:rFonts w:eastAsia="Calibri" w:cs="Arial"/>
          <w:b/>
          <w:bCs/>
          <w:color w:val="FFFFFF"/>
        </w:rPr>
      </w:pPr>
      <w:r w:rsidRPr="00E10730">
        <w:rPr>
          <w:rFonts w:eastAsia="Calibri" w:cs="Arial"/>
          <w:b/>
          <w:bCs/>
        </w:rPr>
        <w:t>2.</w:t>
      </w:r>
      <w:r w:rsidRPr="00E10730">
        <w:rPr>
          <w:rFonts w:eastAsia="Calibri" w:cs="Arial"/>
          <w:b/>
          <w:bCs/>
        </w:rPr>
        <w:tab/>
      </w:r>
      <w:r w:rsidRPr="00E10730">
        <w:rPr>
          <w:rFonts w:eastAsia="Calibri" w:cs="Arial"/>
          <w:b/>
          <w:bCs/>
          <w:color w:val="FFFFFF"/>
        </w:rPr>
        <w:t>Financial Position</w:t>
      </w:r>
    </w:p>
    <w:p w14:paraId="6E767A0D" w14:textId="77777777" w:rsidR="005C6008" w:rsidRPr="00E10730" w:rsidRDefault="005C6008" w:rsidP="00115FA3">
      <w:pPr>
        <w:shd w:val="clear" w:color="auto" w:fill="800080"/>
        <w:autoSpaceDE w:val="0"/>
        <w:autoSpaceDN w:val="0"/>
        <w:adjustRightInd w:val="0"/>
        <w:spacing w:before="60" w:after="60" w:line="240" w:lineRule="auto"/>
        <w:rPr>
          <w:rFonts w:eastAsia="Calibri" w:cs="Arial"/>
          <w:color w:val="FFFFFF"/>
          <w:sz w:val="18"/>
          <w:szCs w:val="18"/>
        </w:rPr>
      </w:pPr>
      <w:r w:rsidRPr="00E10730">
        <w:rPr>
          <w:rFonts w:eastAsia="Calibri" w:cs="Arial"/>
          <w:color w:val="FFFFFF"/>
          <w:sz w:val="18"/>
          <w:szCs w:val="18"/>
        </w:rPr>
        <w:t>This section analyses the Agency’s assets used to conduct its operations and the operating liabilities incurred as a result.</w:t>
      </w:r>
    </w:p>
    <w:p w14:paraId="52352874" w14:textId="72402D77" w:rsidR="005C6008" w:rsidRPr="00E10730" w:rsidRDefault="005C6008" w:rsidP="00115FA3">
      <w:pPr>
        <w:shd w:val="clear" w:color="auto" w:fill="800080"/>
        <w:autoSpaceDE w:val="0"/>
        <w:autoSpaceDN w:val="0"/>
        <w:adjustRightInd w:val="0"/>
        <w:spacing w:before="60" w:after="60" w:line="240" w:lineRule="auto"/>
        <w:rPr>
          <w:rFonts w:eastAsia="Calibri" w:cs="Arial"/>
          <w:color w:val="FFFFFF"/>
          <w:sz w:val="18"/>
          <w:szCs w:val="18"/>
        </w:rPr>
      </w:pPr>
      <w:r w:rsidRPr="00E10730">
        <w:rPr>
          <w:rFonts w:eastAsia="Calibri" w:cs="Arial"/>
          <w:color w:val="FFFFFF"/>
          <w:sz w:val="18"/>
          <w:szCs w:val="18"/>
        </w:rPr>
        <w:t xml:space="preserve">Buildings and </w:t>
      </w:r>
      <w:r w:rsidR="00165505">
        <w:rPr>
          <w:rFonts w:eastAsia="Calibri" w:cs="Arial"/>
          <w:color w:val="FFFFFF"/>
          <w:sz w:val="18"/>
          <w:szCs w:val="18"/>
        </w:rPr>
        <w:t>p</w:t>
      </w:r>
      <w:r w:rsidRPr="00E10730">
        <w:rPr>
          <w:rFonts w:eastAsia="Calibri" w:cs="Arial"/>
          <w:color w:val="FFFFFF"/>
          <w:sz w:val="18"/>
          <w:szCs w:val="18"/>
        </w:rPr>
        <w:t xml:space="preserve">lant and equipment, other than right-of-use buildings and vehicles, are carried at fair value in accordance with AASB 13 </w:t>
      </w:r>
      <w:r w:rsidRPr="00E10730">
        <w:rPr>
          <w:rFonts w:eastAsia="Calibri" w:cs="Arial"/>
          <w:i/>
          <w:iCs/>
          <w:color w:val="FFFFFF"/>
          <w:sz w:val="18"/>
          <w:szCs w:val="18"/>
        </w:rPr>
        <w:t>Fair Value Measurement.</w:t>
      </w:r>
      <w:r w:rsidRPr="00E10730">
        <w:rPr>
          <w:rFonts w:eastAsia="Calibri" w:cs="Arial"/>
          <w:color w:val="FFFFFF"/>
          <w:sz w:val="18"/>
          <w:szCs w:val="18"/>
        </w:rPr>
        <w:t xml:space="preserve"> The remaining assets and liabilities disclosed in the statement of financial position do not apply the fair value hierarchy.</w:t>
      </w:r>
    </w:p>
    <w:p w14:paraId="5C5DBAFD" w14:textId="77777777" w:rsidR="005C6008" w:rsidRPr="00E10730" w:rsidRDefault="005C6008" w:rsidP="00115FA3">
      <w:pPr>
        <w:shd w:val="clear" w:color="auto" w:fill="800080"/>
        <w:autoSpaceDE w:val="0"/>
        <w:autoSpaceDN w:val="0"/>
        <w:adjustRightInd w:val="0"/>
        <w:spacing w:before="60" w:after="60" w:line="240" w:lineRule="auto"/>
        <w:rPr>
          <w:rFonts w:eastAsia="Calibri" w:cs="Arial"/>
          <w:color w:val="FFFFFF"/>
          <w:sz w:val="18"/>
          <w:szCs w:val="18"/>
        </w:rPr>
      </w:pPr>
      <w:r w:rsidRPr="00E10730">
        <w:rPr>
          <w:rFonts w:eastAsia="Calibri" w:cs="Arial"/>
          <w:color w:val="FFFFFF"/>
          <w:sz w:val="18"/>
          <w:szCs w:val="18"/>
        </w:rPr>
        <w:t>Employee related information is disclosed in Section 3. People and Relationships.</w:t>
      </w:r>
    </w:p>
    <w:p w14:paraId="12DB5561" w14:textId="77777777" w:rsidR="005C6008" w:rsidRPr="00E10730" w:rsidRDefault="005C6008" w:rsidP="00115FA3">
      <w:pPr>
        <w:shd w:val="clear" w:color="auto" w:fill="000000"/>
        <w:autoSpaceDE w:val="0"/>
        <w:autoSpaceDN w:val="0"/>
        <w:adjustRightInd w:val="0"/>
        <w:spacing w:after="0" w:line="240" w:lineRule="auto"/>
        <w:ind w:left="426" w:hanging="426"/>
        <w:rPr>
          <w:rFonts w:eastAsia="Calibri" w:cs="Arial"/>
          <w:b/>
          <w:bCs/>
          <w:color w:val="FFFFFF"/>
          <w:sz w:val="20"/>
          <w:szCs w:val="20"/>
        </w:rPr>
      </w:pPr>
      <w:r w:rsidRPr="00E10730">
        <w:rPr>
          <w:rFonts w:eastAsia="Calibri" w:cs="Arial"/>
          <w:b/>
          <w:bCs/>
          <w:color w:val="FFFFFF"/>
          <w:sz w:val="20"/>
          <w:szCs w:val="20"/>
        </w:rPr>
        <w:t>2.1.</w:t>
      </w:r>
      <w:r w:rsidRPr="00E10730">
        <w:rPr>
          <w:rFonts w:eastAsia="Calibri" w:cs="Arial"/>
          <w:b/>
          <w:bCs/>
          <w:color w:val="FFFFFF"/>
          <w:sz w:val="20"/>
          <w:szCs w:val="20"/>
        </w:rPr>
        <w:tab/>
        <w:t>Financial Assets</w:t>
      </w:r>
    </w:p>
    <w:tbl>
      <w:tblPr>
        <w:tblW w:w="0" w:type="auto"/>
        <w:tblLayout w:type="fixed"/>
        <w:tblLook w:val="0000" w:firstRow="0" w:lastRow="0" w:firstColumn="0" w:lastColumn="0" w:noHBand="0" w:noVBand="0"/>
      </w:tblPr>
      <w:tblGrid>
        <w:gridCol w:w="6541"/>
        <w:gridCol w:w="1273"/>
        <w:gridCol w:w="1273"/>
      </w:tblGrid>
      <w:tr w:rsidR="005C6008" w:rsidRPr="00E10730" w14:paraId="3BC15B9A" w14:textId="77777777">
        <w:trPr>
          <w:trHeight w:val="20"/>
        </w:trPr>
        <w:tc>
          <w:tcPr>
            <w:tcW w:w="6541" w:type="dxa"/>
            <w:tcBorders>
              <w:top w:val="nil"/>
              <w:left w:val="nil"/>
              <w:bottom w:val="nil"/>
              <w:right w:val="nil"/>
            </w:tcBorders>
            <w:shd w:val="clear" w:color="FFFFFF" w:fill="FFFFFF"/>
            <w:vAlign w:val="bottom"/>
          </w:tcPr>
          <w:p w14:paraId="03671913"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25398F2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273" w:type="dxa"/>
            <w:tcBorders>
              <w:top w:val="nil"/>
              <w:left w:val="nil"/>
              <w:bottom w:val="nil"/>
              <w:right w:val="nil"/>
            </w:tcBorders>
            <w:shd w:val="clear" w:color="FFFFFF" w:fill="FFFFFF"/>
            <w:vAlign w:val="bottom"/>
          </w:tcPr>
          <w:p w14:paraId="2C36575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r>
      <w:tr w:rsidR="005C6008" w:rsidRPr="00E10730" w14:paraId="7045352F" w14:textId="77777777">
        <w:trPr>
          <w:trHeight w:val="20"/>
        </w:trPr>
        <w:tc>
          <w:tcPr>
            <w:tcW w:w="6541" w:type="dxa"/>
            <w:tcBorders>
              <w:top w:val="nil"/>
              <w:left w:val="nil"/>
              <w:bottom w:val="nil"/>
              <w:right w:val="nil"/>
            </w:tcBorders>
            <w:shd w:val="clear" w:color="FFFFFF" w:fill="FFFFFF"/>
            <w:vAlign w:val="bottom"/>
          </w:tcPr>
          <w:p w14:paraId="03E4093A"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5E42A73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273" w:type="dxa"/>
            <w:tcBorders>
              <w:top w:val="nil"/>
              <w:left w:val="nil"/>
              <w:bottom w:val="nil"/>
              <w:right w:val="nil"/>
            </w:tcBorders>
            <w:shd w:val="clear" w:color="FFFFFF" w:fill="FFFFFF"/>
            <w:vAlign w:val="bottom"/>
          </w:tcPr>
          <w:p w14:paraId="3E16158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r>
      <w:tr w:rsidR="005C6008" w:rsidRPr="00E10730" w14:paraId="36967C05" w14:textId="77777777">
        <w:trPr>
          <w:trHeight w:val="20"/>
        </w:trPr>
        <w:tc>
          <w:tcPr>
            <w:tcW w:w="6541" w:type="dxa"/>
            <w:tcBorders>
              <w:top w:val="nil"/>
              <w:left w:val="nil"/>
              <w:bottom w:val="nil"/>
              <w:right w:val="nil"/>
            </w:tcBorders>
            <w:shd w:val="clear" w:color="FFFFFF" w:fill="FFFFFF"/>
            <w:vAlign w:val="bottom"/>
          </w:tcPr>
          <w:p w14:paraId="2A16350D"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2.1A: Cash and cash equivalents</w:t>
            </w:r>
          </w:p>
        </w:tc>
        <w:tc>
          <w:tcPr>
            <w:tcW w:w="1273" w:type="dxa"/>
            <w:tcBorders>
              <w:top w:val="nil"/>
              <w:left w:val="nil"/>
              <w:bottom w:val="nil"/>
              <w:right w:val="nil"/>
            </w:tcBorders>
            <w:shd w:val="clear" w:color="FFFFFF" w:fill="FFFFFF"/>
            <w:vAlign w:val="bottom"/>
          </w:tcPr>
          <w:p w14:paraId="30FDF9A2"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1A5E8163"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47E7B239" w14:textId="77777777">
        <w:trPr>
          <w:trHeight w:val="20"/>
        </w:trPr>
        <w:tc>
          <w:tcPr>
            <w:tcW w:w="6541" w:type="dxa"/>
            <w:tcBorders>
              <w:top w:val="nil"/>
              <w:left w:val="nil"/>
              <w:bottom w:val="nil"/>
              <w:right w:val="nil"/>
            </w:tcBorders>
            <w:shd w:val="clear" w:color="FFFFFF" w:fill="FFFFFF"/>
            <w:vAlign w:val="bottom"/>
          </w:tcPr>
          <w:p w14:paraId="4620A97A"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Cash on hand</w:t>
            </w:r>
          </w:p>
        </w:tc>
        <w:tc>
          <w:tcPr>
            <w:tcW w:w="1273" w:type="dxa"/>
            <w:tcBorders>
              <w:top w:val="nil"/>
              <w:left w:val="nil"/>
              <w:bottom w:val="nil"/>
              <w:right w:val="nil"/>
            </w:tcBorders>
            <w:shd w:val="clear" w:color="FFFFFF" w:fill="FFFFFF"/>
            <w:vAlign w:val="bottom"/>
          </w:tcPr>
          <w:p w14:paraId="6E12891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3,255,806</w:t>
            </w:r>
          </w:p>
        </w:tc>
        <w:tc>
          <w:tcPr>
            <w:tcW w:w="1273" w:type="dxa"/>
            <w:tcBorders>
              <w:top w:val="nil"/>
              <w:left w:val="nil"/>
              <w:bottom w:val="nil"/>
              <w:right w:val="nil"/>
            </w:tcBorders>
            <w:shd w:val="clear" w:color="FFFFFF" w:fill="FFFFFF"/>
            <w:vAlign w:val="bottom"/>
          </w:tcPr>
          <w:p w14:paraId="5822BE3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2,528,958</w:t>
            </w:r>
          </w:p>
        </w:tc>
      </w:tr>
      <w:tr w:rsidR="005C6008" w:rsidRPr="00E10730" w14:paraId="5DDC0F44" w14:textId="77777777">
        <w:trPr>
          <w:trHeight w:val="20"/>
        </w:trPr>
        <w:tc>
          <w:tcPr>
            <w:tcW w:w="6541" w:type="dxa"/>
            <w:tcBorders>
              <w:top w:val="nil"/>
              <w:left w:val="nil"/>
              <w:bottom w:val="nil"/>
              <w:right w:val="nil"/>
            </w:tcBorders>
            <w:shd w:val="clear" w:color="FFFFFF" w:fill="FFFFFF"/>
            <w:vAlign w:val="bottom"/>
          </w:tcPr>
          <w:p w14:paraId="1EAD0CAD"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Term deposits</w:t>
            </w:r>
          </w:p>
        </w:tc>
        <w:tc>
          <w:tcPr>
            <w:tcW w:w="1273" w:type="dxa"/>
            <w:tcBorders>
              <w:top w:val="nil"/>
              <w:left w:val="nil"/>
              <w:bottom w:val="nil"/>
              <w:right w:val="nil"/>
            </w:tcBorders>
            <w:shd w:val="clear" w:color="FFFFFF" w:fill="FFFFFF"/>
            <w:vAlign w:val="bottom"/>
          </w:tcPr>
          <w:p w14:paraId="6FCC05C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2,800,000</w:t>
            </w:r>
          </w:p>
        </w:tc>
        <w:tc>
          <w:tcPr>
            <w:tcW w:w="1273" w:type="dxa"/>
            <w:tcBorders>
              <w:top w:val="nil"/>
              <w:left w:val="nil"/>
              <w:bottom w:val="nil"/>
              <w:right w:val="nil"/>
            </w:tcBorders>
            <w:shd w:val="clear" w:color="FFFFFF" w:fill="FFFFFF"/>
            <w:vAlign w:val="bottom"/>
          </w:tcPr>
          <w:p w14:paraId="0105FD8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3,700,000</w:t>
            </w:r>
          </w:p>
        </w:tc>
      </w:tr>
      <w:tr w:rsidR="005C6008" w:rsidRPr="00E10730" w14:paraId="0B2CF916" w14:textId="77777777">
        <w:trPr>
          <w:trHeight w:val="20"/>
        </w:trPr>
        <w:tc>
          <w:tcPr>
            <w:tcW w:w="6541" w:type="dxa"/>
            <w:tcBorders>
              <w:top w:val="nil"/>
              <w:left w:val="nil"/>
              <w:bottom w:val="nil"/>
              <w:right w:val="nil"/>
            </w:tcBorders>
            <w:shd w:val="clear" w:color="FFFFFF" w:fill="FFFFFF"/>
            <w:vAlign w:val="bottom"/>
          </w:tcPr>
          <w:p w14:paraId="5E427AC5"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cash and cash equivalents</w:t>
            </w:r>
          </w:p>
        </w:tc>
        <w:tc>
          <w:tcPr>
            <w:tcW w:w="1273" w:type="dxa"/>
            <w:tcBorders>
              <w:top w:val="single" w:sz="4" w:space="0" w:color="auto"/>
              <w:left w:val="nil"/>
              <w:bottom w:val="single" w:sz="4" w:space="0" w:color="auto"/>
              <w:right w:val="nil"/>
            </w:tcBorders>
            <w:shd w:val="clear" w:color="FFFFFF" w:fill="FFFFFF"/>
            <w:vAlign w:val="bottom"/>
          </w:tcPr>
          <w:p w14:paraId="376CBF6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6,055,806</w:t>
            </w:r>
          </w:p>
        </w:tc>
        <w:tc>
          <w:tcPr>
            <w:tcW w:w="1273" w:type="dxa"/>
            <w:tcBorders>
              <w:top w:val="single" w:sz="4" w:space="0" w:color="auto"/>
              <w:left w:val="nil"/>
              <w:bottom w:val="single" w:sz="4" w:space="0" w:color="auto"/>
              <w:right w:val="nil"/>
            </w:tcBorders>
            <w:shd w:val="clear" w:color="FFFFFF" w:fill="FFFFFF"/>
            <w:vAlign w:val="bottom"/>
          </w:tcPr>
          <w:p w14:paraId="61F83C4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6,228,958</w:t>
            </w:r>
          </w:p>
        </w:tc>
      </w:tr>
    </w:tbl>
    <w:p w14:paraId="575C888C"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80" w:after="0" w:line="240" w:lineRule="auto"/>
        <w:rPr>
          <w:rFonts w:eastAsia="Calibri" w:cs="Arial"/>
          <w:b/>
          <w:bCs/>
        </w:rPr>
      </w:pPr>
      <w:r w:rsidRPr="00E10730">
        <w:rPr>
          <w:rFonts w:eastAsia="Calibri" w:cs="Arial"/>
          <w:b/>
          <w:bCs/>
          <w:sz w:val="18"/>
          <w:szCs w:val="18"/>
        </w:rPr>
        <w:t>Accounting Policy</w:t>
      </w:r>
    </w:p>
    <w:p w14:paraId="13EF4E9C" w14:textId="389CB9A5"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80" w:after="0" w:line="240" w:lineRule="auto"/>
        <w:rPr>
          <w:rFonts w:eastAsia="Calibri" w:cs="Arial"/>
          <w:sz w:val="18"/>
          <w:szCs w:val="18"/>
        </w:rPr>
      </w:pPr>
      <w:r w:rsidRPr="00E10730">
        <w:rPr>
          <w:rFonts w:eastAsia="Calibri" w:cs="Arial"/>
          <w:sz w:val="18"/>
          <w:szCs w:val="18"/>
        </w:rPr>
        <w:t xml:space="preserve">Cash is recognised at its nominal amount. This includes cash on hand and term deposits in bank accounts with an original maturity of one year or less that are readily convertible to cash and subject to insignificant risk of changes in value. Term deposits with an original maturity </w:t>
      </w:r>
      <w:r w:rsidR="0096383D" w:rsidRPr="00E10730">
        <w:rPr>
          <w:rFonts w:eastAsia="Calibri" w:cs="Arial"/>
          <w:sz w:val="18"/>
          <w:szCs w:val="18"/>
        </w:rPr>
        <w:t>of one year or less are classified as cash and cash equivalents.</w:t>
      </w:r>
    </w:p>
    <w:p w14:paraId="5EA771CA"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80" w:after="80" w:line="240" w:lineRule="auto"/>
        <w:rPr>
          <w:rFonts w:eastAsia="Calibri" w:cs="Arial"/>
          <w:sz w:val="18"/>
          <w:szCs w:val="18"/>
        </w:rPr>
      </w:pPr>
      <w:r w:rsidRPr="00E10730">
        <w:rPr>
          <w:rFonts w:eastAsia="Calibri" w:cs="Arial"/>
          <w:sz w:val="18"/>
          <w:szCs w:val="18"/>
        </w:rPr>
        <w:t xml:space="preserve">During the financial year the Agency invested $6,200m in term deposits and $7,100m of term deposits matured. </w:t>
      </w:r>
    </w:p>
    <w:tbl>
      <w:tblPr>
        <w:tblW w:w="0" w:type="auto"/>
        <w:tblBorders>
          <w:top w:val="single" w:sz="4" w:space="1" w:color="auto"/>
          <w:left w:val="single" w:sz="4" w:space="4" w:color="auto"/>
          <w:bottom w:val="single" w:sz="4" w:space="1" w:color="auto"/>
          <w:right w:val="single" w:sz="4" w:space="4" w:color="auto"/>
        </w:tblBorders>
        <w:tblLayout w:type="fixed"/>
        <w:tblLook w:val="0000" w:firstRow="0" w:lastRow="0" w:firstColumn="0" w:lastColumn="0" w:noHBand="0" w:noVBand="0"/>
      </w:tblPr>
      <w:tblGrid>
        <w:gridCol w:w="6541"/>
        <w:gridCol w:w="1273"/>
        <w:gridCol w:w="1273"/>
      </w:tblGrid>
      <w:tr w:rsidR="005C6008" w:rsidRPr="00E10730" w14:paraId="4E8D115C" w14:textId="77777777">
        <w:trPr>
          <w:trHeight w:val="20"/>
        </w:trPr>
        <w:tc>
          <w:tcPr>
            <w:tcW w:w="6541" w:type="dxa"/>
            <w:tcBorders>
              <w:top w:val="nil"/>
              <w:left w:val="nil"/>
              <w:bottom w:val="nil"/>
              <w:right w:val="nil"/>
            </w:tcBorders>
            <w:shd w:val="clear" w:color="FFFFFF" w:fill="FFFFFF"/>
            <w:vAlign w:val="bottom"/>
          </w:tcPr>
          <w:p w14:paraId="58C53849"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2.1B: Trade and other receivables</w:t>
            </w:r>
          </w:p>
        </w:tc>
        <w:tc>
          <w:tcPr>
            <w:tcW w:w="1273" w:type="dxa"/>
            <w:tcBorders>
              <w:top w:val="nil"/>
              <w:left w:val="nil"/>
              <w:bottom w:val="nil"/>
              <w:right w:val="nil"/>
            </w:tcBorders>
            <w:shd w:val="clear" w:color="FFFFFF" w:fill="FFFFFF"/>
            <w:vAlign w:val="bottom"/>
          </w:tcPr>
          <w:p w14:paraId="210D238F"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1019F307"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6D1E25B3"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14DFCAA5"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Goods and services receivables</w:t>
            </w:r>
          </w:p>
        </w:tc>
        <w:tc>
          <w:tcPr>
            <w:tcW w:w="1273" w:type="dxa"/>
            <w:tcBorders>
              <w:top w:val="nil"/>
              <w:left w:val="nil"/>
              <w:bottom w:val="nil"/>
              <w:right w:val="nil"/>
            </w:tcBorders>
            <w:shd w:val="clear" w:color="FFFFFF" w:fill="FFFFFF"/>
            <w:vAlign w:val="bottom"/>
          </w:tcPr>
          <w:p w14:paraId="686DD5B5"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58AC82AE"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007946AC"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389931B9"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Goods and services receivables</w:t>
            </w:r>
          </w:p>
        </w:tc>
        <w:tc>
          <w:tcPr>
            <w:tcW w:w="1273" w:type="dxa"/>
            <w:tcBorders>
              <w:top w:val="nil"/>
              <w:left w:val="nil"/>
              <w:bottom w:val="single" w:sz="4" w:space="0" w:color="auto"/>
              <w:right w:val="nil"/>
            </w:tcBorders>
            <w:shd w:val="clear" w:color="FFFFFF" w:fill="FFFFFF"/>
            <w:vAlign w:val="bottom"/>
          </w:tcPr>
          <w:p w14:paraId="68155D0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7,829</w:t>
            </w:r>
          </w:p>
        </w:tc>
        <w:tc>
          <w:tcPr>
            <w:tcW w:w="1273" w:type="dxa"/>
            <w:tcBorders>
              <w:top w:val="nil"/>
              <w:left w:val="nil"/>
              <w:bottom w:val="single" w:sz="4" w:space="0" w:color="auto"/>
              <w:right w:val="nil"/>
            </w:tcBorders>
            <w:shd w:val="clear" w:color="FFFFFF" w:fill="FFFFFF"/>
            <w:vAlign w:val="bottom"/>
          </w:tcPr>
          <w:p w14:paraId="169F833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9,075</w:t>
            </w:r>
          </w:p>
        </w:tc>
      </w:tr>
      <w:tr w:rsidR="005C6008" w:rsidRPr="00E10730" w14:paraId="70A8EF73"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4798F3B9"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goods and services receivables</w:t>
            </w:r>
          </w:p>
        </w:tc>
        <w:tc>
          <w:tcPr>
            <w:tcW w:w="1273" w:type="dxa"/>
            <w:tcBorders>
              <w:top w:val="single" w:sz="4" w:space="0" w:color="auto"/>
              <w:left w:val="nil"/>
              <w:bottom w:val="single" w:sz="4" w:space="0" w:color="auto"/>
              <w:right w:val="nil"/>
            </w:tcBorders>
            <w:shd w:val="clear" w:color="FFFFFF" w:fill="FFFFFF"/>
            <w:vAlign w:val="bottom"/>
          </w:tcPr>
          <w:p w14:paraId="51CAE5B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7,829</w:t>
            </w:r>
          </w:p>
        </w:tc>
        <w:tc>
          <w:tcPr>
            <w:tcW w:w="1273" w:type="dxa"/>
            <w:tcBorders>
              <w:top w:val="single" w:sz="4" w:space="0" w:color="auto"/>
              <w:left w:val="nil"/>
              <w:bottom w:val="single" w:sz="4" w:space="0" w:color="auto"/>
              <w:right w:val="nil"/>
            </w:tcBorders>
            <w:shd w:val="clear" w:color="FFFFFF" w:fill="FFFFFF"/>
            <w:vAlign w:val="bottom"/>
          </w:tcPr>
          <w:p w14:paraId="6FDC475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9,075</w:t>
            </w:r>
          </w:p>
        </w:tc>
      </w:tr>
      <w:tr w:rsidR="005C6008" w:rsidRPr="00E10730" w14:paraId="0CAA32A6"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1BF706E4"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Other receivables</w:t>
            </w:r>
          </w:p>
        </w:tc>
        <w:tc>
          <w:tcPr>
            <w:tcW w:w="1273" w:type="dxa"/>
            <w:tcBorders>
              <w:top w:val="nil"/>
              <w:left w:val="nil"/>
              <w:bottom w:val="nil"/>
              <w:right w:val="nil"/>
            </w:tcBorders>
            <w:shd w:val="clear" w:color="FFFFFF" w:fill="FFFFFF"/>
            <w:vAlign w:val="bottom"/>
          </w:tcPr>
          <w:p w14:paraId="6ED012E5"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3F71D2A1"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71103823"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7865BAB5"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GST receivable from the Australian Taxation Office</w:t>
            </w:r>
          </w:p>
        </w:tc>
        <w:tc>
          <w:tcPr>
            <w:tcW w:w="1273" w:type="dxa"/>
            <w:tcBorders>
              <w:top w:val="nil"/>
              <w:left w:val="nil"/>
              <w:bottom w:val="nil"/>
              <w:right w:val="nil"/>
            </w:tcBorders>
            <w:shd w:val="clear" w:color="FFFFFF" w:fill="FFFFFF"/>
            <w:vAlign w:val="bottom"/>
          </w:tcPr>
          <w:p w14:paraId="71B898A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15,968</w:t>
            </w:r>
          </w:p>
        </w:tc>
        <w:tc>
          <w:tcPr>
            <w:tcW w:w="1273" w:type="dxa"/>
            <w:tcBorders>
              <w:top w:val="nil"/>
              <w:left w:val="nil"/>
              <w:bottom w:val="nil"/>
              <w:right w:val="nil"/>
            </w:tcBorders>
            <w:shd w:val="clear" w:color="FFFFFF" w:fill="FFFFFF"/>
            <w:vAlign w:val="bottom"/>
          </w:tcPr>
          <w:p w14:paraId="51C4417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11,780</w:t>
            </w:r>
          </w:p>
        </w:tc>
      </w:tr>
      <w:tr w:rsidR="005C6008" w:rsidRPr="00E10730" w14:paraId="555DDF3D"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1646829D"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Pandemic plan provider receivables</w:t>
            </w:r>
            <w:r w:rsidRPr="00E10730">
              <w:rPr>
                <w:rFonts w:eastAsia="Calibri" w:cs="Arial"/>
                <w:sz w:val="18"/>
                <w:szCs w:val="18"/>
                <w:vertAlign w:val="superscript"/>
              </w:rPr>
              <w:t>1</w:t>
            </w:r>
          </w:p>
        </w:tc>
        <w:tc>
          <w:tcPr>
            <w:tcW w:w="1273" w:type="dxa"/>
            <w:tcBorders>
              <w:top w:val="nil"/>
              <w:left w:val="nil"/>
              <w:bottom w:val="nil"/>
              <w:right w:val="nil"/>
            </w:tcBorders>
            <w:shd w:val="clear" w:color="FFFFFF" w:fill="FFFFFF"/>
            <w:vAlign w:val="bottom"/>
          </w:tcPr>
          <w:p w14:paraId="2A0D8A1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346</w:t>
            </w:r>
          </w:p>
        </w:tc>
        <w:tc>
          <w:tcPr>
            <w:tcW w:w="1273" w:type="dxa"/>
            <w:tcBorders>
              <w:top w:val="nil"/>
              <w:left w:val="nil"/>
              <w:bottom w:val="nil"/>
              <w:right w:val="nil"/>
            </w:tcBorders>
            <w:shd w:val="clear" w:color="FFFFFF" w:fill="FFFFFF"/>
            <w:vAlign w:val="bottom"/>
          </w:tcPr>
          <w:p w14:paraId="6477720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348</w:t>
            </w:r>
          </w:p>
        </w:tc>
      </w:tr>
      <w:tr w:rsidR="005C6008" w:rsidRPr="00E10730" w14:paraId="193505AD"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0D4A148F"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Participant and other provider receivables</w:t>
            </w:r>
          </w:p>
        </w:tc>
        <w:tc>
          <w:tcPr>
            <w:tcW w:w="1273" w:type="dxa"/>
            <w:tcBorders>
              <w:top w:val="nil"/>
              <w:left w:val="nil"/>
              <w:bottom w:val="nil"/>
              <w:right w:val="nil"/>
            </w:tcBorders>
            <w:shd w:val="clear" w:color="FFFFFF" w:fill="FFFFFF"/>
            <w:vAlign w:val="bottom"/>
          </w:tcPr>
          <w:p w14:paraId="6E036CE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55,719</w:t>
            </w:r>
          </w:p>
        </w:tc>
        <w:tc>
          <w:tcPr>
            <w:tcW w:w="1273" w:type="dxa"/>
            <w:tcBorders>
              <w:top w:val="nil"/>
              <w:left w:val="nil"/>
              <w:bottom w:val="nil"/>
              <w:right w:val="nil"/>
            </w:tcBorders>
            <w:shd w:val="clear" w:color="FFFFFF" w:fill="FFFFFF"/>
            <w:vAlign w:val="bottom"/>
          </w:tcPr>
          <w:p w14:paraId="14764B5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74,885</w:t>
            </w:r>
          </w:p>
        </w:tc>
      </w:tr>
      <w:tr w:rsidR="005C6008" w:rsidRPr="00E10730" w14:paraId="5B8E3E13"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222772C0"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Other</w:t>
            </w:r>
          </w:p>
        </w:tc>
        <w:tc>
          <w:tcPr>
            <w:tcW w:w="1273" w:type="dxa"/>
            <w:tcBorders>
              <w:top w:val="nil"/>
              <w:left w:val="nil"/>
              <w:bottom w:val="nil"/>
              <w:right w:val="nil"/>
            </w:tcBorders>
            <w:shd w:val="clear" w:color="FFFFFF" w:fill="FFFFFF"/>
            <w:vAlign w:val="bottom"/>
          </w:tcPr>
          <w:p w14:paraId="5E69EC5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33,269</w:t>
            </w:r>
          </w:p>
        </w:tc>
        <w:tc>
          <w:tcPr>
            <w:tcW w:w="1273" w:type="dxa"/>
            <w:tcBorders>
              <w:top w:val="nil"/>
              <w:left w:val="nil"/>
              <w:bottom w:val="nil"/>
              <w:right w:val="nil"/>
            </w:tcBorders>
            <w:shd w:val="clear" w:color="FFFFFF" w:fill="FFFFFF"/>
            <w:vAlign w:val="bottom"/>
          </w:tcPr>
          <w:p w14:paraId="209DA9F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35,142</w:t>
            </w:r>
          </w:p>
        </w:tc>
      </w:tr>
      <w:tr w:rsidR="005C6008" w:rsidRPr="00E10730" w14:paraId="59D1CBB3"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7AF03478"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other receivables</w:t>
            </w:r>
          </w:p>
        </w:tc>
        <w:tc>
          <w:tcPr>
            <w:tcW w:w="1273" w:type="dxa"/>
            <w:tcBorders>
              <w:top w:val="single" w:sz="4" w:space="0" w:color="auto"/>
              <w:left w:val="nil"/>
              <w:bottom w:val="single" w:sz="4" w:space="0" w:color="auto"/>
              <w:right w:val="nil"/>
            </w:tcBorders>
            <w:shd w:val="clear" w:color="FFFFFF" w:fill="FFFFFF"/>
            <w:vAlign w:val="bottom"/>
          </w:tcPr>
          <w:p w14:paraId="6C19CA1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105,302</w:t>
            </w:r>
          </w:p>
        </w:tc>
        <w:tc>
          <w:tcPr>
            <w:tcW w:w="1273" w:type="dxa"/>
            <w:tcBorders>
              <w:top w:val="single" w:sz="4" w:space="0" w:color="auto"/>
              <w:left w:val="nil"/>
              <w:bottom w:val="single" w:sz="4" w:space="0" w:color="auto"/>
              <w:right w:val="nil"/>
            </w:tcBorders>
            <w:shd w:val="clear" w:color="FFFFFF" w:fill="FFFFFF"/>
            <w:vAlign w:val="bottom"/>
          </w:tcPr>
          <w:p w14:paraId="3469CC5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122,155</w:t>
            </w:r>
          </w:p>
        </w:tc>
      </w:tr>
      <w:tr w:rsidR="005C6008" w:rsidRPr="00E10730" w14:paraId="76B110A6"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6080698B"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trade and other receivables (gross)</w:t>
            </w:r>
          </w:p>
        </w:tc>
        <w:tc>
          <w:tcPr>
            <w:tcW w:w="1273" w:type="dxa"/>
            <w:tcBorders>
              <w:top w:val="nil"/>
              <w:left w:val="nil"/>
              <w:bottom w:val="single" w:sz="4" w:space="0" w:color="auto"/>
              <w:right w:val="nil"/>
            </w:tcBorders>
            <w:shd w:val="clear" w:color="FFFFFF" w:fill="FFFFFF"/>
            <w:vAlign w:val="bottom"/>
          </w:tcPr>
          <w:p w14:paraId="395DD95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113,131</w:t>
            </w:r>
          </w:p>
        </w:tc>
        <w:tc>
          <w:tcPr>
            <w:tcW w:w="1273" w:type="dxa"/>
            <w:tcBorders>
              <w:top w:val="nil"/>
              <w:left w:val="nil"/>
              <w:bottom w:val="single" w:sz="4" w:space="0" w:color="auto"/>
              <w:right w:val="nil"/>
            </w:tcBorders>
            <w:shd w:val="clear" w:color="FFFFFF" w:fill="FFFFFF"/>
            <w:vAlign w:val="bottom"/>
          </w:tcPr>
          <w:p w14:paraId="6067519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131,230</w:t>
            </w:r>
          </w:p>
        </w:tc>
      </w:tr>
      <w:tr w:rsidR="005C6008" w:rsidRPr="00E10730" w14:paraId="4BDCAF14"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01D89C81"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273" w:type="dxa"/>
            <w:tcBorders>
              <w:top w:val="nil"/>
              <w:left w:val="nil"/>
              <w:bottom w:val="nil"/>
              <w:right w:val="nil"/>
            </w:tcBorders>
            <w:shd w:val="clear" w:color="FFFFFF" w:fill="FFFFFF"/>
            <w:vAlign w:val="bottom"/>
          </w:tcPr>
          <w:p w14:paraId="6DF8BF6D"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c>
          <w:tcPr>
            <w:tcW w:w="1273" w:type="dxa"/>
            <w:tcBorders>
              <w:top w:val="nil"/>
              <w:left w:val="nil"/>
              <w:bottom w:val="nil"/>
              <w:right w:val="nil"/>
            </w:tcBorders>
            <w:shd w:val="clear" w:color="FFFFFF" w:fill="FFFFFF"/>
            <w:vAlign w:val="bottom"/>
          </w:tcPr>
          <w:p w14:paraId="7AD4AC23" w14:textId="77777777" w:rsidR="005C6008" w:rsidRPr="00E10730" w:rsidRDefault="005C6008" w:rsidP="00115FA3">
            <w:pPr>
              <w:autoSpaceDE w:val="0"/>
              <w:autoSpaceDN w:val="0"/>
              <w:adjustRightInd w:val="0"/>
              <w:spacing w:after="0" w:line="240" w:lineRule="auto"/>
              <w:rPr>
                <w:rFonts w:eastAsia="Calibri" w:cs="Arial"/>
                <w:color w:val="FFFFFF"/>
                <w:sz w:val="12"/>
                <w:szCs w:val="12"/>
              </w:rPr>
            </w:pPr>
            <w:r w:rsidRPr="00E10730">
              <w:rPr>
                <w:rFonts w:eastAsia="Calibri" w:cs="Arial"/>
                <w:color w:val="FFFFFF"/>
                <w:sz w:val="12"/>
                <w:szCs w:val="12"/>
              </w:rPr>
              <w:t>-</w:t>
            </w:r>
          </w:p>
        </w:tc>
      </w:tr>
      <w:tr w:rsidR="005C6008" w:rsidRPr="00E10730" w14:paraId="25A4D975"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6C356F8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Less expected credit loss allowance</w:t>
            </w:r>
            <w:r w:rsidRPr="00E10730">
              <w:rPr>
                <w:rFonts w:eastAsia="Calibri" w:cs="Arial"/>
                <w:b/>
                <w:bCs/>
                <w:sz w:val="18"/>
                <w:szCs w:val="18"/>
                <w:vertAlign w:val="superscript"/>
              </w:rPr>
              <w:t>2</w:t>
            </w:r>
          </w:p>
        </w:tc>
        <w:tc>
          <w:tcPr>
            <w:tcW w:w="1273" w:type="dxa"/>
            <w:tcBorders>
              <w:top w:val="nil"/>
              <w:left w:val="nil"/>
              <w:bottom w:val="nil"/>
              <w:right w:val="nil"/>
            </w:tcBorders>
            <w:shd w:val="clear" w:color="FFFFFF" w:fill="FFFFFF"/>
            <w:vAlign w:val="bottom"/>
          </w:tcPr>
          <w:p w14:paraId="59055388"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3C62640B"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13FF7316"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403720B7"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Participant and other provider receivables</w:t>
            </w:r>
          </w:p>
        </w:tc>
        <w:tc>
          <w:tcPr>
            <w:tcW w:w="1273" w:type="dxa"/>
            <w:tcBorders>
              <w:top w:val="nil"/>
              <w:left w:val="nil"/>
              <w:bottom w:val="nil"/>
              <w:right w:val="nil"/>
            </w:tcBorders>
            <w:shd w:val="clear" w:color="FFFFFF" w:fill="FFFFFF"/>
            <w:vAlign w:val="bottom"/>
          </w:tcPr>
          <w:p w14:paraId="1DEEE3B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26,299</w:t>
            </w:r>
          </w:p>
        </w:tc>
        <w:tc>
          <w:tcPr>
            <w:tcW w:w="1273" w:type="dxa"/>
            <w:tcBorders>
              <w:top w:val="nil"/>
              <w:left w:val="nil"/>
              <w:bottom w:val="nil"/>
              <w:right w:val="nil"/>
            </w:tcBorders>
            <w:shd w:val="clear" w:color="FFFFFF" w:fill="FFFFFF"/>
            <w:vAlign w:val="bottom"/>
          </w:tcPr>
          <w:p w14:paraId="70A20DF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22,149</w:t>
            </w:r>
          </w:p>
        </w:tc>
      </w:tr>
      <w:tr w:rsidR="005C6008" w:rsidRPr="00E10730" w14:paraId="66A68140"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49EED441"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Other receivables</w:t>
            </w:r>
          </w:p>
        </w:tc>
        <w:tc>
          <w:tcPr>
            <w:tcW w:w="1273" w:type="dxa"/>
            <w:tcBorders>
              <w:top w:val="nil"/>
              <w:left w:val="nil"/>
              <w:bottom w:val="nil"/>
              <w:right w:val="nil"/>
            </w:tcBorders>
            <w:shd w:val="clear" w:color="FFFFFF" w:fill="FFFFFF"/>
            <w:vAlign w:val="bottom"/>
          </w:tcPr>
          <w:p w14:paraId="6A51A37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150</w:t>
            </w:r>
          </w:p>
        </w:tc>
        <w:tc>
          <w:tcPr>
            <w:tcW w:w="1273" w:type="dxa"/>
            <w:tcBorders>
              <w:top w:val="nil"/>
              <w:left w:val="nil"/>
              <w:bottom w:val="nil"/>
              <w:right w:val="nil"/>
            </w:tcBorders>
            <w:shd w:val="clear" w:color="FFFFFF" w:fill="FFFFFF"/>
            <w:vAlign w:val="bottom"/>
          </w:tcPr>
          <w:p w14:paraId="58F914F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206</w:t>
            </w:r>
          </w:p>
        </w:tc>
      </w:tr>
      <w:tr w:rsidR="005C6008" w:rsidRPr="00E10730" w14:paraId="0109C71B"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1CB96A90"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Pandemic plan provider receivables</w:t>
            </w:r>
            <w:r w:rsidRPr="00E10730">
              <w:rPr>
                <w:rFonts w:eastAsia="Calibri" w:cs="Arial"/>
                <w:sz w:val="18"/>
                <w:szCs w:val="18"/>
                <w:vertAlign w:val="superscript"/>
              </w:rPr>
              <w:t>1</w:t>
            </w:r>
          </w:p>
        </w:tc>
        <w:tc>
          <w:tcPr>
            <w:tcW w:w="1273" w:type="dxa"/>
            <w:tcBorders>
              <w:top w:val="nil"/>
              <w:left w:val="nil"/>
              <w:bottom w:val="nil"/>
              <w:right w:val="nil"/>
            </w:tcBorders>
            <w:shd w:val="clear" w:color="FFFFFF" w:fill="FFFFFF"/>
            <w:vAlign w:val="bottom"/>
          </w:tcPr>
          <w:p w14:paraId="1039E8E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346</w:t>
            </w:r>
          </w:p>
        </w:tc>
        <w:tc>
          <w:tcPr>
            <w:tcW w:w="1273" w:type="dxa"/>
            <w:tcBorders>
              <w:top w:val="nil"/>
              <w:left w:val="nil"/>
              <w:bottom w:val="nil"/>
              <w:right w:val="nil"/>
            </w:tcBorders>
            <w:shd w:val="clear" w:color="FFFFFF" w:fill="FFFFFF"/>
            <w:vAlign w:val="bottom"/>
          </w:tcPr>
          <w:p w14:paraId="18A8066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348</w:t>
            </w:r>
          </w:p>
        </w:tc>
      </w:tr>
      <w:tr w:rsidR="005C6008" w:rsidRPr="00E10730" w14:paraId="0BBC093C"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6F2800B1"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expected credit loss allowance</w:t>
            </w:r>
          </w:p>
        </w:tc>
        <w:tc>
          <w:tcPr>
            <w:tcW w:w="1273" w:type="dxa"/>
            <w:tcBorders>
              <w:top w:val="single" w:sz="4" w:space="0" w:color="auto"/>
              <w:left w:val="nil"/>
              <w:bottom w:val="single" w:sz="4" w:space="0" w:color="auto"/>
              <w:right w:val="nil"/>
            </w:tcBorders>
            <w:shd w:val="clear" w:color="FFFFFF" w:fill="FFFFFF"/>
            <w:vAlign w:val="bottom"/>
          </w:tcPr>
          <w:p w14:paraId="6CAF74B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26,795</w:t>
            </w:r>
          </w:p>
        </w:tc>
        <w:tc>
          <w:tcPr>
            <w:tcW w:w="1273" w:type="dxa"/>
            <w:tcBorders>
              <w:top w:val="single" w:sz="4" w:space="0" w:color="auto"/>
              <w:left w:val="nil"/>
              <w:bottom w:val="single" w:sz="4" w:space="0" w:color="auto"/>
              <w:right w:val="nil"/>
            </w:tcBorders>
            <w:shd w:val="clear" w:color="FFFFFF" w:fill="FFFFFF"/>
            <w:vAlign w:val="bottom"/>
          </w:tcPr>
          <w:p w14:paraId="221E9EB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22,703</w:t>
            </w:r>
          </w:p>
        </w:tc>
      </w:tr>
      <w:tr w:rsidR="005C6008" w:rsidRPr="00E10730" w14:paraId="35342D33" w14:textId="77777777">
        <w:tblPrEx>
          <w:tblBorders>
            <w:top w:val="none" w:sz="0" w:space="0" w:color="auto"/>
            <w:left w:val="none" w:sz="0" w:space="0" w:color="auto"/>
            <w:bottom w:val="none" w:sz="0" w:space="0" w:color="auto"/>
            <w:right w:val="none" w:sz="0" w:space="0" w:color="auto"/>
          </w:tblBorders>
        </w:tblPrEx>
        <w:trPr>
          <w:trHeight w:val="20"/>
        </w:trPr>
        <w:tc>
          <w:tcPr>
            <w:tcW w:w="6541" w:type="dxa"/>
            <w:tcBorders>
              <w:top w:val="nil"/>
              <w:left w:val="nil"/>
              <w:bottom w:val="nil"/>
              <w:right w:val="nil"/>
            </w:tcBorders>
            <w:shd w:val="clear" w:color="FFFFFF" w:fill="FFFFFF"/>
            <w:vAlign w:val="bottom"/>
          </w:tcPr>
          <w:p w14:paraId="47BAF719"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trade and other receivables (net)</w:t>
            </w:r>
          </w:p>
        </w:tc>
        <w:tc>
          <w:tcPr>
            <w:tcW w:w="1273" w:type="dxa"/>
            <w:tcBorders>
              <w:top w:val="nil"/>
              <w:left w:val="nil"/>
              <w:bottom w:val="single" w:sz="4" w:space="0" w:color="auto"/>
              <w:right w:val="nil"/>
            </w:tcBorders>
            <w:shd w:val="clear" w:color="FFFFFF" w:fill="FFFFFF"/>
            <w:vAlign w:val="bottom"/>
          </w:tcPr>
          <w:p w14:paraId="6AA64BA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86,336</w:t>
            </w:r>
          </w:p>
        </w:tc>
        <w:tc>
          <w:tcPr>
            <w:tcW w:w="1273" w:type="dxa"/>
            <w:tcBorders>
              <w:top w:val="nil"/>
              <w:left w:val="nil"/>
              <w:bottom w:val="single" w:sz="4" w:space="0" w:color="auto"/>
              <w:right w:val="nil"/>
            </w:tcBorders>
            <w:shd w:val="clear" w:color="FFFFFF" w:fill="FFFFFF"/>
            <w:vAlign w:val="bottom"/>
          </w:tcPr>
          <w:p w14:paraId="08B224A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108,527</w:t>
            </w:r>
          </w:p>
        </w:tc>
      </w:tr>
    </w:tbl>
    <w:p w14:paraId="2DB6C8E8" w14:textId="59B8738F" w:rsidR="005C6008" w:rsidRPr="00E10730" w:rsidRDefault="005C6008" w:rsidP="00A5015B">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During 2025</w:t>
      </w:r>
      <w:r w:rsidR="000E3D18" w:rsidRPr="00E10730">
        <w:rPr>
          <w:rFonts w:eastAsia="Calibri" w:cs="Arial"/>
          <w:sz w:val="18"/>
          <w:szCs w:val="18"/>
        </w:rPr>
        <w:t>–</w:t>
      </w:r>
      <w:r w:rsidRPr="00E10730">
        <w:rPr>
          <w:rFonts w:eastAsia="Calibri" w:cs="Arial"/>
          <w:sz w:val="18"/>
          <w:szCs w:val="18"/>
        </w:rPr>
        <w:t>26 credit terms for goods and services were within 28 days (2025: 28 days).</w:t>
      </w:r>
    </w:p>
    <w:p w14:paraId="58463BC7" w14:textId="796C26D8" w:rsidR="005C6008" w:rsidRPr="00E10730" w:rsidRDefault="005C6008" w:rsidP="00A5015B">
      <w:pPr>
        <w:autoSpaceDE w:val="0"/>
        <w:autoSpaceDN w:val="0"/>
        <w:adjustRightInd w:val="0"/>
        <w:spacing w:before="120" w:after="0" w:line="240" w:lineRule="auto"/>
        <w:ind w:left="142" w:hanging="142"/>
        <w:rPr>
          <w:rFonts w:eastAsia="Calibri" w:cs="Arial"/>
          <w:sz w:val="18"/>
          <w:szCs w:val="18"/>
        </w:rPr>
      </w:pPr>
      <w:r w:rsidRPr="00E10730">
        <w:rPr>
          <w:rFonts w:eastAsia="Calibri" w:cs="Arial"/>
          <w:sz w:val="18"/>
          <w:szCs w:val="18"/>
          <w:vertAlign w:val="superscript"/>
        </w:rPr>
        <w:t>1</w:t>
      </w:r>
      <w:r w:rsidRPr="00E10730">
        <w:rPr>
          <w:rFonts w:eastAsia="Calibri" w:cs="Arial"/>
          <w:sz w:val="18"/>
          <w:szCs w:val="18"/>
        </w:rPr>
        <w:t xml:space="preserve"> Pandemic plan provider receivables represent optional advances made by the Agency to eligible registered providers to assist with cash flow and continuity of supports during the COVID</w:t>
      </w:r>
      <w:r w:rsidR="000E3D18" w:rsidRPr="00E10730">
        <w:rPr>
          <w:rFonts w:eastAsia="Calibri" w:cs="Arial"/>
          <w:sz w:val="18"/>
          <w:szCs w:val="18"/>
        </w:rPr>
        <w:t>–</w:t>
      </w:r>
      <w:r w:rsidRPr="00E10730">
        <w:rPr>
          <w:rFonts w:eastAsia="Calibri" w:cs="Arial"/>
          <w:sz w:val="18"/>
          <w:szCs w:val="18"/>
        </w:rPr>
        <w:t xml:space="preserve">19 pandemic. </w:t>
      </w:r>
    </w:p>
    <w:p w14:paraId="197036C9" w14:textId="77777777" w:rsidR="005C6008" w:rsidRPr="00E10730" w:rsidRDefault="005C6008" w:rsidP="00A5015B">
      <w:pPr>
        <w:autoSpaceDE w:val="0"/>
        <w:autoSpaceDN w:val="0"/>
        <w:adjustRightInd w:val="0"/>
        <w:spacing w:before="120" w:after="0" w:line="240" w:lineRule="auto"/>
        <w:ind w:left="142" w:hanging="142"/>
        <w:rPr>
          <w:rFonts w:eastAsia="Calibri" w:cs="Arial"/>
          <w:sz w:val="18"/>
          <w:szCs w:val="18"/>
        </w:rPr>
      </w:pPr>
      <w:r w:rsidRPr="00E10730">
        <w:rPr>
          <w:rFonts w:eastAsia="Calibri" w:cs="Arial"/>
          <w:sz w:val="18"/>
          <w:szCs w:val="18"/>
          <w:vertAlign w:val="superscript"/>
        </w:rPr>
        <w:t>2</w:t>
      </w:r>
      <w:r w:rsidRPr="00E10730">
        <w:rPr>
          <w:rFonts w:eastAsia="Calibri" w:cs="Arial"/>
          <w:sz w:val="18"/>
          <w:szCs w:val="18"/>
        </w:rPr>
        <w:t xml:space="preserve"> Refer to the Impairment of financial assets section as part of the Accounting Policy Note 4.2. </w:t>
      </w:r>
    </w:p>
    <w:p w14:paraId="00F2694E"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80" w:after="0" w:line="240" w:lineRule="auto"/>
        <w:rPr>
          <w:rFonts w:eastAsia="Calibri" w:cs="Arial"/>
          <w:b/>
          <w:bCs/>
          <w:sz w:val="18"/>
          <w:szCs w:val="18"/>
        </w:rPr>
      </w:pPr>
      <w:r w:rsidRPr="00E10730">
        <w:rPr>
          <w:rFonts w:eastAsia="Calibri" w:cs="Arial"/>
          <w:b/>
          <w:bCs/>
          <w:sz w:val="18"/>
          <w:szCs w:val="18"/>
        </w:rPr>
        <w:t xml:space="preserve">Accounting Policy </w:t>
      </w:r>
    </w:p>
    <w:p w14:paraId="6EBE9639"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80" w:after="80" w:line="240" w:lineRule="auto"/>
        <w:rPr>
          <w:rFonts w:eastAsia="Calibri" w:cs="Arial"/>
          <w:sz w:val="18"/>
          <w:szCs w:val="18"/>
        </w:rPr>
      </w:pPr>
      <w:r w:rsidRPr="00E10730">
        <w:rPr>
          <w:rFonts w:eastAsia="Calibri" w:cs="Arial"/>
          <w:sz w:val="18"/>
          <w:szCs w:val="18"/>
        </w:rPr>
        <w:t>Receivables for goods and services, which have 28-day terms, are recognised at the nominal amounts due less any expected credit loss allowance account. Collectability of debts is reviewed at end of the reporting period. Allowances are made when collectability of the debt is no longer probable.</w:t>
      </w:r>
    </w:p>
    <w:p w14:paraId="69B86CAC" w14:textId="77777777" w:rsidR="00AF4CE4" w:rsidRPr="00E10730" w:rsidRDefault="00AF4CE4">
      <w:pPr>
        <w:spacing w:before="120" w:line="288" w:lineRule="auto"/>
        <w:rPr>
          <w:rFonts w:eastAsia="Calibri" w:cs="Arial"/>
          <w:b/>
          <w:bCs/>
        </w:rPr>
      </w:pPr>
      <w:r w:rsidRPr="00E10730">
        <w:rPr>
          <w:rFonts w:eastAsia="Calibri" w:cs="Arial"/>
          <w:b/>
          <w:bCs/>
        </w:rPr>
        <w:br w:type="page"/>
      </w:r>
    </w:p>
    <w:p w14:paraId="262354FE" w14:textId="1E48CBA0"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National Disability Insurance Agency</w:t>
      </w:r>
    </w:p>
    <w:p w14:paraId="34804E6B"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394D36EA" w14:textId="77777777" w:rsidR="005C6008" w:rsidRPr="00E10730" w:rsidRDefault="005C6008" w:rsidP="0035495B">
      <w:pPr>
        <w:shd w:val="clear" w:color="auto" w:fill="000000"/>
        <w:autoSpaceDE w:val="0"/>
        <w:autoSpaceDN w:val="0"/>
        <w:adjustRightInd w:val="0"/>
        <w:spacing w:before="240" w:after="0" w:line="240" w:lineRule="auto"/>
        <w:ind w:left="425" w:right="28" w:hanging="425"/>
        <w:rPr>
          <w:rFonts w:eastAsia="Calibri" w:cs="Arial"/>
          <w:b/>
          <w:bCs/>
          <w:color w:val="FFFFFF"/>
          <w:sz w:val="20"/>
          <w:szCs w:val="20"/>
        </w:rPr>
      </w:pPr>
      <w:r w:rsidRPr="00E10730">
        <w:rPr>
          <w:rFonts w:eastAsia="Calibri" w:cs="Arial"/>
          <w:b/>
          <w:bCs/>
          <w:color w:val="FFFFFF"/>
          <w:sz w:val="20"/>
          <w:szCs w:val="20"/>
        </w:rPr>
        <w:t>2.2.</w:t>
      </w:r>
      <w:r w:rsidRPr="00E10730">
        <w:rPr>
          <w:rFonts w:eastAsia="Calibri" w:cs="Arial"/>
          <w:b/>
          <w:bCs/>
          <w:color w:val="FFFFFF"/>
          <w:sz w:val="20"/>
          <w:szCs w:val="20"/>
        </w:rPr>
        <w:tab/>
        <w:t>Non-Financial Assets</w:t>
      </w:r>
    </w:p>
    <w:tbl>
      <w:tblPr>
        <w:tblW w:w="9071" w:type="dxa"/>
        <w:tblLayout w:type="fixed"/>
        <w:tblCellMar>
          <w:left w:w="57" w:type="dxa"/>
          <w:right w:w="57" w:type="dxa"/>
        </w:tblCellMar>
        <w:tblLook w:val="0000" w:firstRow="0" w:lastRow="0" w:firstColumn="0" w:lastColumn="0" w:noHBand="0" w:noVBand="0"/>
      </w:tblPr>
      <w:tblGrid>
        <w:gridCol w:w="4025"/>
        <w:gridCol w:w="1400"/>
        <w:gridCol w:w="1215"/>
        <w:gridCol w:w="1215"/>
        <w:gridCol w:w="1216"/>
      </w:tblGrid>
      <w:tr w:rsidR="005C6008" w:rsidRPr="00E10730" w14:paraId="5D848465" w14:textId="77777777" w:rsidTr="0035495B">
        <w:trPr>
          <w:trHeight w:val="283"/>
        </w:trPr>
        <w:tc>
          <w:tcPr>
            <w:tcW w:w="9071" w:type="dxa"/>
            <w:gridSpan w:val="5"/>
            <w:tcBorders>
              <w:top w:val="nil"/>
              <w:left w:val="nil"/>
              <w:bottom w:val="nil"/>
              <w:right w:val="nil"/>
            </w:tcBorders>
            <w:shd w:val="clear" w:color="FFFFFF" w:fill="FFFFFF"/>
            <w:vAlign w:val="bottom"/>
          </w:tcPr>
          <w:p w14:paraId="624072E4" w14:textId="57CF096B"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2.2A: Reconciliation of the opening and closing balances of Buildings</w:t>
            </w:r>
            <w:r w:rsidR="007A090C" w:rsidRPr="00E10730">
              <w:rPr>
                <w:rFonts w:eastAsia="Calibri" w:cs="Arial"/>
                <w:b/>
                <w:bCs/>
                <w:sz w:val="18"/>
                <w:szCs w:val="18"/>
                <w:u w:val="single"/>
              </w:rPr>
              <w:t>,</w:t>
            </w:r>
            <w:r w:rsidRPr="00E10730">
              <w:rPr>
                <w:rFonts w:eastAsia="Calibri" w:cs="Arial"/>
                <w:b/>
                <w:bCs/>
                <w:sz w:val="18"/>
                <w:szCs w:val="18"/>
                <w:u w:val="single"/>
              </w:rPr>
              <w:t xml:space="preserve"> </w:t>
            </w:r>
            <w:r w:rsidR="00075FB4">
              <w:rPr>
                <w:rFonts w:eastAsia="Calibri" w:cs="Arial"/>
                <w:b/>
                <w:bCs/>
                <w:sz w:val="18"/>
                <w:szCs w:val="18"/>
                <w:u w:val="single"/>
              </w:rPr>
              <w:t>P</w:t>
            </w:r>
            <w:r w:rsidRPr="00E10730">
              <w:rPr>
                <w:rFonts w:eastAsia="Calibri" w:cs="Arial"/>
                <w:b/>
                <w:bCs/>
                <w:sz w:val="18"/>
                <w:szCs w:val="18"/>
                <w:u w:val="single"/>
              </w:rPr>
              <w:t>lant and equipment and Computer software 2026</w:t>
            </w:r>
          </w:p>
        </w:tc>
      </w:tr>
      <w:tr w:rsidR="005C6008" w:rsidRPr="00E10730" w14:paraId="180573BD" w14:textId="77777777" w:rsidTr="0035495B">
        <w:trPr>
          <w:trHeight w:val="250"/>
        </w:trPr>
        <w:tc>
          <w:tcPr>
            <w:tcW w:w="4025" w:type="dxa"/>
            <w:tcBorders>
              <w:top w:val="nil"/>
              <w:left w:val="nil"/>
              <w:bottom w:val="nil"/>
              <w:right w:val="nil"/>
            </w:tcBorders>
            <w:shd w:val="clear" w:color="FFFFFF" w:fill="FFFFFF"/>
            <w:vAlign w:val="bottom"/>
          </w:tcPr>
          <w:p w14:paraId="3FD8024A"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400" w:type="dxa"/>
            <w:tcBorders>
              <w:top w:val="nil"/>
              <w:left w:val="nil"/>
              <w:bottom w:val="nil"/>
              <w:right w:val="nil"/>
            </w:tcBorders>
            <w:shd w:val="clear" w:color="FFFFFF" w:fill="FFFFFF"/>
            <w:vAlign w:val="bottom"/>
          </w:tcPr>
          <w:p w14:paraId="5CDCA46D"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15" w:type="dxa"/>
            <w:tcBorders>
              <w:top w:val="nil"/>
              <w:left w:val="nil"/>
              <w:bottom w:val="nil"/>
              <w:right w:val="nil"/>
            </w:tcBorders>
            <w:shd w:val="clear" w:color="FFFFFF" w:fill="FFFFFF"/>
            <w:vAlign w:val="bottom"/>
          </w:tcPr>
          <w:p w14:paraId="179CD7BF"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15" w:type="dxa"/>
            <w:tcBorders>
              <w:top w:val="nil"/>
              <w:left w:val="nil"/>
              <w:bottom w:val="nil"/>
              <w:right w:val="nil"/>
            </w:tcBorders>
            <w:shd w:val="clear" w:color="FFFFFF" w:fill="FFFFFF"/>
            <w:vAlign w:val="bottom"/>
          </w:tcPr>
          <w:p w14:paraId="770D6E4F"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16" w:type="dxa"/>
            <w:tcBorders>
              <w:top w:val="nil"/>
              <w:left w:val="nil"/>
              <w:bottom w:val="nil"/>
              <w:right w:val="nil"/>
            </w:tcBorders>
            <w:shd w:val="clear" w:color="FFFFFF" w:fill="FFFFFF"/>
            <w:vAlign w:val="bottom"/>
          </w:tcPr>
          <w:p w14:paraId="594DC82E"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29349712" w14:textId="77777777" w:rsidTr="0035495B">
        <w:trPr>
          <w:trHeight w:val="493"/>
        </w:trPr>
        <w:tc>
          <w:tcPr>
            <w:tcW w:w="4025" w:type="dxa"/>
            <w:tcBorders>
              <w:top w:val="single" w:sz="4" w:space="0" w:color="auto"/>
              <w:left w:val="nil"/>
              <w:bottom w:val="nil"/>
              <w:right w:val="nil"/>
            </w:tcBorders>
            <w:shd w:val="clear" w:color="FFFFFF" w:fill="FFFFFF"/>
            <w:vAlign w:val="bottom"/>
          </w:tcPr>
          <w:p w14:paraId="2435EA23"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400" w:type="dxa"/>
            <w:tcBorders>
              <w:top w:val="single" w:sz="4" w:space="0" w:color="auto"/>
              <w:left w:val="nil"/>
              <w:bottom w:val="nil"/>
              <w:right w:val="nil"/>
            </w:tcBorders>
            <w:shd w:val="clear" w:color="FFFFFF" w:fill="FFFFFF"/>
            <w:vAlign w:val="bottom"/>
          </w:tcPr>
          <w:p w14:paraId="4363F75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xml:space="preserve">Buildings </w:t>
            </w:r>
          </w:p>
        </w:tc>
        <w:tc>
          <w:tcPr>
            <w:tcW w:w="1215" w:type="dxa"/>
            <w:tcBorders>
              <w:top w:val="single" w:sz="4" w:space="0" w:color="auto"/>
              <w:left w:val="nil"/>
              <w:bottom w:val="nil"/>
              <w:right w:val="nil"/>
            </w:tcBorders>
            <w:shd w:val="clear" w:color="FFFFFF" w:fill="FFFFFF"/>
          </w:tcPr>
          <w:p w14:paraId="6D14880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Plant and equipment</w:t>
            </w:r>
          </w:p>
        </w:tc>
        <w:tc>
          <w:tcPr>
            <w:tcW w:w="1215" w:type="dxa"/>
            <w:tcBorders>
              <w:top w:val="single" w:sz="4" w:space="0" w:color="auto"/>
              <w:left w:val="nil"/>
              <w:bottom w:val="nil"/>
              <w:right w:val="nil"/>
            </w:tcBorders>
            <w:shd w:val="clear" w:color="FFFFFF" w:fill="FFFFFF"/>
            <w:vAlign w:val="bottom"/>
          </w:tcPr>
          <w:p w14:paraId="47B3D3C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Computer  software</w:t>
            </w:r>
          </w:p>
        </w:tc>
        <w:tc>
          <w:tcPr>
            <w:tcW w:w="1216" w:type="dxa"/>
            <w:tcBorders>
              <w:top w:val="single" w:sz="4" w:space="0" w:color="auto"/>
              <w:left w:val="nil"/>
              <w:bottom w:val="nil"/>
              <w:right w:val="nil"/>
            </w:tcBorders>
            <w:shd w:val="clear" w:color="FFFFFF" w:fill="FFFFFF"/>
            <w:vAlign w:val="bottom"/>
          </w:tcPr>
          <w:p w14:paraId="58CF712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Total</w:t>
            </w:r>
          </w:p>
        </w:tc>
      </w:tr>
      <w:tr w:rsidR="005C6008" w:rsidRPr="00E10730" w14:paraId="1F01541F" w14:textId="77777777" w:rsidTr="0035495B">
        <w:trPr>
          <w:trHeight w:val="250"/>
        </w:trPr>
        <w:tc>
          <w:tcPr>
            <w:tcW w:w="4025" w:type="dxa"/>
            <w:tcBorders>
              <w:top w:val="nil"/>
              <w:left w:val="nil"/>
              <w:bottom w:val="single" w:sz="4" w:space="0" w:color="auto"/>
              <w:right w:val="nil"/>
            </w:tcBorders>
            <w:shd w:val="clear" w:color="FFFFFF" w:fill="FFFFFF"/>
            <w:vAlign w:val="bottom"/>
          </w:tcPr>
          <w:p w14:paraId="61946654"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400" w:type="dxa"/>
            <w:tcBorders>
              <w:top w:val="nil"/>
              <w:left w:val="nil"/>
              <w:bottom w:val="single" w:sz="4" w:space="0" w:color="auto"/>
              <w:right w:val="nil"/>
            </w:tcBorders>
            <w:shd w:val="clear" w:color="FFFFFF" w:fill="FFFFFF"/>
            <w:vAlign w:val="bottom"/>
          </w:tcPr>
          <w:p w14:paraId="152687B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215" w:type="dxa"/>
            <w:tcBorders>
              <w:top w:val="nil"/>
              <w:left w:val="nil"/>
              <w:bottom w:val="single" w:sz="4" w:space="0" w:color="auto"/>
              <w:right w:val="nil"/>
            </w:tcBorders>
            <w:shd w:val="clear" w:color="FFFFFF" w:fill="FFFFFF"/>
            <w:vAlign w:val="bottom"/>
          </w:tcPr>
          <w:p w14:paraId="02318A9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215" w:type="dxa"/>
            <w:tcBorders>
              <w:top w:val="nil"/>
              <w:left w:val="nil"/>
              <w:bottom w:val="single" w:sz="4" w:space="0" w:color="auto"/>
              <w:right w:val="nil"/>
            </w:tcBorders>
            <w:shd w:val="clear" w:color="FFFFFF" w:fill="FFFFFF"/>
            <w:vAlign w:val="bottom"/>
          </w:tcPr>
          <w:p w14:paraId="419DA5A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216" w:type="dxa"/>
            <w:tcBorders>
              <w:top w:val="nil"/>
              <w:left w:val="nil"/>
              <w:bottom w:val="single" w:sz="4" w:space="0" w:color="auto"/>
              <w:right w:val="nil"/>
            </w:tcBorders>
            <w:shd w:val="clear" w:color="FFFFFF" w:fill="FFFFFF"/>
            <w:vAlign w:val="bottom"/>
          </w:tcPr>
          <w:p w14:paraId="57E8F4B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r>
      <w:tr w:rsidR="005C6008" w:rsidRPr="00E10730" w14:paraId="645A6459" w14:textId="77777777" w:rsidTr="0035495B">
        <w:trPr>
          <w:trHeight w:val="250"/>
        </w:trPr>
        <w:tc>
          <w:tcPr>
            <w:tcW w:w="4025" w:type="dxa"/>
            <w:tcBorders>
              <w:top w:val="nil"/>
              <w:left w:val="nil"/>
              <w:bottom w:val="nil"/>
              <w:right w:val="nil"/>
            </w:tcBorders>
            <w:shd w:val="clear" w:color="FFFFFF" w:fill="FFFFFF"/>
            <w:vAlign w:val="bottom"/>
          </w:tcPr>
          <w:p w14:paraId="1104E6DB"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As at 1 July 2025</w:t>
            </w:r>
          </w:p>
        </w:tc>
        <w:tc>
          <w:tcPr>
            <w:tcW w:w="1400" w:type="dxa"/>
            <w:tcBorders>
              <w:top w:val="nil"/>
              <w:left w:val="nil"/>
              <w:bottom w:val="nil"/>
              <w:right w:val="nil"/>
            </w:tcBorders>
            <w:shd w:val="clear" w:color="FFFFFF" w:fill="FFFFFF"/>
            <w:vAlign w:val="bottom"/>
          </w:tcPr>
          <w:p w14:paraId="04191EE1"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15" w:type="dxa"/>
            <w:tcBorders>
              <w:top w:val="nil"/>
              <w:left w:val="nil"/>
              <w:bottom w:val="nil"/>
              <w:right w:val="nil"/>
            </w:tcBorders>
            <w:shd w:val="clear" w:color="FFFFFF" w:fill="FFFFFF"/>
            <w:vAlign w:val="bottom"/>
          </w:tcPr>
          <w:p w14:paraId="52C23D82"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15" w:type="dxa"/>
            <w:tcBorders>
              <w:top w:val="nil"/>
              <w:left w:val="nil"/>
              <w:bottom w:val="nil"/>
              <w:right w:val="nil"/>
            </w:tcBorders>
            <w:shd w:val="clear" w:color="FFFFFF" w:fill="FFFFFF"/>
            <w:vAlign w:val="bottom"/>
          </w:tcPr>
          <w:p w14:paraId="00BE7EAB"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16" w:type="dxa"/>
            <w:tcBorders>
              <w:top w:val="nil"/>
              <w:left w:val="nil"/>
              <w:bottom w:val="nil"/>
              <w:right w:val="nil"/>
            </w:tcBorders>
            <w:shd w:val="clear" w:color="FFFFFF" w:fill="FFFFFF"/>
            <w:vAlign w:val="bottom"/>
          </w:tcPr>
          <w:p w14:paraId="270E22D1"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20E65067" w14:textId="77777777" w:rsidTr="0035495B">
        <w:trPr>
          <w:trHeight w:val="250"/>
        </w:trPr>
        <w:tc>
          <w:tcPr>
            <w:tcW w:w="4025" w:type="dxa"/>
            <w:tcBorders>
              <w:top w:val="nil"/>
              <w:left w:val="nil"/>
              <w:bottom w:val="nil"/>
              <w:right w:val="nil"/>
            </w:tcBorders>
            <w:shd w:val="clear" w:color="FFFFFF" w:fill="FFFFFF"/>
            <w:vAlign w:val="bottom"/>
          </w:tcPr>
          <w:p w14:paraId="7AC8870D"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Gross book value</w:t>
            </w:r>
          </w:p>
        </w:tc>
        <w:tc>
          <w:tcPr>
            <w:tcW w:w="1400" w:type="dxa"/>
            <w:tcBorders>
              <w:top w:val="nil"/>
              <w:left w:val="nil"/>
              <w:bottom w:val="nil"/>
              <w:right w:val="nil"/>
            </w:tcBorders>
            <w:shd w:val="clear" w:color="FFFFFF" w:fill="FFFFFF"/>
            <w:vAlign w:val="bottom"/>
          </w:tcPr>
          <w:p w14:paraId="79F208A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433,932</w:t>
            </w:r>
          </w:p>
        </w:tc>
        <w:tc>
          <w:tcPr>
            <w:tcW w:w="1215" w:type="dxa"/>
            <w:tcBorders>
              <w:top w:val="nil"/>
              <w:left w:val="nil"/>
              <w:bottom w:val="nil"/>
              <w:right w:val="nil"/>
            </w:tcBorders>
            <w:shd w:val="clear" w:color="FFFFFF" w:fill="FFFFFF"/>
            <w:vAlign w:val="bottom"/>
          </w:tcPr>
          <w:p w14:paraId="55424C6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36,916</w:t>
            </w:r>
          </w:p>
        </w:tc>
        <w:tc>
          <w:tcPr>
            <w:tcW w:w="1215" w:type="dxa"/>
            <w:tcBorders>
              <w:top w:val="nil"/>
              <w:left w:val="nil"/>
              <w:bottom w:val="nil"/>
              <w:right w:val="nil"/>
            </w:tcBorders>
            <w:shd w:val="clear" w:color="FFFFFF" w:fill="FFFFFF"/>
            <w:vAlign w:val="bottom"/>
          </w:tcPr>
          <w:p w14:paraId="6B7ACB2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216" w:type="dxa"/>
            <w:tcBorders>
              <w:top w:val="nil"/>
              <w:left w:val="nil"/>
              <w:bottom w:val="nil"/>
              <w:right w:val="nil"/>
            </w:tcBorders>
            <w:shd w:val="clear" w:color="FFFFFF" w:fill="FFFFFF"/>
            <w:vAlign w:val="bottom"/>
          </w:tcPr>
          <w:p w14:paraId="60CFD9E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470,848</w:t>
            </w:r>
          </w:p>
        </w:tc>
      </w:tr>
      <w:tr w:rsidR="005C6008" w:rsidRPr="00E10730" w14:paraId="00911EFC" w14:textId="77777777" w:rsidTr="0035495B">
        <w:trPr>
          <w:trHeight w:val="250"/>
        </w:trPr>
        <w:tc>
          <w:tcPr>
            <w:tcW w:w="4025" w:type="dxa"/>
            <w:tcBorders>
              <w:top w:val="nil"/>
              <w:left w:val="nil"/>
              <w:bottom w:val="nil"/>
              <w:right w:val="nil"/>
            </w:tcBorders>
            <w:shd w:val="clear" w:color="FFFFFF" w:fill="FFFFFF"/>
            <w:vAlign w:val="bottom"/>
          </w:tcPr>
          <w:p w14:paraId="3EA733B8"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Accumulated depreciation and impairment</w:t>
            </w:r>
          </w:p>
        </w:tc>
        <w:tc>
          <w:tcPr>
            <w:tcW w:w="1400" w:type="dxa"/>
            <w:tcBorders>
              <w:top w:val="nil"/>
              <w:left w:val="nil"/>
              <w:bottom w:val="nil"/>
              <w:right w:val="nil"/>
            </w:tcBorders>
            <w:shd w:val="clear" w:color="FFFFFF" w:fill="FFFFFF"/>
            <w:vAlign w:val="bottom"/>
          </w:tcPr>
          <w:p w14:paraId="2F77EB7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(221,983)</w:t>
            </w:r>
          </w:p>
        </w:tc>
        <w:tc>
          <w:tcPr>
            <w:tcW w:w="1215" w:type="dxa"/>
            <w:tcBorders>
              <w:top w:val="nil"/>
              <w:left w:val="nil"/>
              <w:bottom w:val="nil"/>
              <w:right w:val="nil"/>
            </w:tcBorders>
            <w:shd w:val="clear" w:color="FFFFFF" w:fill="FFFFFF"/>
            <w:vAlign w:val="bottom"/>
          </w:tcPr>
          <w:p w14:paraId="2690207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(20,464)</w:t>
            </w:r>
          </w:p>
        </w:tc>
        <w:tc>
          <w:tcPr>
            <w:tcW w:w="1215" w:type="dxa"/>
            <w:tcBorders>
              <w:top w:val="nil"/>
              <w:left w:val="nil"/>
              <w:bottom w:val="nil"/>
              <w:right w:val="nil"/>
            </w:tcBorders>
            <w:shd w:val="clear" w:color="FFFFFF" w:fill="FFFFFF"/>
            <w:vAlign w:val="bottom"/>
          </w:tcPr>
          <w:p w14:paraId="023A944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216" w:type="dxa"/>
            <w:tcBorders>
              <w:top w:val="nil"/>
              <w:left w:val="nil"/>
              <w:bottom w:val="nil"/>
              <w:right w:val="nil"/>
            </w:tcBorders>
            <w:shd w:val="clear" w:color="FFFFFF" w:fill="FFFFFF"/>
            <w:vAlign w:val="bottom"/>
          </w:tcPr>
          <w:p w14:paraId="1C583FB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(242,447)</w:t>
            </w:r>
          </w:p>
        </w:tc>
      </w:tr>
      <w:tr w:rsidR="005C6008" w:rsidRPr="00E10730" w14:paraId="49C81B05" w14:textId="77777777" w:rsidTr="0035495B">
        <w:trPr>
          <w:trHeight w:val="250"/>
        </w:trPr>
        <w:tc>
          <w:tcPr>
            <w:tcW w:w="4025" w:type="dxa"/>
            <w:tcBorders>
              <w:top w:val="single" w:sz="4" w:space="0" w:color="auto"/>
              <w:left w:val="nil"/>
              <w:bottom w:val="single" w:sz="4" w:space="0" w:color="auto"/>
              <w:right w:val="nil"/>
            </w:tcBorders>
            <w:shd w:val="clear" w:color="FFFFFF" w:fill="FFFFFF"/>
            <w:vAlign w:val="bottom"/>
          </w:tcPr>
          <w:p w14:paraId="5A5E694F"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Net book value as at 1 July 2025</w:t>
            </w:r>
          </w:p>
        </w:tc>
        <w:tc>
          <w:tcPr>
            <w:tcW w:w="1400" w:type="dxa"/>
            <w:tcBorders>
              <w:top w:val="single" w:sz="4" w:space="0" w:color="auto"/>
              <w:left w:val="nil"/>
              <w:bottom w:val="single" w:sz="4" w:space="0" w:color="auto"/>
              <w:right w:val="nil"/>
            </w:tcBorders>
            <w:shd w:val="clear" w:color="FFFFFF" w:fill="FFFFFF"/>
            <w:vAlign w:val="bottom"/>
          </w:tcPr>
          <w:p w14:paraId="72FAEBA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211,949</w:t>
            </w:r>
          </w:p>
        </w:tc>
        <w:tc>
          <w:tcPr>
            <w:tcW w:w="1215" w:type="dxa"/>
            <w:tcBorders>
              <w:top w:val="single" w:sz="4" w:space="0" w:color="auto"/>
              <w:left w:val="nil"/>
              <w:bottom w:val="single" w:sz="4" w:space="0" w:color="auto"/>
              <w:right w:val="nil"/>
            </w:tcBorders>
            <w:shd w:val="clear" w:color="FFFFFF" w:fill="FFFFFF"/>
            <w:vAlign w:val="bottom"/>
          </w:tcPr>
          <w:p w14:paraId="1F2EE61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16,452</w:t>
            </w:r>
          </w:p>
        </w:tc>
        <w:tc>
          <w:tcPr>
            <w:tcW w:w="1215" w:type="dxa"/>
            <w:tcBorders>
              <w:top w:val="single" w:sz="4" w:space="0" w:color="auto"/>
              <w:left w:val="nil"/>
              <w:bottom w:val="single" w:sz="4" w:space="0" w:color="auto"/>
              <w:right w:val="nil"/>
            </w:tcBorders>
            <w:shd w:val="clear" w:color="FFFFFF" w:fill="FFFFFF"/>
            <w:vAlign w:val="bottom"/>
          </w:tcPr>
          <w:p w14:paraId="653EEA5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216" w:type="dxa"/>
            <w:tcBorders>
              <w:top w:val="single" w:sz="4" w:space="0" w:color="auto"/>
              <w:left w:val="nil"/>
              <w:bottom w:val="single" w:sz="4" w:space="0" w:color="auto"/>
              <w:right w:val="nil"/>
            </w:tcBorders>
            <w:shd w:val="clear" w:color="FFFFFF" w:fill="FFFFFF"/>
            <w:vAlign w:val="bottom"/>
          </w:tcPr>
          <w:p w14:paraId="39B0AC2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228,401</w:t>
            </w:r>
          </w:p>
        </w:tc>
      </w:tr>
      <w:tr w:rsidR="005C6008" w:rsidRPr="00E10730" w14:paraId="59696F95" w14:textId="77777777" w:rsidTr="0035495B">
        <w:trPr>
          <w:trHeight w:val="250"/>
        </w:trPr>
        <w:tc>
          <w:tcPr>
            <w:tcW w:w="4025" w:type="dxa"/>
            <w:tcBorders>
              <w:top w:val="nil"/>
              <w:left w:val="nil"/>
              <w:bottom w:val="nil"/>
              <w:right w:val="nil"/>
            </w:tcBorders>
            <w:shd w:val="clear" w:color="FFFFFF" w:fill="FFFFFF"/>
            <w:vAlign w:val="bottom"/>
          </w:tcPr>
          <w:p w14:paraId="1CC16F07"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400" w:type="dxa"/>
            <w:tcBorders>
              <w:top w:val="nil"/>
              <w:left w:val="nil"/>
              <w:bottom w:val="nil"/>
              <w:right w:val="nil"/>
            </w:tcBorders>
            <w:shd w:val="clear" w:color="FFFFFF" w:fill="FFFFFF"/>
            <w:vAlign w:val="bottom"/>
          </w:tcPr>
          <w:p w14:paraId="43CD1BB6"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15" w:type="dxa"/>
            <w:tcBorders>
              <w:top w:val="nil"/>
              <w:left w:val="nil"/>
              <w:bottom w:val="nil"/>
              <w:right w:val="nil"/>
            </w:tcBorders>
            <w:shd w:val="clear" w:color="FFFFFF" w:fill="FFFFFF"/>
            <w:vAlign w:val="bottom"/>
          </w:tcPr>
          <w:p w14:paraId="2EACE97D"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15" w:type="dxa"/>
            <w:tcBorders>
              <w:top w:val="nil"/>
              <w:left w:val="nil"/>
              <w:bottom w:val="nil"/>
              <w:right w:val="nil"/>
            </w:tcBorders>
            <w:shd w:val="clear" w:color="FFFFFF" w:fill="FFFFFF"/>
            <w:vAlign w:val="bottom"/>
          </w:tcPr>
          <w:p w14:paraId="3A86281E"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16" w:type="dxa"/>
            <w:tcBorders>
              <w:top w:val="nil"/>
              <w:left w:val="nil"/>
              <w:bottom w:val="nil"/>
              <w:right w:val="nil"/>
            </w:tcBorders>
            <w:shd w:val="clear" w:color="FFFFFF" w:fill="FFFFFF"/>
            <w:vAlign w:val="bottom"/>
          </w:tcPr>
          <w:p w14:paraId="47BDDA38"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r>
      <w:tr w:rsidR="005C6008" w:rsidRPr="00E10730" w14:paraId="760A2B99" w14:textId="77777777" w:rsidTr="0035495B">
        <w:trPr>
          <w:trHeight w:val="250"/>
        </w:trPr>
        <w:tc>
          <w:tcPr>
            <w:tcW w:w="4025" w:type="dxa"/>
            <w:tcBorders>
              <w:top w:val="nil"/>
              <w:left w:val="nil"/>
              <w:bottom w:val="nil"/>
              <w:right w:val="nil"/>
            </w:tcBorders>
            <w:shd w:val="clear" w:color="FFFFFF" w:fill="FFFFFF"/>
            <w:vAlign w:val="bottom"/>
          </w:tcPr>
          <w:p w14:paraId="3CEA8DC8"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Additions</w:t>
            </w:r>
          </w:p>
        </w:tc>
        <w:tc>
          <w:tcPr>
            <w:tcW w:w="1400" w:type="dxa"/>
            <w:tcBorders>
              <w:top w:val="nil"/>
              <w:left w:val="nil"/>
              <w:bottom w:val="nil"/>
              <w:right w:val="nil"/>
            </w:tcBorders>
            <w:shd w:val="clear" w:color="FFFFFF" w:fill="FFFFFF"/>
            <w:vAlign w:val="bottom"/>
          </w:tcPr>
          <w:p w14:paraId="0D4E05A7"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15" w:type="dxa"/>
            <w:tcBorders>
              <w:top w:val="nil"/>
              <w:left w:val="nil"/>
              <w:bottom w:val="nil"/>
              <w:right w:val="nil"/>
            </w:tcBorders>
            <w:shd w:val="clear" w:color="FFFFFF" w:fill="FFFFFF"/>
            <w:vAlign w:val="bottom"/>
          </w:tcPr>
          <w:p w14:paraId="053BA2E6"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15" w:type="dxa"/>
            <w:tcBorders>
              <w:top w:val="nil"/>
              <w:left w:val="nil"/>
              <w:bottom w:val="nil"/>
              <w:right w:val="nil"/>
            </w:tcBorders>
            <w:shd w:val="clear" w:color="FFFFFF" w:fill="FFFFFF"/>
            <w:vAlign w:val="bottom"/>
          </w:tcPr>
          <w:p w14:paraId="5BE5131E"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16" w:type="dxa"/>
            <w:tcBorders>
              <w:top w:val="nil"/>
              <w:left w:val="nil"/>
              <w:bottom w:val="nil"/>
              <w:right w:val="nil"/>
            </w:tcBorders>
            <w:shd w:val="clear" w:color="FFFFFF" w:fill="FFFFFF"/>
            <w:vAlign w:val="bottom"/>
          </w:tcPr>
          <w:p w14:paraId="7E1B3D43"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r>
      <w:tr w:rsidR="005C6008" w:rsidRPr="00E10730" w14:paraId="63A5DAEC" w14:textId="77777777" w:rsidTr="0035495B">
        <w:trPr>
          <w:trHeight w:val="250"/>
        </w:trPr>
        <w:tc>
          <w:tcPr>
            <w:tcW w:w="4025" w:type="dxa"/>
            <w:tcBorders>
              <w:top w:val="nil"/>
              <w:left w:val="nil"/>
              <w:bottom w:val="nil"/>
              <w:right w:val="nil"/>
            </w:tcBorders>
            <w:shd w:val="clear" w:color="FFFFFF" w:fill="FFFFFF"/>
            <w:vAlign w:val="bottom"/>
          </w:tcPr>
          <w:p w14:paraId="7F377AF3"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Purchases</w:t>
            </w:r>
          </w:p>
        </w:tc>
        <w:tc>
          <w:tcPr>
            <w:tcW w:w="1400" w:type="dxa"/>
            <w:tcBorders>
              <w:top w:val="nil"/>
              <w:left w:val="nil"/>
              <w:bottom w:val="nil"/>
              <w:right w:val="nil"/>
            </w:tcBorders>
            <w:shd w:val="clear" w:color="FFFFFF" w:fill="FFFFFF"/>
            <w:vAlign w:val="bottom"/>
          </w:tcPr>
          <w:p w14:paraId="0E74AB8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83,231</w:t>
            </w:r>
          </w:p>
        </w:tc>
        <w:tc>
          <w:tcPr>
            <w:tcW w:w="1215" w:type="dxa"/>
            <w:tcBorders>
              <w:top w:val="nil"/>
              <w:left w:val="nil"/>
              <w:bottom w:val="nil"/>
              <w:right w:val="nil"/>
            </w:tcBorders>
            <w:shd w:val="clear" w:color="FFFFFF" w:fill="FFFFFF"/>
            <w:vAlign w:val="bottom"/>
          </w:tcPr>
          <w:p w14:paraId="2CE5E9A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6,898</w:t>
            </w:r>
          </w:p>
        </w:tc>
        <w:tc>
          <w:tcPr>
            <w:tcW w:w="1215" w:type="dxa"/>
            <w:tcBorders>
              <w:top w:val="nil"/>
              <w:left w:val="nil"/>
              <w:bottom w:val="nil"/>
              <w:right w:val="nil"/>
            </w:tcBorders>
            <w:shd w:val="clear" w:color="FFFFFF" w:fill="FFFFFF"/>
            <w:vAlign w:val="bottom"/>
          </w:tcPr>
          <w:p w14:paraId="0B41BD0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11,139</w:t>
            </w:r>
          </w:p>
        </w:tc>
        <w:tc>
          <w:tcPr>
            <w:tcW w:w="1216" w:type="dxa"/>
            <w:tcBorders>
              <w:top w:val="nil"/>
              <w:left w:val="nil"/>
              <w:bottom w:val="nil"/>
              <w:right w:val="nil"/>
            </w:tcBorders>
            <w:shd w:val="clear" w:color="FFFFFF" w:fill="FFFFFF"/>
            <w:vAlign w:val="bottom"/>
          </w:tcPr>
          <w:p w14:paraId="73FD9E1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101,268</w:t>
            </w:r>
          </w:p>
        </w:tc>
      </w:tr>
      <w:tr w:rsidR="005C6008" w:rsidRPr="00E10730" w14:paraId="7DA8237B" w14:textId="77777777" w:rsidTr="0035495B">
        <w:trPr>
          <w:trHeight w:val="250"/>
        </w:trPr>
        <w:tc>
          <w:tcPr>
            <w:tcW w:w="4025" w:type="dxa"/>
            <w:tcBorders>
              <w:top w:val="nil"/>
              <w:left w:val="nil"/>
              <w:bottom w:val="nil"/>
              <w:right w:val="nil"/>
            </w:tcBorders>
            <w:shd w:val="clear" w:color="FFFFFF" w:fill="FFFFFF"/>
            <w:vAlign w:val="bottom"/>
          </w:tcPr>
          <w:p w14:paraId="6CCC8D89" w14:textId="77777777" w:rsidR="005C6008" w:rsidRPr="00E10730" w:rsidRDefault="005C6008" w:rsidP="00115FA3">
            <w:pPr>
              <w:autoSpaceDE w:val="0"/>
              <w:autoSpaceDN w:val="0"/>
              <w:adjustRightInd w:val="0"/>
              <w:spacing w:after="0" w:line="240" w:lineRule="auto"/>
              <w:ind w:left="220"/>
              <w:rPr>
                <w:rFonts w:eastAsia="Calibri" w:cs="Arial"/>
                <w:sz w:val="18"/>
                <w:szCs w:val="18"/>
              </w:rPr>
            </w:pPr>
            <w:r w:rsidRPr="00E10730">
              <w:rPr>
                <w:rFonts w:eastAsia="Calibri" w:cs="Arial"/>
                <w:sz w:val="18"/>
                <w:szCs w:val="18"/>
              </w:rPr>
              <w:t>Right-of-use assets</w:t>
            </w:r>
          </w:p>
        </w:tc>
        <w:tc>
          <w:tcPr>
            <w:tcW w:w="1400" w:type="dxa"/>
            <w:tcBorders>
              <w:top w:val="nil"/>
              <w:left w:val="nil"/>
              <w:bottom w:val="nil"/>
              <w:right w:val="nil"/>
            </w:tcBorders>
            <w:shd w:val="clear" w:color="FFFFFF" w:fill="FFFFFF"/>
            <w:vAlign w:val="bottom"/>
          </w:tcPr>
          <w:p w14:paraId="7E5EBFF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25,685</w:t>
            </w:r>
          </w:p>
        </w:tc>
        <w:tc>
          <w:tcPr>
            <w:tcW w:w="1215" w:type="dxa"/>
            <w:tcBorders>
              <w:top w:val="nil"/>
              <w:left w:val="nil"/>
              <w:bottom w:val="nil"/>
              <w:right w:val="nil"/>
            </w:tcBorders>
            <w:shd w:val="clear" w:color="FFFFFF" w:fill="FFFFFF"/>
            <w:vAlign w:val="bottom"/>
          </w:tcPr>
          <w:p w14:paraId="13F883F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215" w:type="dxa"/>
            <w:tcBorders>
              <w:top w:val="nil"/>
              <w:left w:val="nil"/>
              <w:bottom w:val="nil"/>
              <w:right w:val="nil"/>
            </w:tcBorders>
            <w:shd w:val="clear" w:color="FFFFFF" w:fill="FFFFFF"/>
            <w:vAlign w:val="bottom"/>
          </w:tcPr>
          <w:p w14:paraId="3FEB449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216" w:type="dxa"/>
            <w:tcBorders>
              <w:top w:val="nil"/>
              <w:left w:val="nil"/>
              <w:bottom w:val="nil"/>
              <w:right w:val="nil"/>
            </w:tcBorders>
            <w:shd w:val="clear" w:color="FFFFFF" w:fill="FFFFFF"/>
            <w:vAlign w:val="bottom"/>
          </w:tcPr>
          <w:p w14:paraId="3FB4297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25,685</w:t>
            </w:r>
          </w:p>
        </w:tc>
      </w:tr>
      <w:tr w:rsidR="005C6008" w:rsidRPr="00E10730" w14:paraId="17FDC5A3" w14:textId="77777777" w:rsidTr="0035495B">
        <w:trPr>
          <w:trHeight w:val="250"/>
        </w:trPr>
        <w:tc>
          <w:tcPr>
            <w:tcW w:w="4025" w:type="dxa"/>
            <w:tcBorders>
              <w:top w:val="nil"/>
              <w:left w:val="nil"/>
              <w:bottom w:val="nil"/>
              <w:right w:val="nil"/>
            </w:tcBorders>
            <w:shd w:val="clear" w:color="FFFFFF" w:fill="FFFFFF"/>
            <w:vAlign w:val="bottom"/>
          </w:tcPr>
          <w:p w14:paraId="366610AF" w14:textId="188D5834"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Depreciation</w:t>
            </w:r>
            <w:r w:rsidR="0070451B" w:rsidRPr="00E10730">
              <w:rPr>
                <w:rFonts w:eastAsia="Calibri" w:cs="Arial"/>
                <w:sz w:val="18"/>
                <w:szCs w:val="18"/>
              </w:rPr>
              <w:t>/amortisation</w:t>
            </w:r>
            <w:r w:rsidRPr="00E10730">
              <w:rPr>
                <w:rFonts w:eastAsia="Calibri" w:cs="Arial"/>
                <w:sz w:val="18"/>
                <w:szCs w:val="18"/>
              </w:rPr>
              <w:t xml:space="preserve"> expense</w:t>
            </w:r>
          </w:p>
        </w:tc>
        <w:tc>
          <w:tcPr>
            <w:tcW w:w="1400" w:type="dxa"/>
            <w:tcBorders>
              <w:top w:val="nil"/>
              <w:left w:val="nil"/>
              <w:bottom w:val="nil"/>
              <w:right w:val="nil"/>
            </w:tcBorders>
            <w:shd w:val="clear" w:color="FFFFFF" w:fill="FFFFFF"/>
            <w:vAlign w:val="bottom"/>
          </w:tcPr>
          <w:p w14:paraId="049ACBB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(27,702)</w:t>
            </w:r>
          </w:p>
        </w:tc>
        <w:tc>
          <w:tcPr>
            <w:tcW w:w="1215" w:type="dxa"/>
            <w:tcBorders>
              <w:top w:val="nil"/>
              <w:left w:val="nil"/>
              <w:bottom w:val="nil"/>
              <w:right w:val="nil"/>
            </w:tcBorders>
            <w:shd w:val="clear" w:color="FFFFFF" w:fill="FFFFFF"/>
            <w:vAlign w:val="bottom"/>
          </w:tcPr>
          <w:p w14:paraId="4186D40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(7,570)</w:t>
            </w:r>
          </w:p>
        </w:tc>
        <w:tc>
          <w:tcPr>
            <w:tcW w:w="1215" w:type="dxa"/>
            <w:tcBorders>
              <w:top w:val="nil"/>
              <w:left w:val="nil"/>
              <w:bottom w:val="nil"/>
              <w:right w:val="nil"/>
            </w:tcBorders>
            <w:shd w:val="clear" w:color="FFFFFF" w:fill="FFFFFF"/>
            <w:vAlign w:val="bottom"/>
          </w:tcPr>
          <w:p w14:paraId="6C81A7A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(437)</w:t>
            </w:r>
          </w:p>
        </w:tc>
        <w:tc>
          <w:tcPr>
            <w:tcW w:w="1216" w:type="dxa"/>
            <w:tcBorders>
              <w:top w:val="nil"/>
              <w:left w:val="nil"/>
              <w:bottom w:val="nil"/>
              <w:right w:val="nil"/>
            </w:tcBorders>
            <w:shd w:val="clear" w:color="FFFFFF" w:fill="FFFFFF"/>
            <w:vAlign w:val="bottom"/>
          </w:tcPr>
          <w:p w14:paraId="45097C9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(35,709)</w:t>
            </w:r>
          </w:p>
        </w:tc>
      </w:tr>
      <w:tr w:rsidR="005C6008" w:rsidRPr="00E10730" w14:paraId="32E2A194" w14:textId="77777777" w:rsidTr="0035495B">
        <w:trPr>
          <w:trHeight w:val="250"/>
        </w:trPr>
        <w:tc>
          <w:tcPr>
            <w:tcW w:w="4025" w:type="dxa"/>
            <w:tcBorders>
              <w:top w:val="nil"/>
              <w:left w:val="nil"/>
              <w:bottom w:val="nil"/>
              <w:right w:val="nil"/>
            </w:tcBorders>
            <w:shd w:val="clear" w:color="FFFFFF" w:fill="FFFFFF"/>
            <w:vAlign w:val="bottom"/>
          </w:tcPr>
          <w:p w14:paraId="7D93BFB3"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ROU Depreciation expense</w:t>
            </w:r>
          </w:p>
        </w:tc>
        <w:tc>
          <w:tcPr>
            <w:tcW w:w="1400" w:type="dxa"/>
            <w:tcBorders>
              <w:top w:val="nil"/>
              <w:left w:val="nil"/>
              <w:bottom w:val="nil"/>
              <w:right w:val="nil"/>
            </w:tcBorders>
            <w:shd w:val="clear" w:color="FFFFFF" w:fill="FFFFFF"/>
            <w:vAlign w:val="bottom"/>
          </w:tcPr>
          <w:p w14:paraId="282E2CC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(33,602)</w:t>
            </w:r>
          </w:p>
        </w:tc>
        <w:tc>
          <w:tcPr>
            <w:tcW w:w="1215" w:type="dxa"/>
            <w:tcBorders>
              <w:top w:val="nil"/>
              <w:left w:val="nil"/>
              <w:bottom w:val="nil"/>
              <w:right w:val="nil"/>
            </w:tcBorders>
            <w:shd w:val="clear" w:color="FFFFFF" w:fill="FFFFFF"/>
            <w:vAlign w:val="bottom"/>
          </w:tcPr>
          <w:p w14:paraId="0E79177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(974)</w:t>
            </w:r>
          </w:p>
        </w:tc>
        <w:tc>
          <w:tcPr>
            <w:tcW w:w="1215" w:type="dxa"/>
            <w:tcBorders>
              <w:top w:val="nil"/>
              <w:left w:val="nil"/>
              <w:bottom w:val="nil"/>
              <w:right w:val="nil"/>
            </w:tcBorders>
            <w:shd w:val="clear" w:color="FFFFFF" w:fill="FFFFFF"/>
            <w:vAlign w:val="bottom"/>
          </w:tcPr>
          <w:p w14:paraId="568671D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216" w:type="dxa"/>
            <w:tcBorders>
              <w:top w:val="nil"/>
              <w:left w:val="nil"/>
              <w:bottom w:val="nil"/>
              <w:right w:val="nil"/>
            </w:tcBorders>
            <w:shd w:val="clear" w:color="FFFFFF" w:fill="FFFFFF"/>
            <w:vAlign w:val="bottom"/>
          </w:tcPr>
          <w:p w14:paraId="7ECA531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(34,576)</w:t>
            </w:r>
          </w:p>
        </w:tc>
      </w:tr>
      <w:tr w:rsidR="005C6008" w:rsidRPr="00E10730" w14:paraId="7E7C0D8C" w14:textId="77777777" w:rsidTr="0035495B">
        <w:trPr>
          <w:trHeight w:val="250"/>
        </w:trPr>
        <w:tc>
          <w:tcPr>
            <w:tcW w:w="4025" w:type="dxa"/>
            <w:tcBorders>
              <w:top w:val="nil"/>
              <w:left w:val="nil"/>
              <w:bottom w:val="nil"/>
              <w:right w:val="nil"/>
            </w:tcBorders>
            <w:shd w:val="clear" w:color="FFFFFF" w:fill="FFFFFF"/>
            <w:vAlign w:val="bottom"/>
          </w:tcPr>
          <w:p w14:paraId="3B5D66EF"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Revaluation in other comprehensive income</w:t>
            </w:r>
          </w:p>
        </w:tc>
        <w:tc>
          <w:tcPr>
            <w:tcW w:w="1400" w:type="dxa"/>
            <w:tcBorders>
              <w:top w:val="nil"/>
              <w:left w:val="nil"/>
              <w:bottom w:val="nil"/>
              <w:right w:val="nil"/>
            </w:tcBorders>
            <w:shd w:val="clear" w:color="FFFFFF" w:fill="FFFFFF"/>
            <w:vAlign w:val="bottom"/>
          </w:tcPr>
          <w:p w14:paraId="0942B33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14,093</w:t>
            </w:r>
          </w:p>
        </w:tc>
        <w:tc>
          <w:tcPr>
            <w:tcW w:w="1215" w:type="dxa"/>
            <w:tcBorders>
              <w:top w:val="nil"/>
              <w:left w:val="nil"/>
              <w:bottom w:val="nil"/>
              <w:right w:val="nil"/>
            </w:tcBorders>
            <w:shd w:val="clear" w:color="FFFFFF" w:fill="FFFFFF"/>
            <w:vAlign w:val="bottom"/>
          </w:tcPr>
          <w:p w14:paraId="5EE14CD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215" w:type="dxa"/>
            <w:tcBorders>
              <w:top w:val="nil"/>
              <w:left w:val="nil"/>
              <w:bottom w:val="nil"/>
              <w:right w:val="nil"/>
            </w:tcBorders>
            <w:shd w:val="clear" w:color="FFFFFF" w:fill="FFFFFF"/>
            <w:vAlign w:val="bottom"/>
          </w:tcPr>
          <w:p w14:paraId="044EDA5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216" w:type="dxa"/>
            <w:tcBorders>
              <w:top w:val="nil"/>
              <w:left w:val="nil"/>
              <w:bottom w:val="nil"/>
              <w:right w:val="nil"/>
            </w:tcBorders>
            <w:shd w:val="clear" w:color="FFFFFF" w:fill="FFFFFF"/>
            <w:vAlign w:val="bottom"/>
          </w:tcPr>
          <w:p w14:paraId="601AC81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14,093</w:t>
            </w:r>
          </w:p>
        </w:tc>
      </w:tr>
      <w:tr w:rsidR="005C6008" w:rsidRPr="00E10730" w14:paraId="05832CB1" w14:textId="77777777" w:rsidTr="0035495B">
        <w:trPr>
          <w:trHeight w:val="250"/>
        </w:trPr>
        <w:tc>
          <w:tcPr>
            <w:tcW w:w="4025" w:type="dxa"/>
            <w:tcBorders>
              <w:top w:val="nil"/>
              <w:left w:val="nil"/>
              <w:bottom w:val="nil"/>
              <w:right w:val="nil"/>
            </w:tcBorders>
            <w:shd w:val="clear" w:color="FFFFFF" w:fill="FFFFFF"/>
            <w:vAlign w:val="bottom"/>
          </w:tcPr>
          <w:p w14:paraId="7820AE37"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Other movements on right-of-use assets</w:t>
            </w:r>
          </w:p>
        </w:tc>
        <w:tc>
          <w:tcPr>
            <w:tcW w:w="1400" w:type="dxa"/>
            <w:tcBorders>
              <w:top w:val="nil"/>
              <w:left w:val="nil"/>
              <w:bottom w:val="nil"/>
              <w:right w:val="nil"/>
            </w:tcBorders>
            <w:shd w:val="clear" w:color="FFFFFF" w:fill="FFFFFF"/>
            <w:vAlign w:val="bottom"/>
          </w:tcPr>
          <w:p w14:paraId="18C865A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8,197</w:t>
            </w:r>
          </w:p>
        </w:tc>
        <w:tc>
          <w:tcPr>
            <w:tcW w:w="1215" w:type="dxa"/>
            <w:tcBorders>
              <w:top w:val="nil"/>
              <w:left w:val="nil"/>
              <w:bottom w:val="nil"/>
              <w:right w:val="nil"/>
            </w:tcBorders>
            <w:shd w:val="clear" w:color="FFFFFF" w:fill="FFFFFF"/>
            <w:vAlign w:val="bottom"/>
          </w:tcPr>
          <w:p w14:paraId="5AF059E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(18)</w:t>
            </w:r>
          </w:p>
        </w:tc>
        <w:tc>
          <w:tcPr>
            <w:tcW w:w="1215" w:type="dxa"/>
            <w:tcBorders>
              <w:top w:val="nil"/>
              <w:left w:val="nil"/>
              <w:bottom w:val="nil"/>
              <w:right w:val="nil"/>
            </w:tcBorders>
            <w:shd w:val="clear" w:color="FFFFFF" w:fill="FFFFFF"/>
            <w:vAlign w:val="bottom"/>
          </w:tcPr>
          <w:p w14:paraId="51B619D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216" w:type="dxa"/>
            <w:tcBorders>
              <w:top w:val="nil"/>
              <w:left w:val="nil"/>
              <w:bottom w:val="nil"/>
              <w:right w:val="nil"/>
            </w:tcBorders>
            <w:shd w:val="clear" w:color="FFFFFF" w:fill="FFFFFF"/>
            <w:vAlign w:val="bottom"/>
          </w:tcPr>
          <w:p w14:paraId="520ADB1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8,179</w:t>
            </w:r>
          </w:p>
        </w:tc>
      </w:tr>
      <w:tr w:rsidR="005C6008" w:rsidRPr="00E10730" w14:paraId="5103A823" w14:textId="77777777" w:rsidTr="0035495B">
        <w:trPr>
          <w:trHeight w:val="250"/>
        </w:trPr>
        <w:tc>
          <w:tcPr>
            <w:tcW w:w="4025" w:type="dxa"/>
            <w:tcBorders>
              <w:top w:val="nil"/>
              <w:left w:val="nil"/>
              <w:bottom w:val="nil"/>
              <w:right w:val="nil"/>
            </w:tcBorders>
            <w:shd w:val="clear" w:color="FFFFFF" w:fill="FFFFFF"/>
            <w:vAlign w:val="bottom"/>
          </w:tcPr>
          <w:p w14:paraId="14562C0A"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Write-offs and other changes</w:t>
            </w:r>
          </w:p>
        </w:tc>
        <w:tc>
          <w:tcPr>
            <w:tcW w:w="1400" w:type="dxa"/>
            <w:tcBorders>
              <w:top w:val="nil"/>
              <w:left w:val="nil"/>
              <w:bottom w:val="nil"/>
              <w:right w:val="nil"/>
            </w:tcBorders>
            <w:shd w:val="clear" w:color="FFFFFF" w:fill="FFFFFF"/>
            <w:vAlign w:val="bottom"/>
          </w:tcPr>
          <w:p w14:paraId="48E435C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(454)</w:t>
            </w:r>
          </w:p>
        </w:tc>
        <w:tc>
          <w:tcPr>
            <w:tcW w:w="1215" w:type="dxa"/>
            <w:tcBorders>
              <w:top w:val="nil"/>
              <w:left w:val="nil"/>
              <w:bottom w:val="nil"/>
              <w:right w:val="nil"/>
            </w:tcBorders>
            <w:shd w:val="clear" w:color="FFFFFF" w:fill="FFFFFF"/>
            <w:vAlign w:val="bottom"/>
          </w:tcPr>
          <w:p w14:paraId="75EFEB5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(21)</w:t>
            </w:r>
          </w:p>
        </w:tc>
        <w:tc>
          <w:tcPr>
            <w:tcW w:w="1215" w:type="dxa"/>
            <w:tcBorders>
              <w:top w:val="nil"/>
              <w:left w:val="nil"/>
              <w:bottom w:val="nil"/>
              <w:right w:val="nil"/>
            </w:tcBorders>
            <w:shd w:val="clear" w:color="FFFFFF" w:fill="FFFFFF"/>
            <w:vAlign w:val="bottom"/>
          </w:tcPr>
          <w:p w14:paraId="1024062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216" w:type="dxa"/>
            <w:tcBorders>
              <w:top w:val="nil"/>
              <w:left w:val="nil"/>
              <w:bottom w:val="nil"/>
              <w:right w:val="nil"/>
            </w:tcBorders>
            <w:shd w:val="clear" w:color="FFFFFF" w:fill="FFFFFF"/>
            <w:vAlign w:val="bottom"/>
          </w:tcPr>
          <w:p w14:paraId="510BE95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(475)</w:t>
            </w:r>
          </w:p>
        </w:tc>
      </w:tr>
      <w:tr w:rsidR="005C6008" w:rsidRPr="00E10730" w14:paraId="0E913C75" w14:textId="77777777" w:rsidTr="0035495B">
        <w:trPr>
          <w:trHeight w:val="250"/>
        </w:trPr>
        <w:tc>
          <w:tcPr>
            <w:tcW w:w="4025" w:type="dxa"/>
            <w:tcBorders>
              <w:top w:val="single" w:sz="4" w:space="0" w:color="auto"/>
              <w:left w:val="nil"/>
              <w:bottom w:val="single" w:sz="4" w:space="0" w:color="auto"/>
              <w:right w:val="nil"/>
            </w:tcBorders>
            <w:shd w:val="clear" w:color="FFFFFF" w:fill="FFFFFF"/>
            <w:vAlign w:val="bottom"/>
          </w:tcPr>
          <w:p w14:paraId="14563862"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Net book value 30 June 2026</w:t>
            </w:r>
          </w:p>
        </w:tc>
        <w:tc>
          <w:tcPr>
            <w:tcW w:w="1400" w:type="dxa"/>
            <w:tcBorders>
              <w:top w:val="single" w:sz="4" w:space="0" w:color="auto"/>
              <w:left w:val="nil"/>
              <w:bottom w:val="single" w:sz="4" w:space="0" w:color="auto"/>
              <w:right w:val="nil"/>
            </w:tcBorders>
            <w:shd w:val="clear" w:color="FFFFFF" w:fill="FFFFFF"/>
            <w:vAlign w:val="bottom"/>
          </w:tcPr>
          <w:p w14:paraId="4ABDD02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281,398</w:t>
            </w:r>
          </w:p>
        </w:tc>
        <w:tc>
          <w:tcPr>
            <w:tcW w:w="1215" w:type="dxa"/>
            <w:tcBorders>
              <w:top w:val="single" w:sz="4" w:space="0" w:color="auto"/>
              <w:left w:val="nil"/>
              <w:bottom w:val="single" w:sz="4" w:space="0" w:color="auto"/>
              <w:right w:val="nil"/>
            </w:tcBorders>
            <w:shd w:val="clear" w:color="FFFFFF" w:fill="FFFFFF"/>
            <w:vAlign w:val="bottom"/>
          </w:tcPr>
          <w:p w14:paraId="6EE67B9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14,766</w:t>
            </w:r>
          </w:p>
        </w:tc>
        <w:tc>
          <w:tcPr>
            <w:tcW w:w="1215" w:type="dxa"/>
            <w:tcBorders>
              <w:top w:val="single" w:sz="4" w:space="0" w:color="auto"/>
              <w:left w:val="nil"/>
              <w:bottom w:val="single" w:sz="4" w:space="0" w:color="auto"/>
              <w:right w:val="nil"/>
            </w:tcBorders>
            <w:shd w:val="clear" w:color="FFFFFF" w:fill="FFFFFF"/>
            <w:vAlign w:val="bottom"/>
          </w:tcPr>
          <w:p w14:paraId="1B206ED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10,702</w:t>
            </w:r>
          </w:p>
        </w:tc>
        <w:tc>
          <w:tcPr>
            <w:tcW w:w="1216" w:type="dxa"/>
            <w:tcBorders>
              <w:top w:val="single" w:sz="4" w:space="0" w:color="auto"/>
              <w:left w:val="nil"/>
              <w:bottom w:val="single" w:sz="4" w:space="0" w:color="auto"/>
              <w:right w:val="nil"/>
            </w:tcBorders>
            <w:shd w:val="clear" w:color="FFFFFF" w:fill="FFFFFF"/>
            <w:vAlign w:val="bottom"/>
          </w:tcPr>
          <w:p w14:paraId="46498C1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306,866</w:t>
            </w:r>
          </w:p>
        </w:tc>
      </w:tr>
      <w:tr w:rsidR="005C6008" w:rsidRPr="00E10730" w14:paraId="1A650E9D" w14:textId="77777777" w:rsidTr="0035495B">
        <w:trPr>
          <w:trHeight w:val="250"/>
        </w:trPr>
        <w:tc>
          <w:tcPr>
            <w:tcW w:w="4025" w:type="dxa"/>
            <w:tcBorders>
              <w:top w:val="nil"/>
              <w:left w:val="nil"/>
              <w:bottom w:val="nil"/>
              <w:right w:val="nil"/>
            </w:tcBorders>
            <w:shd w:val="clear" w:color="FFFFFF" w:fill="FFFFFF"/>
            <w:vAlign w:val="bottom"/>
          </w:tcPr>
          <w:p w14:paraId="74C91B02"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400" w:type="dxa"/>
            <w:tcBorders>
              <w:top w:val="nil"/>
              <w:left w:val="nil"/>
              <w:bottom w:val="nil"/>
              <w:right w:val="nil"/>
            </w:tcBorders>
            <w:shd w:val="clear" w:color="FFFFFF" w:fill="FFFFFF"/>
            <w:vAlign w:val="bottom"/>
          </w:tcPr>
          <w:p w14:paraId="621E1901"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215" w:type="dxa"/>
            <w:tcBorders>
              <w:top w:val="nil"/>
              <w:left w:val="nil"/>
              <w:bottom w:val="nil"/>
              <w:right w:val="nil"/>
            </w:tcBorders>
            <w:shd w:val="clear" w:color="FFFFFF" w:fill="FFFFFF"/>
            <w:vAlign w:val="bottom"/>
          </w:tcPr>
          <w:p w14:paraId="37B2302D"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215" w:type="dxa"/>
            <w:tcBorders>
              <w:top w:val="nil"/>
              <w:left w:val="nil"/>
              <w:bottom w:val="nil"/>
              <w:right w:val="nil"/>
            </w:tcBorders>
            <w:shd w:val="clear" w:color="FFFFFF" w:fill="FFFFFF"/>
            <w:vAlign w:val="bottom"/>
          </w:tcPr>
          <w:p w14:paraId="49EF0F01"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216" w:type="dxa"/>
            <w:tcBorders>
              <w:top w:val="nil"/>
              <w:left w:val="nil"/>
              <w:bottom w:val="nil"/>
              <w:right w:val="nil"/>
            </w:tcBorders>
            <w:shd w:val="clear" w:color="FFFFFF" w:fill="FFFFFF"/>
            <w:vAlign w:val="bottom"/>
          </w:tcPr>
          <w:p w14:paraId="731F7F57"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r>
      <w:tr w:rsidR="005C6008" w:rsidRPr="00E10730" w14:paraId="6DFD1A36" w14:textId="77777777" w:rsidTr="0035495B">
        <w:trPr>
          <w:trHeight w:val="250"/>
        </w:trPr>
        <w:tc>
          <w:tcPr>
            <w:tcW w:w="4025" w:type="dxa"/>
            <w:tcBorders>
              <w:top w:val="nil"/>
              <w:left w:val="nil"/>
              <w:bottom w:val="nil"/>
              <w:right w:val="nil"/>
            </w:tcBorders>
            <w:shd w:val="clear" w:color="FFFFFF" w:fill="FFFFFF"/>
            <w:vAlign w:val="bottom"/>
          </w:tcPr>
          <w:p w14:paraId="31EE66FE"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Net book value as at 30 June 2026 represented by:</w:t>
            </w:r>
          </w:p>
        </w:tc>
        <w:tc>
          <w:tcPr>
            <w:tcW w:w="1400" w:type="dxa"/>
            <w:tcBorders>
              <w:top w:val="nil"/>
              <w:left w:val="nil"/>
              <w:bottom w:val="nil"/>
              <w:right w:val="nil"/>
            </w:tcBorders>
            <w:shd w:val="clear" w:color="FFFFFF" w:fill="FFFFFF"/>
            <w:vAlign w:val="bottom"/>
          </w:tcPr>
          <w:p w14:paraId="21F1DC77"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215" w:type="dxa"/>
            <w:tcBorders>
              <w:top w:val="nil"/>
              <w:left w:val="nil"/>
              <w:bottom w:val="nil"/>
              <w:right w:val="nil"/>
            </w:tcBorders>
            <w:shd w:val="clear" w:color="FFFFFF" w:fill="FFFFFF"/>
            <w:vAlign w:val="bottom"/>
          </w:tcPr>
          <w:p w14:paraId="56A391ED"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215" w:type="dxa"/>
            <w:tcBorders>
              <w:top w:val="nil"/>
              <w:left w:val="nil"/>
              <w:bottom w:val="nil"/>
              <w:right w:val="nil"/>
            </w:tcBorders>
            <w:shd w:val="clear" w:color="FFFFFF" w:fill="FFFFFF"/>
            <w:vAlign w:val="bottom"/>
          </w:tcPr>
          <w:p w14:paraId="5C2222FD"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216" w:type="dxa"/>
            <w:tcBorders>
              <w:top w:val="nil"/>
              <w:left w:val="nil"/>
              <w:bottom w:val="nil"/>
              <w:right w:val="nil"/>
            </w:tcBorders>
            <w:shd w:val="clear" w:color="FFFFFF" w:fill="FFFFFF"/>
            <w:vAlign w:val="bottom"/>
          </w:tcPr>
          <w:p w14:paraId="24A52159"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r>
      <w:tr w:rsidR="005C6008" w:rsidRPr="00E10730" w14:paraId="093B21D6" w14:textId="77777777" w:rsidTr="0035495B">
        <w:trPr>
          <w:trHeight w:val="250"/>
        </w:trPr>
        <w:tc>
          <w:tcPr>
            <w:tcW w:w="4025" w:type="dxa"/>
            <w:tcBorders>
              <w:top w:val="nil"/>
              <w:left w:val="nil"/>
              <w:bottom w:val="nil"/>
              <w:right w:val="nil"/>
            </w:tcBorders>
            <w:shd w:val="clear" w:color="FFFFFF" w:fill="FFFFFF"/>
            <w:vAlign w:val="bottom"/>
          </w:tcPr>
          <w:p w14:paraId="21E38361"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Gross book value</w:t>
            </w:r>
          </w:p>
        </w:tc>
        <w:tc>
          <w:tcPr>
            <w:tcW w:w="1400" w:type="dxa"/>
            <w:tcBorders>
              <w:top w:val="nil"/>
              <w:left w:val="nil"/>
              <w:bottom w:val="nil"/>
              <w:right w:val="nil"/>
            </w:tcBorders>
            <w:shd w:val="clear" w:color="FFFFFF" w:fill="FFFFFF"/>
            <w:vAlign w:val="bottom"/>
          </w:tcPr>
          <w:p w14:paraId="3033DA2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537,052</w:t>
            </w:r>
          </w:p>
        </w:tc>
        <w:tc>
          <w:tcPr>
            <w:tcW w:w="1215" w:type="dxa"/>
            <w:tcBorders>
              <w:top w:val="nil"/>
              <w:left w:val="nil"/>
              <w:bottom w:val="nil"/>
              <w:right w:val="nil"/>
            </w:tcBorders>
            <w:shd w:val="clear" w:color="FFFFFF" w:fill="FFFFFF"/>
            <w:vAlign w:val="bottom"/>
          </w:tcPr>
          <w:p w14:paraId="50451A0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42,605</w:t>
            </w:r>
          </w:p>
        </w:tc>
        <w:tc>
          <w:tcPr>
            <w:tcW w:w="1215" w:type="dxa"/>
            <w:tcBorders>
              <w:top w:val="nil"/>
              <w:left w:val="nil"/>
              <w:bottom w:val="nil"/>
              <w:right w:val="nil"/>
            </w:tcBorders>
            <w:shd w:val="clear" w:color="FFFFFF" w:fill="FFFFFF"/>
            <w:vAlign w:val="bottom"/>
          </w:tcPr>
          <w:p w14:paraId="0604752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11,139</w:t>
            </w:r>
          </w:p>
        </w:tc>
        <w:tc>
          <w:tcPr>
            <w:tcW w:w="1216" w:type="dxa"/>
            <w:tcBorders>
              <w:top w:val="nil"/>
              <w:left w:val="nil"/>
              <w:bottom w:val="nil"/>
              <w:right w:val="nil"/>
            </w:tcBorders>
            <w:shd w:val="clear" w:color="FFFFFF" w:fill="FFFFFF"/>
            <w:vAlign w:val="bottom"/>
          </w:tcPr>
          <w:p w14:paraId="740F479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590,796</w:t>
            </w:r>
          </w:p>
        </w:tc>
      </w:tr>
      <w:tr w:rsidR="005C6008" w:rsidRPr="00E10730" w14:paraId="4D29FF67" w14:textId="77777777" w:rsidTr="0035495B">
        <w:trPr>
          <w:trHeight w:val="250"/>
        </w:trPr>
        <w:tc>
          <w:tcPr>
            <w:tcW w:w="4025" w:type="dxa"/>
            <w:tcBorders>
              <w:top w:val="nil"/>
              <w:left w:val="nil"/>
              <w:bottom w:val="nil"/>
              <w:right w:val="nil"/>
            </w:tcBorders>
            <w:shd w:val="clear" w:color="FFFFFF" w:fill="FFFFFF"/>
            <w:vAlign w:val="bottom"/>
          </w:tcPr>
          <w:p w14:paraId="3C8DD374"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Accumulated depreciation and impairment</w:t>
            </w:r>
          </w:p>
        </w:tc>
        <w:tc>
          <w:tcPr>
            <w:tcW w:w="1400" w:type="dxa"/>
            <w:tcBorders>
              <w:top w:val="nil"/>
              <w:left w:val="nil"/>
              <w:bottom w:val="nil"/>
              <w:right w:val="nil"/>
            </w:tcBorders>
            <w:shd w:val="clear" w:color="FFFFFF" w:fill="FFFFFF"/>
            <w:vAlign w:val="bottom"/>
          </w:tcPr>
          <w:p w14:paraId="27F5D24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(255,654)</w:t>
            </w:r>
          </w:p>
        </w:tc>
        <w:tc>
          <w:tcPr>
            <w:tcW w:w="1215" w:type="dxa"/>
            <w:tcBorders>
              <w:top w:val="nil"/>
              <w:left w:val="nil"/>
              <w:bottom w:val="nil"/>
              <w:right w:val="nil"/>
            </w:tcBorders>
            <w:vAlign w:val="bottom"/>
          </w:tcPr>
          <w:p w14:paraId="1C9085B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(27,839)</w:t>
            </w:r>
          </w:p>
        </w:tc>
        <w:tc>
          <w:tcPr>
            <w:tcW w:w="1215" w:type="dxa"/>
            <w:tcBorders>
              <w:top w:val="nil"/>
              <w:left w:val="nil"/>
              <w:bottom w:val="nil"/>
              <w:right w:val="nil"/>
            </w:tcBorders>
            <w:shd w:val="clear" w:color="FFFFFF" w:fill="FFFFFF"/>
            <w:vAlign w:val="bottom"/>
          </w:tcPr>
          <w:p w14:paraId="6F65D55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(437)</w:t>
            </w:r>
          </w:p>
        </w:tc>
        <w:tc>
          <w:tcPr>
            <w:tcW w:w="1216" w:type="dxa"/>
            <w:tcBorders>
              <w:top w:val="nil"/>
              <w:left w:val="nil"/>
              <w:bottom w:val="nil"/>
              <w:right w:val="nil"/>
            </w:tcBorders>
            <w:shd w:val="clear" w:color="FFFFFF" w:fill="FFFFFF"/>
            <w:vAlign w:val="bottom"/>
          </w:tcPr>
          <w:p w14:paraId="30B5E54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(283,930)</w:t>
            </w:r>
          </w:p>
        </w:tc>
      </w:tr>
      <w:tr w:rsidR="005C6008" w:rsidRPr="00E10730" w14:paraId="31C654DE" w14:textId="77777777" w:rsidTr="0035495B">
        <w:trPr>
          <w:trHeight w:val="250"/>
        </w:trPr>
        <w:tc>
          <w:tcPr>
            <w:tcW w:w="4025" w:type="dxa"/>
            <w:tcBorders>
              <w:top w:val="single" w:sz="4" w:space="0" w:color="auto"/>
              <w:left w:val="nil"/>
              <w:bottom w:val="single" w:sz="4" w:space="0" w:color="auto"/>
              <w:right w:val="nil"/>
            </w:tcBorders>
            <w:shd w:val="clear" w:color="FFFFFF" w:fill="FFFFFF"/>
            <w:vAlign w:val="bottom"/>
          </w:tcPr>
          <w:p w14:paraId="5F38031C"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Carrying amount as at 30 June 2026</w:t>
            </w:r>
          </w:p>
        </w:tc>
        <w:tc>
          <w:tcPr>
            <w:tcW w:w="1400" w:type="dxa"/>
            <w:tcBorders>
              <w:top w:val="single" w:sz="4" w:space="0" w:color="auto"/>
              <w:left w:val="nil"/>
              <w:bottom w:val="single" w:sz="4" w:space="0" w:color="auto"/>
              <w:right w:val="nil"/>
            </w:tcBorders>
            <w:shd w:val="clear" w:color="FFFFFF" w:fill="FFFFFF"/>
            <w:vAlign w:val="bottom"/>
          </w:tcPr>
          <w:p w14:paraId="02DC2A3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281,398</w:t>
            </w:r>
          </w:p>
        </w:tc>
        <w:tc>
          <w:tcPr>
            <w:tcW w:w="1215" w:type="dxa"/>
            <w:tcBorders>
              <w:top w:val="single" w:sz="4" w:space="0" w:color="auto"/>
              <w:left w:val="nil"/>
              <w:bottom w:val="single" w:sz="4" w:space="0" w:color="auto"/>
              <w:right w:val="nil"/>
            </w:tcBorders>
            <w:shd w:val="clear" w:color="FFFFFF" w:fill="FFFFFF"/>
            <w:vAlign w:val="bottom"/>
          </w:tcPr>
          <w:p w14:paraId="534BEF5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14,766</w:t>
            </w:r>
          </w:p>
        </w:tc>
        <w:tc>
          <w:tcPr>
            <w:tcW w:w="1215" w:type="dxa"/>
            <w:tcBorders>
              <w:top w:val="single" w:sz="4" w:space="0" w:color="auto"/>
              <w:left w:val="nil"/>
              <w:bottom w:val="single" w:sz="4" w:space="0" w:color="auto"/>
              <w:right w:val="nil"/>
            </w:tcBorders>
            <w:shd w:val="clear" w:color="FFFFFF" w:fill="FFFFFF"/>
            <w:vAlign w:val="bottom"/>
          </w:tcPr>
          <w:p w14:paraId="2329F6B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10,702</w:t>
            </w:r>
          </w:p>
        </w:tc>
        <w:tc>
          <w:tcPr>
            <w:tcW w:w="1216" w:type="dxa"/>
            <w:tcBorders>
              <w:top w:val="single" w:sz="4" w:space="0" w:color="auto"/>
              <w:left w:val="nil"/>
              <w:bottom w:val="single" w:sz="4" w:space="0" w:color="auto"/>
              <w:right w:val="nil"/>
            </w:tcBorders>
            <w:shd w:val="clear" w:color="FFFFFF" w:fill="FFFFFF"/>
            <w:vAlign w:val="bottom"/>
          </w:tcPr>
          <w:p w14:paraId="1BEB6D2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306,866</w:t>
            </w:r>
          </w:p>
        </w:tc>
      </w:tr>
      <w:tr w:rsidR="005C6008" w:rsidRPr="00E10730" w14:paraId="25B87C50" w14:textId="77777777" w:rsidTr="0035495B">
        <w:trPr>
          <w:trHeight w:val="250"/>
        </w:trPr>
        <w:tc>
          <w:tcPr>
            <w:tcW w:w="4025" w:type="dxa"/>
            <w:tcBorders>
              <w:top w:val="nil"/>
              <w:left w:val="nil"/>
              <w:bottom w:val="nil"/>
              <w:right w:val="nil"/>
            </w:tcBorders>
            <w:shd w:val="clear" w:color="FFFFFF" w:fill="FFFFFF"/>
            <w:vAlign w:val="bottom"/>
          </w:tcPr>
          <w:p w14:paraId="20B2A63C"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400" w:type="dxa"/>
            <w:tcBorders>
              <w:top w:val="nil"/>
              <w:left w:val="nil"/>
              <w:bottom w:val="nil"/>
              <w:right w:val="nil"/>
            </w:tcBorders>
            <w:shd w:val="clear" w:color="FFFFFF" w:fill="FFFFFF"/>
            <w:vAlign w:val="bottom"/>
          </w:tcPr>
          <w:p w14:paraId="00A0209F"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15" w:type="dxa"/>
            <w:tcBorders>
              <w:top w:val="nil"/>
              <w:left w:val="nil"/>
              <w:bottom w:val="nil"/>
              <w:right w:val="nil"/>
            </w:tcBorders>
            <w:shd w:val="clear" w:color="FFFFFF" w:fill="FFFFFF"/>
            <w:vAlign w:val="bottom"/>
          </w:tcPr>
          <w:p w14:paraId="1A10188E"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15" w:type="dxa"/>
            <w:tcBorders>
              <w:top w:val="nil"/>
              <w:left w:val="nil"/>
              <w:bottom w:val="nil"/>
              <w:right w:val="nil"/>
            </w:tcBorders>
            <w:shd w:val="clear" w:color="FFFFFF" w:fill="FFFFFF"/>
            <w:vAlign w:val="bottom"/>
          </w:tcPr>
          <w:p w14:paraId="768ABA2E"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16" w:type="dxa"/>
            <w:tcBorders>
              <w:top w:val="nil"/>
              <w:left w:val="nil"/>
              <w:bottom w:val="nil"/>
              <w:right w:val="nil"/>
            </w:tcBorders>
            <w:shd w:val="clear" w:color="FFFFFF" w:fill="FFFFFF"/>
            <w:vAlign w:val="bottom"/>
          </w:tcPr>
          <w:p w14:paraId="43155DB3"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14764BFE" w14:textId="77777777" w:rsidTr="0035495B">
        <w:trPr>
          <w:trHeight w:val="270"/>
        </w:trPr>
        <w:tc>
          <w:tcPr>
            <w:tcW w:w="4025" w:type="dxa"/>
            <w:tcBorders>
              <w:top w:val="single" w:sz="4" w:space="0" w:color="auto"/>
              <w:left w:val="nil"/>
              <w:bottom w:val="single" w:sz="4" w:space="0" w:color="auto"/>
              <w:right w:val="nil"/>
            </w:tcBorders>
            <w:shd w:val="clear" w:color="FFFFFF" w:fill="FFFFFF"/>
          </w:tcPr>
          <w:p w14:paraId="3185CC33"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Carrying amount of right-of-use assets as at 30 June 2026</w:t>
            </w:r>
          </w:p>
        </w:tc>
        <w:tc>
          <w:tcPr>
            <w:tcW w:w="1400" w:type="dxa"/>
            <w:tcBorders>
              <w:top w:val="single" w:sz="4" w:space="0" w:color="auto"/>
              <w:left w:val="nil"/>
              <w:bottom w:val="single" w:sz="4" w:space="0" w:color="auto"/>
              <w:right w:val="nil"/>
            </w:tcBorders>
            <w:shd w:val="clear" w:color="FFFFFF" w:fill="FFFFFF"/>
          </w:tcPr>
          <w:p w14:paraId="74F790C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123,765</w:t>
            </w:r>
          </w:p>
        </w:tc>
        <w:tc>
          <w:tcPr>
            <w:tcW w:w="1215" w:type="dxa"/>
            <w:tcBorders>
              <w:top w:val="single" w:sz="4" w:space="0" w:color="auto"/>
              <w:left w:val="nil"/>
              <w:bottom w:val="single" w:sz="4" w:space="0" w:color="auto"/>
              <w:right w:val="nil"/>
            </w:tcBorders>
            <w:shd w:val="clear" w:color="FFFFFF" w:fill="FFFFFF"/>
          </w:tcPr>
          <w:p w14:paraId="5879EA5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996</w:t>
            </w:r>
          </w:p>
        </w:tc>
        <w:tc>
          <w:tcPr>
            <w:tcW w:w="1215" w:type="dxa"/>
            <w:tcBorders>
              <w:top w:val="single" w:sz="4" w:space="0" w:color="auto"/>
              <w:left w:val="nil"/>
              <w:bottom w:val="single" w:sz="4" w:space="0" w:color="auto"/>
              <w:right w:val="nil"/>
            </w:tcBorders>
            <w:shd w:val="clear" w:color="FFFFFF" w:fill="FFFFFF"/>
          </w:tcPr>
          <w:p w14:paraId="582134D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216" w:type="dxa"/>
            <w:tcBorders>
              <w:top w:val="single" w:sz="4" w:space="0" w:color="auto"/>
              <w:left w:val="nil"/>
              <w:bottom w:val="single" w:sz="4" w:space="0" w:color="auto"/>
              <w:right w:val="nil"/>
            </w:tcBorders>
            <w:shd w:val="clear" w:color="FFFFFF" w:fill="FFFFFF"/>
          </w:tcPr>
          <w:p w14:paraId="0CF4553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124,761</w:t>
            </w:r>
          </w:p>
        </w:tc>
      </w:tr>
    </w:tbl>
    <w:p w14:paraId="194E1269" w14:textId="77777777" w:rsidR="005C6008" w:rsidRPr="00E10730" w:rsidRDefault="005C6008" w:rsidP="00115FA3">
      <w:pPr>
        <w:autoSpaceDE w:val="0"/>
        <w:autoSpaceDN w:val="0"/>
        <w:adjustRightInd w:val="0"/>
        <w:spacing w:before="120" w:line="240" w:lineRule="auto"/>
        <w:rPr>
          <w:rFonts w:eastAsia="Calibri" w:cs="Arial"/>
          <w:sz w:val="18"/>
          <w:szCs w:val="18"/>
        </w:rPr>
      </w:pPr>
      <w:r w:rsidRPr="00E10730">
        <w:rPr>
          <w:rFonts w:eastAsia="Calibri" w:cs="Arial"/>
          <w:sz w:val="18"/>
          <w:szCs w:val="18"/>
        </w:rPr>
        <w:t>All items of buildings and plant and equipment were assessed for indications of impairment as at 30 June 2026 and no indicators of impairment were found.</w:t>
      </w:r>
    </w:p>
    <w:p w14:paraId="63251664" w14:textId="77777777" w:rsidR="005C6008" w:rsidRPr="00E10730" w:rsidRDefault="005C6008" w:rsidP="00115FA3">
      <w:pPr>
        <w:autoSpaceDE w:val="0"/>
        <w:autoSpaceDN w:val="0"/>
        <w:adjustRightInd w:val="0"/>
        <w:spacing w:before="120" w:line="240" w:lineRule="auto"/>
        <w:rPr>
          <w:rFonts w:eastAsia="Calibri" w:cs="Arial"/>
          <w:sz w:val="18"/>
          <w:szCs w:val="18"/>
        </w:rPr>
      </w:pPr>
      <w:r w:rsidRPr="00E10730">
        <w:rPr>
          <w:rFonts w:eastAsia="Calibri" w:cs="Arial"/>
          <w:sz w:val="18"/>
          <w:szCs w:val="18"/>
        </w:rPr>
        <w:t>No buildings, plant and equipment or computer software are expected to be sold or disposed of within the next 12 months.</w:t>
      </w:r>
    </w:p>
    <w:p w14:paraId="20D8E8C6" w14:textId="52FFC161" w:rsidR="005C6008" w:rsidRPr="00E10730" w:rsidRDefault="005C6008" w:rsidP="00115FA3">
      <w:pPr>
        <w:autoSpaceDE w:val="0"/>
        <w:autoSpaceDN w:val="0"/>
        <w:adjustRightInd w:val="0"/>
        <w:spacing w:before="120" w:line="240" w:lineRule="auto"/>
        <w:rPr>
          <w:rFonts w:eastAsia="Calibri" w:cs="Arial"/>
          <w:sz w:val="18"/>
          <w:szCs w:val="18"/>
        </w:rPr>
      </w:pPr>
      <w:r w:rsidRPr="00E10730">
        <w:rPr>
          <w:rFonts w:eastAsia="Calibri" w:cs="Arial"/>
          <w:sz w:val="18"/>
          <w:szCs w:val="18"/>
        </w:rPr>
        <w:t>Leasehold improvements, buildings and plant and equipment, other than right-of-use plant and equipment assets</w:t>
      </w:r>
      <w:r w:rsidR="00F948A6" w:rsidRPr="00E10730">
        <w:rPr>
          <w:rFonts w:eastAsia="Calibri" w:cs="Arial"/>
          <w:sz w:val="18"/>
          <w:szCs w:val="18"/>
        </w:rPr>
        <w:t>,</w:t>
      </w:r>
      <w:r w:rsidRPr="00E10730">
        <w:rPr>
          <w:rFonts w:eastAsia="Calibri" w:cs="Arial"/>
          <w:sz w:val="18"/>
          <w:szCs w:val="18"/>
        </w:rPr>
        <w:t xml:space="preserve"> and computer software, are measured at their estimated fair value in the financial statements and are classified as level 3 assets.</w:t>
      </w:r>
    </w:p>
    <w:p w14:paraId="3C66C3BB" w14:textId="77777777" w:rsidR="005C6008" w:rsidRPr="00E10730" w:rsidRDefault="005C6008" w:rsidP="00115FA3">
      <w:pPr>
        <w:autoSpaceDE w:val="0"/>
        <w:autoSpaceDN w:val="0"/>
        <w:adjustRightInd w:val="0"/>
        <w:spacing w:before="120" w:line="240" w:lineRule="auto"/>
        <w:rPr>
          <w:rFonts w:eastAsia="Calibri" w:cs="Arial"/>
          <w:sz w:val="18"/>
          <w:szCs w:val="18"/>
        </w:rPr>
      </w:pPr>
      <w:r w:rsidRPr="00E10730">
        <w:rPr>
          <w:rFonts w:eastAsia="Calibri" w:cs="Arial"/>
          <w:sz w:val="18"/>
          <w:szCs w:val="18"/>
        </w:rPr>
        <w:t>The Agency had contractual commitment for the acquisition of property, plant and equipment and computer software assets as at 30 June 2026 of $22.57m (2025: $53.49m).</w:t>
      </w:r>
    </w:p>
    <w:p w14:paraId="4D6FA191" w14:textId="77777777" w:rsidR="005C6008" w:rsidRPr="00E10730" w:rsidRDefault="005C6008" w:rsidP="00115FA3">
      <w:pPr>
        <w:autoSpaceDE w:val="0"/>
        <w:autoSpaceDN w:val="0"/>
        <w:adjustRightInd w:val="0"/>
        <w:spacing w:before="120" w:line="240" w:lineRule="auto"/>
        <w:rPr>
          <w:rFonts w:eastAsia="Calibri" w:cs="Arial"/>
          <w:sz w:val="18"/>
          <w:szCs w:val="18"/>
        </w:rPr>
      </w:pPr>
      <w:r w:rsidRPr="00E10730">
        <w:rPr>
          <w:rFonts w:eastAsia="Calibri" w:cs="Arial"/>
          <w:sz w:val="18"/>
          <w:szCs w:val="18"/>
        </w:rPr>
        <w:t xml:space="preserve">All revaluations were conducted in accordance with the revaluation policy stated in the Accounting Policy section below. The fair value measurements of the Agency’s leasehold improvements as at 30 June 2026 were reassessed by Jones Lang LaSalle (JLL), independent valuers. JLL have appropriate qualifications and experience in the fair value measurement of similar assets in the Government sector. </w:t>
      </w:r>
    </w:p>
    <w:p w14:paraId="4E962033" w14:textId="77777777" w:rsidR="005C6008" w:rsidRPr="00E10730" w:rsidRDefault="005C6008" w:rsidP="00115FA3">
      <w:pPr>
        <w:autoSpaceDE w:val="0"/>
        <w:autoSpaceDN w:val="0"/>
        <w:adjustRightInd w:val="0"/>
        <w:spacing w:before="240" w:after="0" w:line="240" w:lineRule="auto"/>
        <w:rPr>
          <w:rFonts w:eastAsia="Calibri" w:cs="Arial"/>
          <w:b/>
          <w:bCs/>
          <w:sz w:val="18"/>
          <w:szCs w:val="18"/>
        </w:rPr>
        <w:sectPr w:rsidR="005C6008" w:rsidRPr="00E10730" w:rsidSect="00EB1047">
          <w:pgSz w:w="11906" w:h="16838" w:code="9"/>
          <w:pgMar w:top="1247" w:right="1701" w:bottom="1247" w:left="1134" w:header="567" w:footer="567" w:gutter="0"/>
          <w:cols w:space="720"/>
          <w:noEndnote/>
          <w:docGrid w:linePitch="326"/>
        </w:sectPr>
      </w:pPr>
    </w:p>
    <w:p w14:paraId="705E2D46"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National Disability Insurance Agency</w:t>
      </w:r>
    </w:p>
    <w:p w14:paraId="67FBD415"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43041AFF" w14:textId="77777777" w:rsidR="005C6008" w:rsidRPr="00E10730" w:rsidRDefault="005C6008" w:rsidP="00115FA3">
      <w:pPr>
        <w:autoSpaceDE w:val="0"/>
        <w:autoSpaceDN w:val="0"/>
        <w:adjustRightInd w:val="0"/>
        <w:spacing w:before="180" w:after="0" w:line="240" w:lineRule="auto"/>
        <w:rPr>
          <w:rFonts w:eastAsia="Calibri" w:cs="Arial"/>
          <w:b/>
          <w:bCs/>
          <w:sz w:val="18"/>
          <w:szCs w:val="18"/>
        </w:rPr>
      </w:pPr>
      <w:r w:rsidRPr="00E10730">
        <w:rPr>
          <w:rFonts w:eastAsia="Calibri" w:cs="Arial"/>
          <w:b/>
          <w:bCs/>
          <w:sz w:val="18"/>
          <w:szCs w:val="18"/>
        </w:rPr>
        <w:t>Accounting Policy</w:t>
      </w:r>
    </w:p>
    <w:p w14:paraId="0F8C7BA9" w14:textId="77777777" w:rsidR="005C6008" w:rsidRPr="00E10730" w:rsidRDefault="005C6008" w:rsidP="00FD41DC">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Assets are recorded at cost on acquisition except as stated below. The cost of acquisition includes the fair value of assets transferred in exchange and liabilities undertaken. Non-financial assets are initially measured at their fair value plus transaction costs where appropriate.</w:t>
      </w:r>
    </w:p>
    <w:p w14:paraId="1B70BFC3" w14:textId="77777777" w:rsidR="005C6008" w:rsidRPr="00E10730" w:rsidRDefault="005C6008" w:rsidP="00FD41DC">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 xml:space="preserve">Assets acquired at no cost, or for nominal consideration, are initially recognised as assets and income at their fair value at the date of acquisition. </w:t>
      </w:r>
    </w:p>
    <w:p w14:paraId="4F796C9D" w14:textId="77777777" w:rsidR="005C6008" w:rsidRPr="00E10730" w:rsidRDefault="005C6008" w:rsidP="00FD41DC">
      <w:pPr>
        <w:autoSpaceDE w:val="0"/>
        <w:autoSpaceDN w:val="0"/>
        <w:adjustRightInd w:val="0"/>
        <w:spacing w:before="180" w:after="0" w:line="240" w:lineRule="auto"/>
        <w:rPr>
          <w:rFonts w:eastAsia="Calibri" w:cs="Arial"/>
          <w:sz w:val="18"/>
          <w:szCs w:val="18"/>
          <w:u w:val="single"/>
        </w:rPr>
      </w:pPr>
      <w:r w:rsidRPr="00E10730">
        <w:rPr>
          <w:rFonts w:eastAsia="Calibri" w:cs="Arial"/>
          <w:sz w:val="18"/>
          <w:szCs w:val="18"/>
          <w:u w:val="single"/>
        </w:rPr>
        <w:t>Asset recognition threshold</w:t>
      </w:r>
    </w:p>
    <w:p w14:paraId="00489589" w14:textId="67A72397" w:rsidR="005C6008" w:rsidRPr="00E10730" w:rsidRDefault="005C6008" w:rsidP="00FD41DC">
      <w:pPr>
        <w:autoSpaceDE w:val="0"/>
        <w:autoSpaceDN w:val="0"/>
        <w:adjustRightInd w:val="0"/>
        <w:spacing w:after="0" w:line="240" w:lineRule="auto"/>
        <w:rPr>
          <w:rFonts w:eastAsia="Calibri" w:cs="Arial"/>
          <w:sz w:val="18"/>
          <w:szCs w:val="18"/>
        </w:rPr>
      </w:pPr>
      <w:r w:rsidRPr="00E10730">
        <w:rPr>
          <w:rFonts w:eastAsia="Calibri" w:cs="Arial"/>
          <w:sz w:val="18"/>
          <w:szCs w:val="18"/>
        </w:rPr>
        <w:t>Purchases</w:t>
      </w:r>
      <w:r w:rsidRPr="00E10730">
        <w:rPr>
          <w:rFonts w:eastAsia="Calibri" w:cs="Arial"/>
          <w:sz w:val="21"/>
          <w:szCs w:val="21"/>
        </w:rPr>
        <w:t xml:space="preserve"> </w:t>
      </w:r>
      <w:r w:rsidRPr="00E10730">
        <w:rPr>
          <w:rFonts w:eastAsia="Calibri" w:cs="Arial"/>
          <w:sz w:val="18"/>
          <w:szCs w:val="18"/>
        </w:rPr>
        <w:t>of leasehold improvements, plant and equipment</w:t>
      </w:r>
      <w:r w:rsidR="00394242" w:rsidRPr="00E10730">
        <w:rPr>
          <w:rFonts w:eastAsia="Calibri" w:cs="Arial"/>
          <w:sz w:val="18"/>
          <w:szCs w:val="18"/>
        </w:rPr>
        <w:t>, and computer software</w:t>
      </w:r>
      <w:r w:rsidRPr="00E10730">
        <w:rPr>
          <w:rFonts w:eastAsia="Calibri" w:cs="Arial"/>
          <w:sz w:val="18"/>
          <w:szCs w:val="18"/>
        </w:rPr>
        <w:t xml:space="preserve"> are recognised initially at cost in the Statement of Financial Position, except for leased Right-of-Use (ROU) assets and purchases costing less than $100,000 which are expensed in the year of acquisition (other than where they form part of a group of similar items which are significant in total). Significant in total is defined as a value equal to or greater than $100,000 for similar items acquired or expected to be acquired over the length of an acquisition project.</w:t>
      </w:r>
    </w:p>
    <w:p w14:paraId="7B9D5BB8" w14:textId="77777777" w:rsidR="005C6008" w:rsidRPr="00E10730" w:rsidRDefault="005C6008" w:rsidP="00FD41DC">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 xml:space="preserve">The initial cost of an asset includes an estimate of the cost of dismantling and removing the item and restoring the site on which it is located. This is particularly relevant to ‘make good’ provisions in property leases taken up by the Agency where there exists an obligation to restore the property to its original condition. </w:t>
      </w:r>
    </w:p>
    <w:p w14:paraId="5ED48F77" w14:textId="77777777" w:rsidR="005C6008" w:rsidRPr="00E10730" w:rsidRDefault="005C6008" w:rsidP="00FD41DC">
      <w:pPr>
        <w:autoSpaceDE w:val="0"/>
        <w:autoSpaceDN w:val="0"/>
        <w:adjustRightInd w:val="0"/>
        <w:spacing w:before="180" w:after="0" w:line="240" w:lineRule="auto"/>
        <w:rPr>
          <w:rFonts w:eastAsia="Calibri" w:cs="Arial"/>
          <w:sz w:val="18"/>
          <w:szCs w:val="18"/>
          <w:u w:val="single"/>
        </w:rPr>
      </w:pPr>
      <w:r w:rsidRPr="00E10730">
        <w:rPr>
          <w:rFonts w:eastAsia="Calibri" w:cs="Arial"/>
          <w:sz w:val="18"/>
          <w:szCs w:val="18"/>
          <w:u w:val="single"/>
        </w:rPr>
        <w:t>Leased Right-of-Use Assets</w:t>
      </w:r>
    </w:p>
    <w:p w14:paraId="1B90A691" w14:textId="77777777" w:rsidR="005C6008" w:rsidRPr="00E10730" w:rsidRDefault="005C6008" w:rsidP="00FD41DC">
      <w:pPr>
        <w:autoSpaceDE w:val="0"/>
        <w:autoSpaceDN w:val="0"/>
        <w:adjustRightInd w:val="0"/>
        <w:spacing w:after="0" w:line="240" w:lineRule="auto"/>
        <w:rPr>
          <w:rFonts w:eastAsia="Calibri" w:cs="Arial"/>
          <w:sz w:val="18"/>
          <w:szCs w:val="18"/>
        </w:rPr>
      </w:pPr>
      <w:r w:rsidRPr="00E10730">
        <w:rPr>
          <w:rFonts w:eastAsia="Calibri" w:cs="Arial"/>
          <w:sz w:val="18"/>
          <w:szCs w:val="18"/>
        </w:rPr>
        <w:t>Purchases of leased ROU assets are capitalised at the commencement date of the lease and comprise the initial lease liability amount, including an estimate of any ‘make good’ provision in the lease, initial direct costs incurred when entering into the lease less any lease incentives received. These assets are accounted for by the Agency as separate asset classes to the corresponding assets owned outright but are included in the same column as where the corresponding underlying assets would be presented if they were owned.</w:t>
      </w:r>
    </w:p>
    <w:p w14:paraId="1752D674" w14:textId="77777777" w:rsidR="005C6008" w:rsidRPr="00E10730" w:rsidRDefault="005C6008" w:rsidP="00FD41DC">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Following initial application of AASB 16, an impairment review is undertaken for any ROU lease asset that shows indicators of impairment, and an impairment loss is recognised against any ROU lease asset that is impaired. Leased ROU assets continue to be measured at cost after initial recognition in Commonwealth Agency, General Government Sector and Whole of Government financial statements.</w:t>
      </w:r>
    </w:p>
    <w:p w14:paraId="5FF9E872" w14:textId="77777777" w:rsidR="005C6008" w:rsidRPr="00E10730" w:rsidRDefault="005C6008" w:rsidP="00FD41DC">
      <w:pPr>
        <w:autoSpaceDE w:val="0"/>
        <w:autoSpaceDN w:val="0"/>
        <w:adjustRightInd w:val="0"/>
        <w:spacing w:before="180" w:after="0" w:line="240" w:lineRule="auto"/>
        <w:rPr>
          <w:rFonts w:eastAsia="Calibri" w:cs="Arial"/>
          <w:sz w:val="18"/>
          <w:szCs w:val="18"/>
          <w:u w:val="single"/>
        </w:rPr>
      </w:pPr>
      <w:r w:rsidRPr="00E10730">
        <w:rPr>
          <w:rFonts w:eastAsia="Calibri" w:cs="Arial"/>
          <w:sz w:val="18"/>
          <w:szCs w:val="18"/>
          <w:u w:val="single"/>
        </w:rPr>
        <w:t>Revaluations</w:t>
      </w:r>
    </w:p>
    <w:p w14:paraId="1157421F" w14:textId="77777777" w:rsidR="005C6008" w:rsidRPr="00E10730" w:rsidRDefault="005C6008" w:rsidP="00FD41DC">
      <w:pPr>
        <w:autoSpaceDE w:val="0"/>
        <w:autoSpaceDN w:val="0"/>
        <w:adjustRightInd w:val="0"/>
        <w:spacing w:after="0" w:line="240" w:lineRule="auto"/>
        <w:rPr>
          <w:rFonts w:eastAsia="Calibri" w:cs="Arial"/>
          <w:sz w:val="18"/>
          <w:szCs w:val="18"/>
        </w:rPr>
      </w:pPr>
      <w:r w:rsidRPr="00E10730">
        <w:rPr>
          <w:rFonts w:eastAsia="Calibri" w:cs="Arial"/>
          <w:sz w:val="18"/>
          <w:szCs w:val="18"/>
        </w:rPr>
        <w:t>Following initial recognition at cost, items of leasehold improvements, plant, and equipment (excluding ROU assets) are carried at fair value (or an amount not materially different from fair value) less accumulated depreciation and accumulated impairment losses. Valuations are conducted with sufficient frequency to ensure that the carrying value of items does not differ materially from their fair value at each reporting date.</w:t>
      </w:r>
      <w:r w:rsidRPr="00E10730">
        <w:rPr>
          <w:rFonts w:eastAsia="Calibri" w:cs="Arial"/>
          <w:sz w:val="22"/>
          <w:szCs w:val="22"/>
        </w:rPr>
        <w:t xml:space="preserve"> </w:t>
      </w:r>
      <w:r w:rsidRPr="00E10730">
        <w:rPr>
          <w:rFonts w:eastAsia="Calibri" w:cs="Arial"/>
          <w:sz w:val="18"/>
          <w:szCs w:val="18"/>
        </w:rPr>
        <w:t>The regularity of independent valuations depended on the volatility of movements in market values for the relevant assets.</w:t>
      </w:r>
    </w:p>
    <w:p w14:paraId="5B905788" w14:textId="77777777" w:rsidR="005C6008" w:rsidRPr="00E10730" w:rsidRDefault="005C6008" w:rsidP="00FD41DC">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 xml:space="preserve">Revaluation adjustments are made on a class basis. Any revaluation increment is credited to equity under the heading of asset revaluation reserve except to the extent that it reversed a previous revaluation decrement of the same asset class that was previously recognised in the surplus/deficit. Revaluation decrements for a class of assets are recognised directly in the surplus/deficit except to the extent that they reverse a previous revaluation increment for that class. </w:t>
      </w:r>
    </w:p>
    <w:p w14:paraId="4B7AE60E" w14:textId="77777777" w:rsidR="005C6008" w:rsidRPr="00E10730" w:rsidRDefault="005C6008" w:rsidP="00FD41DC">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 xml:space="preserve">Any accumulated depreciation as at the revaluation date is eliminated against the gross carrying amount of the asset and the asset is restated to the revalued amount. </w:t>
      </w:r>
    </w:p>
    <w:p w14:paraId="44D88545" w14:textId="77777777" w:rsidR="005C6008" w:rsidRPr="00E10730" w:rsidRDefault="005C6008" w:rsidP="00FD41DC">
      <w:pPr>
        <w:autoSpaceDE w:val="0"/>
        <w:autoSpaceDN w:val="0"/>
        <w:adjustRightInd w:val="0"/>
        <w:spacing w:before="180" w:after="0" w:line="240" w:lineRule="auto"/>
        <w:rPr>
          <w:rFonts w:eastAsia="Calibri" w:cs="Arial"/>
          <w:sz w:val="18"/>
          <w:szCs w:val="18"/>
          <w:u w:val="single"/>
        </w:rPr>
      </w:pPr>
      <w:r w:rsidRPr="00E10730">
        <w:rPr>
          <w:rFonts w:eastAsia="Calibri" w:cs="Arial"/>
          <w:sz w:val="18"/>
          <w:szCs w:val="18"/>
          <w:u w:val="single"/>
        </w:rPr>
        <w:t>Depreciation</w:t>
      </w:r>
    </w:p>
    <w:p w14:paraId="417D8E45" w14:textId="77777777" w:rsidR="005C6008" w:rsidRPr="00E10730" w:rsidRDefault="005C6008" w:rsidP="00FD41DC">
      <w:pPr>
        <w:autoSpaceDE w:val="0"/>
        <w:autoSpaceDN w:val="0"/>
        <w:adjustRightInd w:val="0"/>
        <w:spacing w:after="0" w:line="240" w:lineRule="auto"/>
        <w:rPr>
          <w:rFonts w:eastAsia="Calibri" w:cs="Arial"/>
          <w:sz w:val="18"/>
          <w:szCs w:val="18"/>
        </w:rPr>
      </w:pPr>
      <w:r w:rsidRPr="00E10730">
        <w:rPr>
          <w:rFonts w:eastAsia="Calibri" w:cs="Arial"/>
          <w:sz w:val="18"/>
          <w:szCs w:val="18"/>
        </w:rPr>
        <w:t>Depreciable leasehold improvements, plant, and equipment assets (other than leasehold improvements under construction) are written off to their estimated residual values over their estimated useful lives using the straight-line method of depreciation. The estimated useful lives, residual values and depreciation methods are reviewed at the end of each reporting period, with the effect of any changes in estimates accounted for on a prospective basis. The table below outlines the depreciation rates applying to each class of depreciable asset based on the following useful lives:</w:t>
      </w:r>
    </w:p>
    <w:p w14:paraId="08C7BD9E" w14:textId="77777777" w:rsidR="005C6008" w:rsidRPr="00E10730" w:rsidRDefault="005C6008" w:rsidP="00115FA3">
      <w:pPr>
        <w:autoSpaceDE w:val="0"/>
        <w:autoSpaceDN w:val="0"/>
        <w:adjustRightInd w:val="0"/>
        <w:spacing w:after="0" w:line="240" w:lineRule="auto"/>
        <w:jc w:val="both"/>
        <w:rPr>
          <w:rFonts w:eastAsia="Calibri" w:cs="Arial"/>
          <w:sz w:val="18"/>
          <w:szCs w:val="18"/>
        </w:rPr>
      </w:pPr>
    </w:p>
    <w:tbl>
      <w:tblPr>
        <w:tblW w:w="0" w:type="auto"/>
        <w:tblBorders>
          <w:top w:val="single" w:sz="8" w:space="0" w:color="000000"/>
          <w:bottom w:val="single" w:sz="8" w:space="0" w:color="000000"/>
        </w:tblBorders>
        <w:tblLayout w:type="fixed"/>
        <w:tblLook w:val="0000" w:firstRow="0" w:lastRow="0" w:firstColumn="0" w:lastColumn="0" w:noHBand="0" w:noVBand="0"/>
      </w:tblPr>
      <w:tblGrid>
        <w:gridCol w:w="2094"/>
        <w:gridCol w:w="2041"/>
        <w:gridCol w:w="2041"/>
      </w:tblGrid>
      <w:tr w:rsidR="005C6008" w:rsidRPr="00E10730" w14:paraId="4DBA8510" w14:textId="77777777">
        <w:trPr>
          <w:trHeight w:val="236"/>
        </w:trPr>
        <w:tc>
          <w:tcPr>
            <w:tcW w:w="2094" w:type="dxa"/>
            <w:tcBorders>
              <w:top w:val="single" w:sz="8" w:space="0" w:color="000000"/>
              <w:left w:val="nil"/>
              <w:bottom w:val="nil"/>
              <w:right w:val="nil"/>
            </w:tcBorders>
          </w:tcPr>
          <w:p w14:paraId="71C213FD" w14:textId="77777777" w:rsidR="005C6008" w:rsidRPr="00E10730" w:rsidRDefault="005C6008" w:rsidP="00115FA3">
            <w:pPr>
              <w:autoSpaceDE w:val="0"/>
              <w:autoSpaceDN w:val="0"/>
              <w:adjustRightInd w:val="0"/>
              <w:spacing w:before="40" w:after="40" w:line="240" w:lineRule="auto"/>
              <w:ind w:left="992" w:hanging="992"/>
              <w:rPr>
                <w:rFonts w:eastAsia="Calibri" w:cs="Arial"/>
                <w:b/>
                <w:bCs/>
                <w:sz w:val="18"/>
                <w:szCs w:val="18"/>
              </w:rPr>
            </w:pPr>
            <w:r w:rsidRPr="00E10730">
              <w:rPr>
                <w:rFonts w:eastAsia="Calibri" w:cs="Arial"/>
                <w:b/>
                <w:bCs/>
                <w:color w:val="000000"/>
                <w:sz w:val="18"/>
                <w:szCs w:val="18"/>
              </w:rPr>
              <w:t>Asset class</w:t>
            </w:r>
          </w:p>
        </w:tc>
        <w:tc>
          <w:tcPr>
            <w:tcW w:w="4082" w:type="dxa"/>
            <w:gridSpan w:val="2"/>
            <w:tcBorders>
              <w:top w:val="single" w:sz="8" w:space="0" w:color="000000"/>
              <w:left w:val="nil"/>
              <w:bottom w:val="single" w:sz="8" w:space="0" w:color="auto"/>
              <w:right w:val="nil"/>
            </w:tcBorders>
          </w:tcPr>
          <w:p w14:paraId="3D85B697" w14:textId="77777777" w:rsidR="005C6008" w:rsidRPr="00E10730" w:rsidRDefault="005C6008" w:rsidP="00115FA3">
            <w:pPr>
              <w:autoSpaceDE w:val="0"/>
              <w:autoSpaceDN w:val="0"/>
              <w:adjustRightInd w:val="0"/>
              <w:spacing w:before="40" w:after="40" w:line="240" w:lineRule="auto"/>
              <w:jc w:val="center"/>
              <w:rPr>
                <w:rFonts w:eastAsia="Calibri" w:cs="Arial"/>
                <w:b/>
                <w:bCs/>
                <w:color w:val="000000"/>
                <w:sz w:val="18"/>
                <w:szCs w:val="18"/>
              </w:rPr>
            </w:pPr>
            <w:r w:rsidRPr="00E10730">
              <w:rPr>
                <w:rFonts w:eastAsia="Calibri" w:cs="Arial"/>
                <w:b/>
                <w:bCs/>
                <w:color w:val="000000"/>
                <w:sz w:val="18"/>
                <w:szCs w:val="18"/>
              </w:rPr>
              <w:t>Useful life</w:t>
            </w:r>
          </w:p>
        </w:tc>
      </w:tr>
      <w:tr w:rsidR="005C6008" w:rsidRPr="00E10730" w14:paraId="7FBE2B56" w14:textId="77777777">
        <w:trPr>
          <w:trHeight w:val="236"/>
        </w:trPr>
        <w:tc>
          <w:tcPr>
            <w:tcW w:w="2094" w:type="dxa"/>
            <w:tcBorders>
              <w:top w:val="nil"/>
              <w:left w:val="nil"/>
              <w:bottom w:val="single" w:sz="8" w:space="0" w:color="auto"/>
              <w:right w:val="nil"/>
            </w:tcBorders>
          </w:tcPr>
          <w:p w14:paraId="078F9839" w14:textId="77777777" w:rsidR="005C6008" w:rsidRPr="00E10730" w:rsidRDefault="005C6008" w:rsidP="00115FA3">
            <w:pPr>
              <w:autoSpaceDE w:val="0"/>
              <w:autoSpaceDN w:val="0"/>
              <w:adjustRightInd w:val="0"/>
              <w:spacing w:before="40" w:after="40" w:line="240" w:lineRule="auto"/>
              <w:ind w:left="992" w:hanging="992"/>
              <w:rPr>
                <w:rFonts w:eastAsia="Calibri" w:cs="Arial"/>
                <w:color w:val="000000"/>
                <w:sz w:val="18"/>
                <w:szCs w:val="18"/>
              </w:rPr>
            </w:pPr>
          </w:p>
        </w:tc>
        <w:tc>
          <w:tcPr>
            <w:tcW w:w="2041" w:type="dxa"/>
            <w:tcBorders>
              <w:top w:val="single" w:sz="8" w:space="0" w:color="auto"/>
              <w:left w:val="nil"/>
              <w:bottom w:val="single" w:sz="8" w:space="0" w:color="auto"/>
              <w:right w:val="nil"/>
            </w:tcBorders>
          </w:tcPr>
          <w:p w14:paraId="2ACF7B48" w14:textId="5D49D9A9" w:rsidR="005C6008" w:rsidRPr="00E10730" w:rsidRDefault="005C6008" w:rsidP="00115FA3">
            <w:pPr>
              <w:autoSpaceDE w:val="0"/>
              <w:autoSpaceDN w:val="0"/>
              <w:adjustRightInd w:val="0"/>
              <w:spacing w:before="40" w:after="40" w:line="240" w:lineRule="auto"/>
              <w:rPr>
                <w:rFonts w:eastAsia="Calibri" w:cs="Arial"/>
                <w:b/>
                <w:bCs/>
                <w:color w:val="000000"/>
                <w:sz w:val="18"/>
                <w:szCs w:val="18"/>
              </w:rPr>
            </w:pPr>
            <w:r w:rsidRPr="00E10730">
              <w:rPr>
                <w:rFonts w:eastAsia="Calibri" w:cs="Arial"/>
                <w:b/>
                <w:bCs/>
                <w:color w:val="000000"/>
                <w:sz w:val="18"/>
                <w:szCs w:val="18"/>
              </w:rPr>
              <w:t>2025</w:t>
            </w:r>
            <w:r w:rsidR="001513F8" w:rsidRPr="00E10730">
              <w:rPr>
                <w:rFonts w:eastAsia="Calibri" w:cs="Arial"/>
                <w:b/>
                <w:bCs/>
                <w:color w:val="000000"/>
                <w:sz w:val="18"/>
                <w:szCs w:val="18"/>
              </w:rPr>
              <w:t>–</w:t>
            </w:r>
            <w:r w:rsidRPr="00E10730">
              <w:rPr>
                <w:rFonts w:eastAsia="Calibri" w:cs="Arial"/>
                <w:b/>
                <w:bCs/>
                <w:color w:val="000000"/>
                <w:sz w:val="18"/>
                <w:szCs w:val="18"/>
              </w:rPr>
              <w:t>26</w:t>
            </w:r>
          </w:p>
        </w:tc>
        <w:tc>
          <w:tcPr>
            <w:tcW w:w="2041" w:type="dxa"/>
            <w:tcBorders>
              <w:top w:val="single" w:sz="8" w:space="0" w:color="auto"/>
              <w:left w:val="nil"/>
              <w:bottom w:val="single" w:sz="8" w:space="0" w:color="auto"/>
              <w:right w:val="nil"/>
            </w:tcBorders>
          </w:tcPr>
          <w:p w14:paraId="74B931F3" w14:textId="519B3DE3" w:rsidR="005C6008" w:rsidRPr="00E10730" w:rsidRDefault="005C6008" w:rsidP="00115FA3">
            <w:pPr>
              <w:autoSpaceDE w:val="0"/>
              <w:autoSpaceDN w:val="0"/>
              <w:adjustRightInd w:val="0"/>
              <w:spacing w:before="40" w:after="40" w:line="240" w:lineRule="auto"/>
              <w:rPr>
                <w:rFonts w:eastAsia="Calibri" w:cs="Arial"/>
                <w:color w:val="000000"/>
                <w:sz w:val="18"/>
                <w:szCs w:val="18"/>
              </w:rPr>
            </w:pPr>
            <w:r w:rsidRPr="00E10730">
              <w:rPr>
                <w:rFonts w:eastAsia="Calibri" w:cs="Arial"/>
                <w:color w:val="000000"/>
                <w:sz w:val="18"/>
                <w:szCs w:val="18"/>
              </w:rPr>
              <w:t>2024</w:t>
            </w:r>
            <w:r w:rsidR="001513F8" w:rsidRPr="00E10730">
              <w:rPr>
                <w:rFonts w:eastAsia="Calibri" w:cs="Arial"/>
                <w:color w:val="000000"/>
                <w:sz w:val="18"/>
                <w:szCs w:val="18"/>
              </w:rPr>
              <w:t>–</w:t>
            </w:r>
            <w:r w:rsidRPr="00E10730">
              <w:rPr>
                <w:rFonts w:eastAsia="Calibri" w:cs="Arial"/>
                <w:color w:val="000000"/>
                <w:sz w:val="18"/>
                <w:szCs w:val="18"/>
              </w:rPr>
              <w:t>25</w:t>
            </w:r>
          </w:p>
        </w:tc>
      </w:tr>
      <w:tr w:rsidR="005C6008" w:rsidRPr="00E10730" w14:paraId="679C876E" w14:textId="77777777">
        <w:trPr>
          <w:trHeight w:val="236"/>
        </w:trPr>
        <w:tc>
          <w:tcPr>
            <w:tcW w:w="2094" w:type="dxa"/>
            <w:tcBorders>
              <w:top w:val="single" w:sz="8" w:space="0" w:color="auto"/>
              <w:left w:val="nil"/>
              <w:bottom w:val="nil"/>
              <w:right w:val="nil"/>
            </w:tcBorders>
          </w:tcPr>
          <w:p w14:paraId="3D919062" w14:textId="77777777" w:rsidR="005C6008" w:rsidRPr="00E10730" w:rsidRDefault="005C6008" w:rsidP="00115FA3">
            <w:pPr>
              <w:autoSpaceDE w:val="0"/>
              <w:autoSpaceDN w:val="0"/>
              <w:adjustRightInd w:val="0"/>
              <w:spacing w:before="40" w:after="40" w:line="240" w:lineRule="auto"/>
              <w:ind w:left="992" w:hanging="992"/>
              <w:rPr>
                <w:rFonts w:eastAsia="Calibri" w:cs="Arial"/>
                <w:b/>
                <w:bCs/>
                <w:sz w:val="18"/>
                <w:szCs w:val="18"/>
              </w:rPr>
            </w:pPr>
            <w:r w:rsidRPr="00E10730">
              <w:rPr>
                <w:rFonts w:eastAsia="Calibri" w:cs="Arial"/>
                <w:b/>
                <w:bCs/>
                <w:color w:val="000000"/>
                <w:sz w:val="18"/>
                <w:szCs w:val="18"/>
              </w:rPr>
              <w:t>Plant and equipment</w:t>
            </w:r>
          </w:p>
        </w:tc>
        <w:tc>
          <w:tcPr>
            <w:tcW w:w="2041" w:type="dxa"/>
            <w:tcBorders>
              <w:top w:val="single" w:sz="8" w:space="0" w:color="auto"/>
              <w:left w:val="nil"/>
              <w:bottom w:val="nil"/>
              <w:right w:val="nil"/>
            </w:tcBorders>
          </w:tcPr>
          <w:p w14:paraId="145CC91C" w14:textId="77777777" w:rsidR="005C6008" w:rsidRPr="00E10730" w:rsidRDefault="005C6008" w:rsidP="00115FA3">
            <w:pPr>
              <w:autoSpaceDE w:val="0"/>
              <w:autoSpaceDN w:val="0"/>
              <w:adjustRightInd w:val="0"/>
              <w:spacing w:before="40" w:after="40" w:line="240" w:lineRule="auto"/>
              <w:rPr>
                <w:rFonts w:eastAsia="Calibri" w:cs="Arial"/>
                <w:b/>
                <w:bCs/>
                <w:sz w:val="18"/>
                <w:szCs w:val="18"/>
              </w:rPr>
            </w:pPr>
            <w:r w:rsidRPr="00E10730">
              <w:rPr>
                <w:rFonts w:eastAsia="Calibri" w:cs="Arial"/>
                <w:b/>
                <w:bCs/>
                <w:color w:val="000000"/>
                <w:sz w:val="18"/>
                <w:szCs w:val="18"/>
              </w:rPr>
              <w:t>3 to 10 years</w:t>
            </w:r>
          </w:p>
        </w:tc>
        <w:tc>
          <w:tcPr>
            <w:tcW w:w="2041" w:type="dxa"/>
            <w:tcBorders>
              <w:top w:val="single" w:sz="8" w:space="0" w:color="auto"/>
              <w:left w:val="nil"/>
              <w:bottom w:val="nil"/>
              <w:right w:val="nil"/>
            </w:tcBorders>
          </w:tcPr>
          <w:p w14:paraId="469BF1EA" w14:textId="77777777" w:rsidR="005C6008" w:rsidRPr="00E10730" w:rsidRDefault="005C6008" w:rsidP="00115FA3">
            <w:pPr>
              <w:autoSpaceDE w:val="0"/>
              <w:autoSpaceDN w:val="0"/>
              <w:adjustRightInd w:val="0"/>
              <w:spacing w:before="40" w:after="40" w:line="240" w:lineRule="auto"/>
              <w:rPr>
                <w:rFonts w:eastAsia="Calibri" w:cs="Arial"/>
                <w:color w:val="000000"/>
                <w:sz w:val="18"/>
                <w:szCs w:val="18"/>
              </w:rPr>
            </w:pPr>
            <w:r w:rsidRPr="00E10730">
              <w:rPr>
                <w:rFonts w:eastAsia="Calibri" w:cs="Arial"/>
                <w:color w:val="000000"/>
                <w:sz w:val="18"/>
                <w:szCs w:val="18"/>
              </w:rPr>
              <w:t>3 to 10 years</w:t>
            </w:r>
          </w:p>
        </w:tc>
      </w:tr>
      <w:tr w:rsidR="005C6008" w:rsidRPr="00E10730" w14:paraId="4D9C528E" w14:textId="77777777">
        <w:trPr>
          <w:trHeight w:val="249"/>
        </w:trPr>
        <w:tc>
          <w:tcPr>
            <w:tcW w:w="2094" w:type="dxa"/>
            <w:tcBorders>
              <w:top w:val="nil"/>
              <w:left w:val="nil"/>
              <w:bottom w:val="single" w:sz="8" w:space="0" w:color="000000"/>
              <w:right w:val="nil"/>
            </w:tcBorders>
          </w:tcPr>
          <w:p w14:paraId="7B04769A" w14:textId="77777777" w:rsidR="005C6008" w:rsidRPr="00E10730" w:rsidRDefault="005C6008" w:rsidP="00115FA3">
            <w:pPr>
              <w:autoSpaceDE w:val="0"/>
              <w:autoSpaceDN w:val="0"/>
              <w:adjustRightInd w:val="0"/>
              <w:spacing w:before="40" w:after="40" w:line="240" w:lineRule="auto"/>
              <w:ind w:left="992" w:hanging="992"/>
              <w:rPr>
                <w:rFonts w:eastAsia="Calibri" w:cs="Arial"/>
                <w:b/>
                <w:bCs/>
                <w:color w:val="000000"/>
                <w:sz w:val="18"/>
                <w:szCs w:val="18"/>
              </w:rPr>
            </w:pPr>
            <w:r w:rsidRPr="00E10730">
              <w:rPr>
                <w:rFonts w:eastAsia="Calibri" w:cs="Arial"/>
                <w:b/>
                <w:bCs/>
                <w:color w:val="000000"/>
                <w:sz w:val="18"/>
                <w:szCs w:val="18"/>
              </w:rPr>
              <w:t>Buildings</w:t>
            </w:r>
          </w:p>
        </w:tc>
        <w:tc>
          <w:tcPr>
            <w:tcW w:w="2041" w:type="dxa"/>
            <w:tcBorders>
              <w:top w:val="nil"/>
              <w:left w:val="nil"/>
              <w:bottom w:val="single" w:sz="8" w:space="0" w:color="000000"/>
              <w:right w:val="nil"/>
            </w:tcBorders>
          </w:tcPr>
          <w:p w14:paraId="7546E482" w14:textId="77777777" w:rsidR="005C6008" w:rsidRPr="00E10730" w:rsidRDefault="005C6008" w:rsidP="00115FA3">
            <w:pPr>
              <w:autoSpaceDE w:val="0"/>
              <w:autoSpaceDN w:val="0"/>
              <w:adjustRightInd w:val="0"/>
              <w:spacing w:before="40" w:after="40" w:line="240" w:lineRule="auto"/>
              <w:rPr>
                <w:rFonts w:eastAsia="Calibri" w:cs="Arial"/>
                <w:color w:val="000000"/>
                <w:sz w:val="18"/>
                <w:szCs w:val="18"/>
              </w:rPr>
            </w:pPr>
            <w:r w:rsidRPr="00E10730">
              <w:rPr>
                <w:rFonts w:eastAsia="Calibri" w:cs="Arial"/>
                <w:b/>
                <w:bCs/>
                <w:color w:val="000000"/>
                <w:sz w:val="18"/>
                <w:szCs w:val="18"/>
              </w:rPr>
              <w:t>Term of lease</w:t>
            </w:r>
          </w:p>
        </w:tc>
        <w:tc>
          <w:tcPr>
            <w:tcW w:w="2041" w:type="dxa"/>
            <w:tcBorders>
              <w:top w:val="nil"/>
              <w:left w:val="nil"/>
              <w:bottom w:val="single" w:sz="8" w:space="0" w:color="000000"/>
              <w:right w:val="nil"/>
            </w:tcBorders>
          </w:tcPr>
          <w:p w14:paraId="3BB94517" w14:textId="77777777" w:rsidR="005C6008" w:rsidRPr="00E10730" w:rsidRDefault="005C6008" w:rsidP="00115FA3">
            <w:pPr>
              <w:autoSpaceDE w:val="0"/>
              <w:autoSpaceDN w:val="0"/>
              <w:adjustRightInd w:val="0"/>
              <w:spacing w:before="40" w:after="40" w:line="240" w:lineRule="auto"/>
              <w:rPr>
                <w:rFonts w:eastAsia="Calibri" w:cs="Arial"/>
                <w:color w:val="000000"/>
                <w:sz w:val="18"/>
                <w:szCs w:val="18"/>
              </w:rPr>
            </w:pPr>
            <w:r w:rsidRPr="00E10730">
              <w:rPr>
                <w:rFonts w:eastAsia="Calibri" w:cs="Arial"/>
                <w:color w:val="000000"/>
                <w:sz w:val="18"/>
                <w:szCs w:val="18"/>
              </w:rPr>
              <w:t>Term of lease</w:t>
            </w:r>
          </w:p>
        </w:tc>
      </w:tr>
    </w:tbl>
    <w:p w14:paraId="1001BA30" w14:textId="73F95003" w:rsidR="00F82C4F" w:rsidRPr="00E10730" w:rsidRDefault="005C6008" w:rsidP="00115FA3">
      <w:pPr>
        <w:autoSpaceDE w:val="0"/>
        <w:autoSpaceDN w:val="0"/>
        <w:adjustRightInd w:val="0"/>
        <w:spacing w:before="120" w:after="0" w:line="240" w:lineRule="auto"/>
        <w:rPr>
          <w:rFonts w:cs="Arial"/>
        </w:rPr>
      </w:pPr>
      <w:r w:rsidRPr="00E10730">
        <w:rPr>
          <w:rFonts w:eastAsia="Calibri" w:cs="Arial"/>
          <w:sz w:val="18"/>
          <w:szCs w:val="18"/>
        </w:rPr>
        <w:t>The depreciation rates for ROU assets are based on the life of the lease term, including options to extend where it is expected that these will be exercised.</w:t>
      </w:r>
      <w:r w:rsidR="00F82C4F" w:rsidRPr="00E10730">
        <w:rPr>
          <w:rFonts w:cs="Arial"/>
        </w:rPr>
        <w:br w:type="page"/>
      </w:r>
    </w:p>
    <w:p w14:paraId="0DA6E6A9" w14:textId="11AF5FFA"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National Disability Insurance Agency</w:t>
      </w:r>
    </w:p>
    <w:p w14:paraId="56EBA0C9"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288417A0" w14:textId="77777777" w:rsidR="005C6008" w:rsidRPr="00E10730" w:rsidRDefault="005C6008" w:rsidP="00FD41DC">
      <w:pPr>
        <w:autoSpaceDE w:val="0"/>
        <w:autoSpaceDN w:val="0"/>
        <w:adjustRightInd w:val="0"/>
        <w:spacing w:before="240" w:after="0" w:line="240" w:lineRule="auto"/>
        <w:rPr>
          <w:rFonts w:eastAsia="Calibri" w:cs="Arial"/>
          <w:sz w:val="18"/>
          <w:szCs w:val="18"/>
          <w:u w:val="single"/>
        </w:rPr>
      </w:pPr>
      <w:r w:rsidRPr="00E10730">
        <w:rPr>
          <w:rFonts w:eastAsia="Calibri" w:cs="Arial"/>
          <w:sz w:val="18"/>
          <w:szCs w:val="18"/>
          <w:u w:val="single"/>
        </w:rPr>
        <w:t>Impairment</w:t>
      </w:r>
    </w:p>
    <w:p w14:paraId="6E8B13C3" w14:textId="77777777" w:rsidR="005C6008" w:rsidRPr="00E10730" w:rsidRDefault="005C6008" w:rsidP="00FD41DC">
      <w:pPr>
        <w:autoSpaceDE w:val="0"/>
        <w:autoSpaceDN w:val="0"/>
        <w:adjustRightInd w:val="0"/>
        <w:spacing w:after="0" w:line="240" w:lineRule="auto"/>
        <w:rPr>
          <w:rFonts w:eastAsia="Calibri" w:cs="Arial"/>
          <w:sz w:val="18"/>
          <w:szCs w:val="18"/>
        </w:rPr>
      </w:pPr>
      <w:r w:rsidRPr="00E10730">
        <w:rPr>
          <w:rFonts w:eastAsia="Calibri" w:cs="Arial"/>
          <w:sz w:val="18"/>
          <w:szCs w:val="18"/>
        </w:rPr>
        <w:t xml:space="preserve">All assets are assessed for impairment annually. Where indications of impairment exist, the asset’s recoverable amount is estimated, and an impairment adjustment made if the asset’s recoverable amount is less than its carrying amount. The recoverable amount of an asset is the higher of its fair value less costs of disposal and its value in use. Value in use is the present value of the future cash flows expected to be derived from the asset. Where the future economic benefit of an asset is not primarily dependent on the asset’s ability to generate future cash flows, and the asset would be replaced if the Agency were deprived of the asset, its value in use is taken to be its depreciated replacement cost. </w:t>
      </w:r>
    </w:p>
    <w:p w14:paraId="68821A58" w14:textId="77777777" w:rsidR="005C6008" w:rsidRPr="00E10730" w:rsidRDefault="005C6008" w:rsidP="00FD41DC">
      <w:pPr>
        <w:autoSpaceDE w:val="0"/>
        <w:autoSpaceDN w:val="0"/>
        <w:adjustRightInd w:val="0"/>
        <w:spacing w:before="240" w:after="0" w:line="240" w:lineRule="auto"/>
        <w:rPr>
          <w:rFonts w:eastAsia="Calibri" w:cs="Arial"/>
          <w:sz w:val="18"/>
          <w:szCs w:val="18"/>
          <w:u w:val="single"/>
        </w:rPr>
      </w:pPr>
      <w:r w:rsidRPr="00E10730">
        <w:rPr>
          <w:rFonts w:eastAsia="Calibri" w:cs="Arial"/>
          <w:sz w:val="18"/>
          <w:szCs w:val="18"/>
          <w:u w:val="single"/>
        </w:rPr>
        <w:t>Fair Value</w:t>
      </w:r>
    </w:p>
    <w:p w14:paraId="6239A192" w14:textId="77777777" w:rsidR="005C6008" w:rsidRPr="00E10730" w:rsidRDefault="005C6008" w:rsidP="00FD41DC">
      <w:pPr>
        <w:autoSpaceDE w:val="0"/>
        <w:autoSpaceDN w:val="0"/>
        <w:adjustRightInd w:val="0"/>
        <w:spacing w:after="0" w:line="240" w:lineRule="auto"/>
        <w:rPr>
          <w:rFonts w:eastAsia="Calibri" w:cs="Arial"/>
          <w:sz w:val="18"/>
          <w:szCs w:val="18"/>
        </w:rPr>
      </w:pPr>
      <w:r w:rsidRPr="00E10730">
        <w:rPr>
          <w:rFonts w:eastAsia="Calibri" w:cs="Arial"/>
          <w:sz w:val="18"/>
          <w:szCs w:val="18"/>
        </w:rPr>
        <w:t>All leasehold improvements and plant and equipment are measured at their estimated fair value in the Statement of Financial Position. All leasehold improvements and plant and equipment, other than ROU plant and equipment and computing equipment, held by the Agency are categorised under Level 3 in accordance with the hierarchy listed in AASB 13.</w:t>
      </w:r>
    </w:p>
    <w:p w14:paraId="57F844B1" w14:textId="77777777" w:rsidR="005C6008" w:rsidRPr="00E10730" w:rsidRDefault="005C6008" w:rsidP="00FD41DC">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Level 3 measurements use inputs to estimate fair value where there are no observable market prices for the assets being valued. The future economic benefits of the Agency’s leasehold improvements and plant and equipment are not primarily dependent on their ability to generate cash flows. The Agency has not disclosed quantitative information about the significant unobservable inputs for the level 3 measurements in these classes.</w:t>
      </w:r>
    </w:p>
    <w:p w14:paraId="6A700E4B" w14:textId="77777777" w:rsidR="005C6008" w:rsidRPr="00E10730" w:rsidRDefault="005C6008" w:rsidP="00FD41DC">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Computing equipment are categorised under level 1 in accordance with the hierarchy listed in AASB 13.</w:t>
      </w:r>
    </w:p>
    <w:p w14:paraId="67E144D6" w14:textId="77777777" w:rsidR="005C6008" w:rsidRPr="00E10730" w:rsidRDefault="005C6008" w:rsidP="00FD41DC">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Level 1 measurements use quoted prices (unadjusted) in active markets for identical assets or liabilities that the entity can access at the measurement date.</w:t>
      </w:r>
    </w:p>
    <w:p w14:paraId="481AADAB" w14:textId="77777777" w:rsidR="005C6008" w:rsidRPr="00E10730" w:rsidRDefault="005C6008" w:rsidP="00FD41DC">
      <w:pPr>
        <w:autoSpaceDE w:val="0"/>
        <w:autoSpaceDN w:val="0"/>
        <w:adjustRightInd w:val="0"/>
        <w:spacing w:before="240" w:after="0" w:line="240" w:lineRule="auto"/>
        <w:rPr>
          <w:rFonts w:eastAsia="Calibri" w:cs="Arial"/>
          <w:sz w:val="18"/>
          <w:szCs w:val="18"/>
          <w:u w:val="single"/>
        </w:rPr>
      </w:pPr>
      <w:r w:rsidRPr="00E10730">
        <w:rPr>
          <w:rFonts w:eastAsia="Calibri" w:cs="Arial"/>
          <w:sz w:val="18"/>
          <w:szCs w:val="18"/>
          <w:u w:val="single"/>
        </w:rPr>
        <w:t>De-recognition</w:t>
      </w:r>
    </w:p>
    <w:p w14:paraId="4285507D" w14:textId="77777777" w:rsidR="005C6008" w:rsidRPr="00E10730" w:rsidRDefault="005C6008" w:rsidP="00FD41DC">
      <w:pPr>
        <w:autoSpaceDE w:val="0"/>
        <w:autoSpaceDN w:val="0"/>
        <w:adjustRightInd w:val="0"/>
        <w:spacing w:after="0" w:line="240" w:lineRule="auto"/>
        <w:rPr>
          <w:rFonts w:eastAsia="Calibri" w:cs="Arial"/>
          <w:sz w:val="18"/>
          <w:szCs w:val="18"/>
        </w:rPr>
      </w:pPr>
      <w:r w:rsidRPr="00E10730">
        <w:rPr>
          <w:rFonts w:eastAsia="Calibri" w:cs="Arial"/>
          <w:sz w:val="18"/>
          <w:szCs w:val="18"/>
        </w:rPr>
        <w:t xml:space="preserve">An item of buildings or plant and equipment is derecognised upon disposal or when no further future economic benefits are expected from its use or its disposal. </w:t>
      </w:r>
    </w:p>
    <w:p w14:paraId="0F6D9D4F" w14:textId="77777777" w:rsidR="005C6008" w:rsidRPr="00E10730" w:rsidRDefault="005C6008" w:rsidP="00FD41DC">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 xml:space="preserve">On de-recognition of a leased ROU asset, the Agency recognises any receipts on closure of the lease as a gain (unless </w:t>
      </w:r>
      <w:r w:rsidRPr="00E10730">
        <w:rPr>
          <w:rFonts w:eastAsia="Calibri" w:cs="Arial"/>
          <w:i/>
          <w:iCs/>
          <w:sz w:val="18"/>
          <w:szCs w:val="18"/>
        </w:rPr>
        <w:t xml:space="preserve">AASB 16 </w:t>
      </w:r>
      <w:r w:rsidRPr="00E10730">
        <w:rPr>
          <w:rFonts w:eastAsia="Calibri" w:cs="Arial"/>
          <w:sz w:val="18"/>
          <w:szCs w:val="18"/>
        </w:rPr>
        <w:t>requires otherwise on a sale and leaseback).</w:t>
      </w:r>
    </w:p>
    <w:p w14:paraId="7B38A7A1" w14:textId="77777777" w:rsidR="005C6008" w:rsidRPr="00E10730" w:rsidRDefault="005C6008" w:rsidP="00FD41DC">
      <w:pPr>
        <w:autoSpaceDE w:val="0"/>
        <w:autoSpaceDN w:val="0"/>
        <w:adjustRightInd w:val="0"/>
        <w:spacing w:before="240" w:after="0" w:line="240" w:lineRule="auto"/>
        <w:rPr>
          <w:rFonts w:eastAsia="Calibri" w:cs="Arial"/>
          <w:sz w:val="18"/>
          <w:szCs w:val="18"/>
          <w:u w:val="single"/>
        </w:rPr>
      </w:pPr>
      <w:r w:rsidRPr="00E10730">
        <w:rPr>
          <w:rFonts w:eastAsia="Calibri" w:cs="Arial"/>
          <w:sz w:val="18"/>
          <w:szCs w:val="18"/>
          <w:u w:val="single"/>
        </w:rPr>
        <w:t xml:space="preserve">Intangibles </w:t>
      </w:r>
    </w:p>
    <w:p w14:paraId="4783B3B7" w14:textId="77777777" w:rsidR="005C6008" w:rsidRPr="00E10730" w:rsidRDefault="005C6008" w:rsidP="00FD41DC">
      <w:pPr>
        <w:autoSpaceDE w:val="0"/>
        <w:autoSpaceDN w:val="0"/>
        <w:adjustRightInd w:val="0"/>
        <w:spacing w:after="0" w:line="240" w:lineRule="auto"/>
        <w:rPr>
          <w:rFonts w:eastAsia="Calibri" w:cs="Arial"/>
          <w:sz w:val="18"/>
          <w:szCs w:val="18"/>
        </w:rPr>
      </w:pPr>
      <w:r w:rsidRPr="00E10730">
        <w:rPr>
          <w:rFonts w:eastAsia="Calibri" w:cs="Arial"/>
          <w:sz w:val="18"/>
          <w:szCs w:val="18"/>
        </w:rPr>
        <w:t>Intangibles comprise of internally developed software for internal use. These assets are carried at cost less accumulated amortisation and accumulated impairment losses. Software is amortised on a straight-line basis over its anticipated useful life. The useful lives of the entity's software are 3 to 5 years. All software assets were assessed for indications of impairment as at 30 June 2026.</w:t>
      </w:r>
    </w:p>
    <w:p w14:paraId="2292406F" w14:textId="77777777" w:rsidR="005C6008" w:rsidRPr="00E10730" w:rsidRDefault="005C6008" w:rsidP="00FD41DC">
      <w:pPr>
        <w:autoSpaceDE w:val="0"/>
        <w:autoSpaceDN w:val="0"/>
        <w:adjustRightInd w:val="0"/>
        <w:spacing w:before="240" w:after="0" w:line="240" w:lineRule="auto"/>
        <w:rPr>
          <w:rFonts w:eastAsia="Calibri" w:cs="Arial"/>
          <w:b/>
          <w:bCs/>
          <w:sz w:val="18"/>
          <w:szCs w:val="18"/>
        </w:rPr>
      </w:pPr>
      <w:r w:rsidRPr="00E10730">
        <w:rPr>
          <w:rFonts w:eastAsia="Calibri" w:cs="Arial"/>
          <w:b/>
          <w:bCs/>
          <w:sz w:val="18"/>
          <w:szCs w:val="18"/>
        </w:rPr>
        <w:t>Key judgements and estimates</w:t>
      </w:r>
    </w:p>
    <w:p w14:paraId="5FBEAAB4" w14:textId="77777777" w:rsidR="005C6008" w:rsidRPr="00E10730" w:rsidRDefault="005C6008" w:rsidP="00FD41DC">
      <w:pPr>
        <w:autoSpaceDE w:val="0"/>
        <w:autoSpaceDN w:val="0"/>
        <w:adjustRightInd w:val="0"/>
        <w:spacing w:after="0" w:line="240" w:lineRule="auto"/>
        <w:rPr>
          <w:rFonts w:eastAsia="Calibri" w:cs="Arial"/>
          <w:sz w:val="18"/>
          <w:szCs w:val="18"/>
        </w:rPr>
      </w:pPr>
      <w:r w:rsidRPr="00E10730">
        <w:rPr>
          <w:rFonts w:eastAsia="Calibri" w:cs="Arial"/>
          <w:sz w:val="18"/>
          <w:szCs w:val="18"/>
        </w:rPr>
        <w:t>The estimated fair value of leasehold improvements and plant and equipment (excluding ROU assets) is determined annually by an independent valuer using the Cost Approach as these assets do not generally transact with enough frequency or transparency to develop objective opinions of value. The valuation result provided by the independent valuer is subject to management assessment.</w:t>
      </w:r>
    </w:p>
    <w:p w14:paraId="30A7A710" w14:textId="77777777" w:rsidR="005C6008" w:rsidRPr="00E10730" w:rsidRDefault="005C6008" w:rsidP="00FD41DC">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The Cost Approach seeks to estimate the amount required to replace the service capacity of an asset at its highest and best use and is determined as either the Replacement Cost of New Assets (RCN) or the Depreciated Replacement Cost (DRC).</w:t>
      </w:r>
    </w:p>
    <w:p w14:paraId="2AC0EB54" w14:textId="77777777" w:rsidR="005C6008" w:rsidRPr="00E10730" w:rsidRDefault="005C6008" w:rsidP="00FD41DC">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Assets Under Construction are valued as RCN determined as the amount a market participant would pay to acquire or construct a new substitute asset of comparable utility and relevant to the asset’s location. Inputs including current local market prices for asset components such as materials and labour costs are utilised in determining RCN.</w:t>
      </w:r>
    </w:p>
    <w:p w14:paraId="4610B92D" w14:textId="77777777" w:rsidR="005C6008" w:rsidRPr="00E10730" w:rsidRDefault="005C6008" w:rsidP="00FD41DC">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Leasehold improvements, plant, and equipment (excluding ROU assets) are valued using DRC. Under DRC the replacement costs of new assets are adjusted for physical depreciation and obsolescence such as physical deterioration, functional or technical obsolescence and conditions of the economic environment specific to the asset. For leasehold improvements, the consumed economic benefit/asset obsolescence deduction is generally determined based on the term of the associated lease. All useful life inputs are based on the lower of the tenancy lease term or economic life of the fit-out. If a fit-out installation date has occurred at a time other than the lease commencement date, the asset’s useful life will be based on the lesser of the remaining tenancy lease term or economic life of the fit-out.</w:t>
      </w:r>
      <w:r w:rsidRPr="00E10730">
        <w:rPr>
          <w:rFonts w:eastAsia="Calibri" w:cs="Arial"/>
          <w:sz w:val="18"/>
          <w:szCs w:val="18"/>
        </w:rPr>
        <w:br w:type="page"/>
      </w:r>
    </w:p>
    <w:p w14:paraId="0A9CCE04"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National Disability Insurance Agency</w:t>
      </w:r>
    </w:p>
    <w:p w14:paraId="3C981AB0"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3244A45C" w14:textId="77777777" w:rsidR="005C6008" w:rsidRPr="00E10730" w:rsidRDefault="005C6008" w:rsidP="00115FA3">
      <w:pPr>
        <w:autoSpaceDE w:val="0"/>
        <w:autoSpaceDN w:val="0"/>
        <w:adjustRightInd w:val="0"/>
        <w:spacing w:after="0" w:line="240" w:lineRule="auto"/>
        <w:jc w:val="both"/>
        <w:rPr>
          <w:rFonts w:eastAsia="Calibri" w:cs="Arial"/>
          <w:sz w:val="18"/>
          <w:szCs w:val="18"/>
        </w:rPr>
      </w:pPr>
    </w:p>
    <w:tbl>
      <w:tblPr>
        <w:tblW w:w="0" w:type="auto"/>
        <w:tblLayout w:type="fixed"/>
        <w:tblLook w:val="0000" w:firstRow="0" w:lastRow="0" w:firstColumn="0" w:lastColumn="0" w:noHBand="0" w:noVBand="0"/>
      </w:tblPr>
      <w:tblGrid>
        <w:gridCol w:w="6541"/>
        <w:gridCol w:w="1273"/>
        <w:gridCol w:w="1273"/>
      </w:tblGrid>
      <w:tr w:rsidR="005C6008" w:rsidRPr="00E10730" w14:paraId="3FAE53A2" w14:textId="77777777">
        <w:trPr>
          <w:trHeight w:val="250"/>
        </w:trPr>
        <w:tc>
          <w:tcPr>
            <w:tcW w:w="6541" w:type="dxa"/>
            <w:tcBorders>
              <w:top w:val="nil"/>
              <w:left w:val="nil"/>
              <w:bottom w:val="nil"/>
              <w:right w:val="nil"/>
            </w:tcBorders>
            <w:shd w:val="clear" w:color="FFFFFF" w:fill="FFFFFF"/>
            <w:vAlign w:val="bottom"/>
          </w:tcPr>
          <w:p w14:paraId="0E622FC5"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67CF63F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273" w:type="dxa"/>
            <w:tcBorders>
              <w:top w:val="nil"/>
              <w:left w:val="nil"/>
              <w:bottom w:val="nil"/>
              <w:right w:val="nil"/>
            </w:tcBorders>
            <w:shd w:val="clear" w:color="FFFFFF" w:fill="FFFFFF"/>
            <w:vAlign w:val="bottom"/>
          </w:tcPr>
          <w:p w14:paraId="1A3A0A6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r>
      <w:tr w:rsidR="005C6008" w:rsidRPr="00E10730" w14:paraId="616CD697" w14:textId="77777777">
        <w:trPr>
          <w:trHeight w:val="260"/>
        </w:trPr>
        <w:tc>
          <w:tcPr>
            <w:tcW w:w="6541" w:type="dxa"/>
            <w:tcBorders>
              <w:top w:val="nil"/>
              <w:left w:val="nil"/>
              <w:bottom w:val="nil"/>
              <w:right w:val="nil"/>
            </w:tcBorders>
            <w:shd w:val="clear" w:color="FFFFFF" w:fill="FFFFFF"/>
            <w:vAlign w:val="bottom"/>
          </w:tcPr>
          <w:p w14:paraId="1DCB408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19762F6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273" w:type="dxa"/>
            <w:tcBorders>
              <w:top w:val="nil"/>
              <w:left w:val="nil"/>
              <w:bottom w:val="nil"/>
              <w:right w:val="nil"/>
            </w:tcBorders>
            <w:shd w:val="clear" w:color="FFFFFF" w:fill="FFFFFF"/>
            <w:vAlign w:val="bottom"/>
          </w:tcPr>
          <w:p w14:paraId="6604CE5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r>
      <w:tr w:rsidR="005C6008" w:rsidRPr="00E10730" w14:paraId="125BD550" w14:textId="77777777">
        <w:trPr>
          <w:trHeight w:val="260"/>
        </w:trPr>
        <w:tc>
          <w:tcPr>
            <w:tcW w:w="6541" w:type="dxa"/>
            <w:tcBorders>
              <w:top w:val="nil"/>
              <w:left w:val="nil"/>
              <w:bottom w:val="nil"/>
              <w:right w:val="nil"/>
            </w:tcBorders>
            <w:shd w:val="clear" w:color="FFFFFF" w:fill="FFFFFF"/>
            <w:vAlign w:val="bottom"/>
          </w:tcPr>
          <w:p w14:paraId="277149C8"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2.2B: Other non-financial assets</w:t>
            </w:r>
          </w:p>
        </w:tc>
        <w:tc>
          <w:tcPr>
            <w:tcW w:w="1273" w:type="dxa"/>
            <w:tcBorders>
              <w:top w:val="nil"/>
              <w:left w:val="nil"/>
              <w:bottom w:val="nil"/>
              <w:right w:val="nil"/>
            </w:tcBorders>
            <w:shd w:val="clear" w:color="FFFFFF" w:fill="FFFFFF"/>
            <w:vAlign w:val="bottom"/>
          </w:tcPr>
          <w:p w14:paraId="402838DA"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6219C9B3"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3BAEC47A" w14:textId="77777777">
        <w:trPr>
          <w:trHeight w:val="250"/>
        </w:trPr>
        <w:tc>
          <w:tcPr>
            <w:tcW w:w="6541" w:type="dxa"/>
            <w:tcBorders>
              <w:top w:val="nil"/>
              <w:left w:val="nil"/>
              <w:bottom w:val="nil"/>
              <w:right w:val="nil"/>
            </w:tcBorders>
            <w:shd w:val="clear" w:color="FFFFFF" w:fill="FFFFFF"/>
            <w:vAlign w:val="bottom"/>
          </w:tcPr>
          <w:p w14:paraId="68130626"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Other prepayments</w:t>
            </w:r>
          </w:p>
        </w:tc>
        <w:tc>
          <w:tcPr>
            <w:tcW w:w="1273" w:type="dxa"/>
            <w:tcBorders>
              <w:top w:val="nil"/>
              <w:left w:val="nil"/>
              <w:bottom w:val="nil"/>
              <w:right w:val="nil"/>
            </w:tcBorders>
            <w:shd w:val="clear" w:color="FFFFFF" w:fill="FFFFFF"/>
            <w:vAlign w:val="bottom"/>
          </w:tcPr>
          <w:p w14:paraId="3CDFC07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51,216</w:t>
            </w:r>
          </w:p>
        </w:tc>
        <w:tc>
          <w:tcPr>
            <w:tcW w:w="1273" w:type="dxa"/>
            <w:tcBorders>
              <w:top w:val="nil"/>
              <w:left w:val="nil"/>
              <w:bottom w:val="nil"/>
              <w:right w:val="nil"/>
            </w:tcBorders>
            <w:shd w:val="clear" w:color="FFFFFF" w:fill="FFFFFF"/>
            <w:vAlign w:val="bottom"/>
          </w:tcPr>
          <w:p w14:paraId="6EE754D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36,235</w:t>
            </w:r>
          </w:p>
        </w:tc>
      </w:tr>
      <w:tr w:rsidR="005C6008" w:rsidRPr="00E10730" w14:paraId="139B876B" w14:textId="77777777">
        <w:trPr>
          <w:trHeight w:val="250"/>
        </w:trPr>
        <w:tc>
          <w:tcPr>
            <w:tcW w:w="6541" w:type="dxa"/>
            <w:tcBorders>
              <w:top w:val="nil"/>
              <w:left w:val="nil"/>
              <w:bottom w:val="nil"/>
              <w:right w:val="nil"/>
            </w:tcBorders>
            <w:shd w:val="clear" w:color="FFFFFF" w:fill="FFFFFF"/>
            <w:vAlign w:val="bottom"/>
          </w:tcPr>
          <w:p w14:paraId="3AB4464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other non-financial assets</w:t>
            </w:r>
          </w:p>
        </w:tc>
        <w:tc>
          <w:tcPr>
            <w:tcW w:w="1273" w:type="dxa"/>
            <w:tcBorders>
              <w:top w:val="single" w:sz="4" w:space="0" w:color="auto"/>
              <w:left w:val="nil"/>
              <w:bottom w:val="single" w:sz="4" w:space="0" w:color="auto"/>
              <w:right w:val="nil"/>
            </w:tcBorders>
            <w:shd w:val="clear" w:color="FFFFFF" w:fill="FFFFFF"/>
            <w:vAlign w:val="bottom"/>
          </w:tcPr>
          <w:p w14:paraId="30F8CFF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51,216</w:t>
            </w:r>
          </w:p>
        </w:tc>
        <w:tc>
          <w:tcPr>
            <w:tcW w:w="1273" w:type="dxa"/>
            <w:tcBorders>
              <w:top w:val="single" w:sz="4" w:space="0" w:color="auto"/>
              <w:left w:val="nil"/>
              <w:bottom w:val="single" w:sz="4" w:space="0" w:color="auto"/>
              <w:right w:val="nil"/>
            </w:tcBorders>
            <w:shd w:val="clear" w:color="FFFFFF" w:fill="FFFFFF"/>
            <w:vAlign w:val="bottom"/>
          </w:tcPr>
          <w:p w14:paraId="544FC73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36,235</w:t>
            </w:r>
          </w:p>
        </w:tc>
      </w:tr>
    </w:tbl>
    <w:p w14:paraId="50A6CAF1" w14:textId="77777777" w:rsidR="005C6008" w:rsidRPr="00E10730" w:rsidRDefault="005C6008" w:rsidP="00115FA3">
      <w:pPr>
        <w:autoSpaceDE w:val="0"/>
        <w:autoSpaceDN w:val="0"/>
        <w:adjustRightInd w:val="0"/>
        <w:spacing w:before="120" w:line="240" w:lineRule="auto"/>
        <w:rPr>
          <w:rFonts w:eastAsia="Calibri" w:cs="Arial"/>
          <w:sz w:val="18"/>
          <w:szCs w:val="18"/>
        </w:rPr>
      </w:pPr>
      <w:r w:rsidRPr="00E10730">
        <w:rPr>
          <w:rFonts w:eastAsia="Calibri" w:cs="Arial"/>
          <w:sz w:val="18"/>
          <w:szCs w:val="18"/>
        </w:rPr>
        <w:t>No indicators of impairment were found for other non-financial assets.</w:t>
      </w:r>
    </w:p>
    <w:p w14:paraId="29C46CCC" w14:textId="77777777" w:rsidR="005C6008" w:rsidRPr="00E10730" w:rsidRDefault="005C6008" w:rsidP="00115FA3">
      <w:pPr>
        <w:shd w:val="clear" w:color="auto" w:fill="000000"/>
        <w:autoSpaceDE w:val="0"/>
        <w:autoSpaceDN w:val="0"/>
        <w:adjustRightInd w:val="0"/>
        <w:spacing w:after="0" w:line="240" w:lineRule="auto"/>
        <w:ind w:left="426" w:hanging="426"/>
        <w:rPr>
          <w:rFonts w:eastAsia="Calibri" w:cs="Arial"/>
          <w:b/>
          <w:bCs/>
          <w:color w:val="FFFFFF"/>
          <w:sz w:val="20"/>
          <w:szCs w:val="20"/>
        </w:rPr>
      </w:pPr>
      <w:r w:rsidRPr="00E10730">
        <w:rPr>
          <w:rFonts w:eastAsia="Calibri" w:cs="Arial"/>
          <w:b/>
          <w:bCs/>
          <w:color w:val="FFFFFF"/>
          <w:sz w:val="20"/>
          <w:szCs w:val="20"/>
        </w:rPr>
        <w:t>2.3.</w:t>
      </w:r>
      <w:r w:rsidRPr="00E10730">
        <w:rPr>
          <w:rFonts w:eastAsia="Calibri" w:cs="Arial"/>
          <w:b/>
          <w:bCs/>
          <w:color w:val="FFFFFF"/>
          <w:sz w:val="20"/>
          <w:szCs w:val="20"/>
        </w:rPr>
        <w:tab/>
        <w:t>Payables</w:t>
      </w:r>
    </w:p>
    <w:tbl>
      <w:tblPr>
        <w:tblW w:w="9087" w:type="dxa"/>
        <w:tblLayout w:type="fixed"/>
        <w:tblLook w:val="0000" w:firstRow="0" w:lastRow="0" w:firstColumn="0" w:lastColumn="0" w:noHBand="0" w:noVBand="0"/>
      </w:tblPr>
      <w:tblGrid>
        <w:gridCol w:w="6541"/>
        <w:gridCol w:w="1273"/>
        <w:gridCol w:w="1273"/>
      </w:tblGrid>
      <w:tr w:rsidR="005C6008" w:rsidRPr="00E10730" w14:paraId="33B3DA07" w14:textId="77777777" w:rsidTr="00E10730">
        <w:trPr>
          <w:trHeight w:val="170"/>
        </w:trPr>
        <w:tc>
          <w:tcPr>
            <w:tcW w:w="6541" w:type="dxa"/>
            <w:tcBorders>
              <w:top w:val="nil"/>
              <w:left w:val="nil"/>
              <w:bottom w:val="nil"/>
              <w:right w:val="nil"/>
            </w:tcBorders>
            <w:vAlign w:val="bottom"/>
          </w:tcPr>
          <w:p w14:paraId="1F35D75A" w14:textId="77777777" w:rsidR="005C6008" w:rsidRPr="00E10730" w:rsidRDefault="005C6008" w:rsidP="00115FA3">
            <w:pPr>
              <w:autoSpaceDE w:val="0"/>
              <w:autoSpaceDN w:val="0"/>
              <w:adjustRightInd w:val="0"/>
              <w:spacing w:after="0" w:line="240" w:lineRule="auto"/>
              <w:rPr>
                <w:rFonts w:eastAsia="Calibri" w:cs="Arial"/>
                <w:color w:val="FFFFFF"/>
                <w:sz w:val="14"/>
                <w:szCs w:val="14"/>
              </w:rPr>
            </w:pPr>
            <w:r w:rsidRPr="00E10730">
              <w:rPr>
                <w:rFonts w:eastAsia="Calibri" w:cs="Arial"/>
                <w:color w:val="FFFFFF"/>
                <w:sz w:val="14"/>
                <w:szCs w:val="14"/>
              </w:rPr>
              <w:t>-</w:t>
            </w:r>
          </w:p>
        </w:tc>
        <w:tc>
          <w:tcPr>
            <w:tcW w:w="1273" w:type="dxa"/>
            <w:tcBorders>
              <w:top w:val="nil"/>
              <w:left w:val="nil"/>
              <w:bottom w:val="nil"/>
              <w:right w:val="nil"/>
            </w:tcBorders>
            <w:vAlign w:val="bottom"/>
          </w:tcPr>
          <w:p w14:paraId="6F936B03" w14:textId="28F3ED40" w:rsidR="005C6008" w:rsidRPr="00E10730" w:rsidRDefault="005C6008" w:rsidP="00115FA3">
            <w:pPr>
              <w:autoSpaceDE w:val="0"/>
              <w:autoSpaceDN w:val="0"/>
              <w:adjustRightInd w:val="0"/>
              <w:spacing w:after="0" w:line="240" w:lineRule="auto"/>
              <w:jc w:val="right"/>
              <w:rPr>
                <w:rFonts w:eastAsia="Calibri" w:cs="Arial"/>
                <w:b/>
                <w:bCs/>
                <w:sz w:val="14"/>
                <w:szCs w:val="14"/>
              </w:rPr>
            </w:pPr>
          </w:p>
        </w:tc>
        <w:tc>
          <w:tcPr>
            <w:tcW w:w="1273" w:type="dxa"/>
            <w:tcBorders>
              <w:top w:val="nil"/>
              <w:left w:val="nil"/>
              <w:bottom w:val="nil"/>
              <w:right w:val="nil"/>
            </w:tcBorders>
            <w:vAlign w:val="bottom"/>
          </w:tcPr>
          <w:p w14:paraId="057D51B2" w14:textId="1887B33D" w:rsidR="005C6008" w:rsidRPr="00E10730" w:rsidRDefault="005C6008" w:rsidP="00115FA3">
            <w:pPr>
              <w:autoSpaceDE w:val="0"/>
              <w:autoSpaceDN w:val="0"/>
              <w:adjustRightInd w:val="0"/>
              <w:spacing w:after="0" w:line="240" w:lineRule="auto"/>
              <w:jc w:val="right"/>
              <w:rPr>
                <w:rFonts w:eastAsia="Calibri" w:cs="Arial"/>
                <w:sz w:val="14"/>
                <w:szCs w:val="14"/>
              </w:rPr>
            </w:pPr>
          </w:p>
        </w:tc>
      </w:tr>
      <w:tr w:rsidR="005C6008" w:rsidRPr="00E10730" w14:paraId="3838F88E" w14:textId="77777777" w:rsidTr="00F32818">
        <w:trPr>
          <w:trHeight w:val="260"/>
        </w:trPr>
        <w:tc>
          <w:tcPr>
            <w:tcW w:w="6541" w:type="dxa"/>
            <w:tcBorders>
              <w:top w:val="nil"/>
              <w:left w:val="nil"/>
              <w:bottom w:val="nil"/>
              <w:right w:val="nil"/>
            </w:tcBorders>
            <w:shd w:val="clear" w:color="FFFFFF" w:fill="FFFFFF"/>
            <w:vAlign w:val="bottom"/>
          </w:tcPr>
          <w:p w14:paraId="15C01982"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2.3A: Suppliers</w:t>
            </w:r>
          </w:p>
        </w:tc>
        <w:tc>
          <w:tcPr>
            <w:tcW w:w="1273" w:type="dxa"/>
            <w:tcBorders>
              <w:top w:val="nil"/>
              <w:left w:val="nil"/>
              <w:bottom w:val="nil"/>
              <w:right w:val="nil"/>
            </w:tcBorders>
            <w:shd w:val="clear" w:color="FFFFFF" w:fill="FFFFFF"/>
            <w:vAlign w:val="bottom"/>
          </w:tcPr>
          <w:p w14:paraId="059F5756"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4CE6402E"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r>
      <w:tr w:rsidR="005C6008" w:rsidRPr="00E10730" w14:paraId="33266D2A" w14:textId="77777777" w:rsidTr="00F32818">
        <w:trPr>
          <w:trHeight w:val="250"/>
        </w:trPr>
        <w:tc>
          <w:tcPr>
            <w:tcW w:w="6541" w:type="dxa"/>
            <w:tcBorders>
              <w:top w:val="nil"/>
              <w:left w:val="nil"/>
              <w:bottom w:val="nil"/>
              <w:right w:val="nil"/>
            </w:tcBorders>
            <w:shd w:val="clear" w:color="FFFFFF" w:fill="FFFFFF"/>
            <w:vAlign w:val="bottom"/>
          </w:tcPr>
          <w:p w14:paraId="7CA4433D"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Trade creditors and accruals</w:t>
            </w:r>
          </w:p>
        </w:tc>
        <w:tc>
          <w:tcPr>
            <w:tcW w:w="1273" w:type="dxa"/>
            <w:tcBorders>
              <w:top w:val="nil"/>
              <w:left w:val="nil"/>
              <w:bottom w:val="nil"/>
              <w:right w:val="nil"/>
            </w:tcBorders>
            <w:shd w:val="clear" w:color="FFFFFF" w:fill="FFFFFF"/>
            <w:vAlign w:val="bottom"/>
          </w:tcPr>
          <w:p w14:paraId="44B46B5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834,261</w:t>
            </w:r>
          </w:p>
        </w:tc>
        <w:tc>
          <w:tcPr>
            <w:tcW w:w="1273" w:type="dxa"/>
            <w:tcBorders>
              <w:top w:val="nil"/>
              <w:left w:val="nil"/>
              <w:bottom w:val="nil"/>
              <w:right w:val="nil"/>
            </w:tcBorders>
            <w:shd w:val="clear" w:color="FFFFFF" w:fill="FFFFFF"/>
            <w:vAlign w:val="bottom"/>
          </w:tcPr>
          <w:p w14:paraId="58864C3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1,281,462</w:t>
            </w:r>
          </w:p>
        </w:tc>
      </w:tr>
      <w:tr w:rsidR="005C6008" w:rsidRPr="00E10730" w14:paraId="1E0D462F" w14:textId="77777777" w:rsidTr="00F32818">
        <w:trPr>
          <w:trHeight w:val="250"/>
        </w:trPr>
        <w:tc>
          <w:tcPr>
            <w:tcW w:w="6541" w:type="dxa"/>
            <w:tcBorders>
              <w:top w:val="nil"/>
              <w:left w:val="nil"/>
              <w:bottom w:val="nil"/>
              <w:right w:val="nil"/>
            </w:tcBorders>
            <w:shd w:val="clear" w:color="FFFFFF" w:fill="FFFFFF"/>
            <w:vAlign w:val="bottom"/>
          </w:tcPr>
          <w:p w14:paraId="6436AAEA"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suppliers</w:t>
            </w:r>
          </w:p>
        </w:tc>
        <w:tc>
          <w:tcPr>
            <w:tcW w:w="1273" w:type="dxa"/>
            <w:tcBorders>
              <w:top w:val="single" w:sz="4" w:space="0" w:color="auto"/>
              <w:left w:val="nil"/>
              <w:bottom w:val="single" w:sz="4" w:space="0" w:color="auto"/>
              <w:right w:val="nil"/>
            </w:tcBorders>
            <w:shd w:val="clear" w:color="FFFFFF" w:fill="FFFFFF"/>
            <w:vAlign w:val="bottom"/>
          </w:tcPr>
          <w:p w14:paraId="2047B7D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834,261</w:t>
            </w:r>
          </w:p>
        </w:tc>
        <w:tc>
          <w:tcPr>
            <w:tcW w:w="1273" w:type="dxa"/>
            <w:tcBorders>
              <w:top w:val="single" w:sz="4" w:space="0" w:color="auto"/>
              <w:left w:val="nil"/>
              <w:bottom w:val="single" w:sz="4" w:space="0" w:color="auto"/>
              <w:right w:val="nil"/>
            </w:tcBorders>
            <w:shd w:val="clear" w:color="FFFFFF" w:fill="FFFFFF"/>
            <w:vAlign w:val="bottom"/>
          </w:tcPr>
          <w:p w14:paraId="7A655F7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1,281,462</w:t>
            </w:r>
          </w:p>
        </w:tc>
      </w:tr>
    </w:tbl>
    <w:p w14:paraId="7E4A31A4" w14:textId="77777777" w:rsidR="005C6008" w:rsidRPr="00E10730" w:rsidRDefault="005C6008" w:rsidP="00115FA3">
      <w:pPr>
        <w:autoSpaceDE w:val="0"/>
        <w:autoSpaceDN w:val="0"/>
        <w:adjustRightInd w:val="0"/>
        <w:spacing w:before="120" w:line="240" w:lineRule="auto"/>
        <w:rPr>
          <w:rFonts w:eastAsia="Calibri" w:cs="Arial"/>
          <w:sz w:val="18"/>
          <w:szCs w:val="18"/>
        </w:rPr>
      </w:pPr>
      <w:r w:rsidRPr="00E10730">
        <w:rPr>
          <w:rFonts w:eastAsia="Calibri" w:cs="Arial"/>
          <w:sz w:val="18"/>
          <w:szCs w:val="18"/>
        </w:rPr>
        <w:t>Settlement is expected to be made for suppliers within 20 days (2025: 20 days).</w:t>
      </w:r>
    </w:p>
    <w:tbl>
      <w:tblPr>
        <w:tblW w:w="0" w:type="auto"/>
        <w:tblLayout w:type="fixed"/>
        <w:tblLook w:val="0000" w:firstRow="0" w:lastRow="0" w:firstColumn="0" w:lastColumn="0" w:noHBand="0" w:noVBand="0"/>
      </w:tblPr>
      <w:tblGrid>
        <w:gridCol w:w="6541"/>
        <w:gridCol w:w="1273"/>
        <w:gridCol w:w="1273"/>
      </w:tblGrid>
      <w:tr w:rsidR="005C6008" w:rsidRPr="00E10730" w14:paraId="4238518E" w14:textId="77777777">
        <w:trPr>
          <w:trHeight w:val="260"/>
        </w:trPr>
        <w:tc>
          <w:tcPr>
            <w:tcW w:w="6541" w:type="dxa"/>
            <w:tcBorders>
              <w:top w:val="nil"/>
              <w:left w:val="nil"/>
              <w:bottom w:val="nil"/>
              <w:right w:val="nil"/>
            </w:tcBorders>
            <w:shd w:val="clear" w:color="FFFFFF" w:fill="FFFFFF"/>
            <w:vAlign w:val="bottom"/>
          </w:tcPr>
          <w:p w14:paraId="7F5F6619"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2.3B: Other payables</w:t>
            </w:r>
          </w:p>
        </w:tc>
        <w:tc>
          <w:tcPr>
            <w:tcW w:w="1273" w:type="dxa"/>
            <w:tcBorders>
              <w:top w:val="nil"/>
              <w:left w:val="nil"/>
              <w:bottom w:val="nil"/>
              <w:right w:val="nil"/>
            </w:tcBorders>
            <w:shd w:val="clear" w:color="FFFFFF" w:fill="FFFFFF"/>
            <w:vAlign w:val="bottom"/>
          </w:tcPr>
          <w:p w14:paraId="09DCC14D"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74F04FF5"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3E222EF9" w14:textId="77777777">
        <w:trPr>
          <w:trHeight w:val="250"/>
        </w:trPr>
        <w:tc>
          <w:tcPr>
            <w:tcW w:w="6541" w:type="dxa"/>
            <w:tcBorders>
              <w:top w:val="nil"/>
              <w:left w:val="nil"/>
              <w:bottom w:val="nil"/>
              <w:right w:val="nil"/>
            </w:tcBorders>
            <w:shd w:val="clear" w:color="FFFFFF" w:fill="FFFFFF"/>
            <w:vAlign w:val="bottom"/>
          </w:tcPr>
          <w:p w14:paraId="059D8FA1"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Salaries and wages</w:t>
            </w:r>
          </w:p>
        </w:tc>
        <w:tc>
          <w:tcPr>
            <w:tcW w:w="1273" w:type="dxa"/>
            <w:tcBorders>
              <w:top w:val="nil"/>
              <w:left w:val="nil"/>
              <w:bottom w:val="nil"/>
              <w:right w:val="nil"/>
            </w:tcBorders>
            <w:shd w:val="clear" w:color="FFFFFF" w:fill="FFFFFF"/>
            <w:vAlign w:val="bottom"/>
          </w:tcPr>
          <w:p w14:paraId="089BBB3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36,126</w:t>
            </w:r>
          </w:p>
        </w:tc>
        <w:tc>
          <w:tcPr>
            <w:tcW w:w="1273" w:type="dxa"/>
            <w:tcBorders>
              <w:top w:val="nil"/>
              <w:left w:val="nil"/>
              <w:bottom w:val="nil"/>
              <w:right w:val="nil"/>
            </w:tcBorders>
            <w:shd w:val="clear" w:color="FFFFFF" w:fill="FFFFFF"/>
            <w:vAlign w:val="bottom"/>
          </w:tcPr>
          <w:p w14:paraId="596977B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29,194</w:t>
            </w:r>
          </w:p>
        </w:tc>
      </w:tr>
      <w:tr w:rsidR="005C6008" w:rsidRPr="00E10730" w14:paraId="4B4B4E1E" w14:textId="77777777">
        <w:trPr>
          <w:trHeight w:val="250"/>
        </w:trPr>
        <w:tc>
          <w:tcPr>
            <w:tcW w:w="6541" w:type="dxa"/>
            <w:tcBorders>
              <w:top w:val="nil"/>
              <w:left w:val="nil"/>
              <w:bottom w:val="nil"/>
              <w:right w:val="nil"/>
            </w:tcBorders>
            <w:shd w:val="clear" w:color="FFFFFF" w:fill="FFFFFF"/>
            <w:vAlign w:val="bottom"/>
          </w:tcPr>
          <w:p w14:paraId="4070E697"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Superannuation</w:t>
            </w:r>
          </w:p>
        </w:tc>
        <w:tc>
          <w:tcPr>
            <w:tcW w:w="1273" w:type="dxa"/>
            <w:tcBorders>
              <w:top w:val="nil"/>
              <w:left w:val="nil"/>
              <w:bottom w:val="nil"/>
              <w:right w:val="nil"/>
            </w:tcBorders>
            <w:shd w:val="clear" w:color="FFFFFF" w:fill="FFFFFF"/>
            <w:vAlign w:val="bottom"/>
          </w:tcPr>
          <w:p w14:paraId="464B0A6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8,507</w:t>
            </w:r>
          </w:p>
        </w:tc>
        <w:tc>
          <w:tcPr>
            <w:tcW w:w="1273" w:type="dxa"/>
            <w:tcBorders>
              <w:top w:val="nil"/>
              <w:left w:val="nil"/>
              <w:bottom w:val="nil"/>
              <w:right w:val="nil"/>
            </w:tcBorders>
            <w:shd w:val="clear" w:color="FFFFFF" w:fill="FFFFFF"/>
            <w:vAlign w:val="bottom"/>
          </w:tcPr>
          <w:p w14:paraId="47DB835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4,753</w:t>
            </w:r>
          </w:p>
        </w:tc>
      </w:tr>
      <w:tr w:rsidR="005C6008" w:rsidRPr="00E10730" w14:paraId="6B8EC541" w14:textId="77777777">
        <w:trPr>
          <w:trHeight w:val="250"/>
        </w:trPr>
        <w:tc>
          <w:tcPr>
            <w:tcW w:w="6541" w:type="dxa"/>
            <w:tcBorders>
              <w:top w:val="nil"/>
              <w:left w:val="nil"/>
              <w:bottom w:val="nil"/>
              <w:right w:val="nil"/>
            </w:tcBorders>
            <w:shd w:val="clear" w:color="FFFFFF" w:fill="FFFFFF"/>
            <w:vAlign w:val="bottom"/>
          </w:tcPr>
          <w:p w14:paraId="2300ABBE"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Other</w:t>
            </w:r>
          </w:p>
        </w:tc>
        <w:tc>
          <w:tcPr>
            <w:tcW w:w="1273" w:type="dxa"/>
            <w:tcBorders>
              <w:top w:val="nil"/>
              <w:left w:val="nil"/>
              <w:bottom w:val="nil"/>
              <w:right w:val="nil"/>
            </w:tcBorders>
            <w:shd w:val="clear" w:color="FFFFFF" w:fill="FFFFFF"/>
            <w:vAlign w:val="bottom"/>
          </w:tcPr>
          <w:p w14:paraId="6BC95F8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208</w:t>
            </w:r>
          </w:p>
        </w:tc>
        <w:tc>
          <w:tcPr>
            <w:tcW w:w="1273" w:type="dxa"/>
            <w:tcBorders>
              <w:top w:val="nil"/>
              <w:left w:val="nil"/>
              <w:bottom w:val="nil"/>
              <w:right w:val="nil"/>
            </w:tcBorders>
            <w:shd w:val="clear" w:color="FFFFFF" w:fill="FFFFFF"/>
            <w:vAlign w:val="bottom"/>
          </w:tcPr>
          <w:p w14:paraId="2761BCA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115</w:t>
            </w:r>
          </w:p>
        </w:tc>
      </w:tr>
      <w:tr w:rsidR="005C6008" w:rsidRPr="00E10730" w14:paraId="5E98A85A" w14:textId="77777777">
        <w:trPr>
          <w:trHeight w:val="250"/>
        </w:trPr>
        <w:tc>
          <w:tcPr>
            <w:tcW w:w="6541" w:type="dxa"/>
            <w:tcBorders>
              <w:top w:val="nil"/>
              <w:left w:val="nil"/>
              <w:bottom w:val="nil"/>
              <w:right w:val="nil"/>
            </w:tcBorders>
            <w:shd w:val="clear" w:color="FFFFFF" w:fill="FFFFFF"/>
            <w:vAlign w:val="bottom"/>
          </w:tcPr>
          <w:p w14:paraId="5F323B1C"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 xml:space="preserve">Total other payables </w:t>
            </w:r>
          </w:p>
        </w:tc>
        <w:tc>
          <w:tcPr>
            <w:tcW w:w="1273" w:type="dxa"/>
            <w:tcBorders>
              <w:top w:val="single" w:sz="4" w:space="0" w:color="auto"/>
              <w:left w:val="nil"/>
              <w:bottom w:val="single" w:sz="4" w:space="0" w:color="auto"/>
              <w:right w:val="nil"/>
            </w:tcBorders>
            <w:shd w:val="clear" w:color="FFFFFF" w:fill="FFFFFF"/>
            <w:vAlign w:val="bottom"/>
          </w:tcPr>
          <w:p w14:paraId="25127B9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44,841</w:t>
            </w:r>
          </w:p>
        </w:tc>
        <w:tc>
          <w:tcPr>
            <w:tcW w:w="1273" w:type="dxa"/>
            <w:tcBorders>
              <w:top w:val="single" w:sz="4" w:space="0" w:color="auto"/>
              <w:left w:val="nil"/>
              <w:bottom w:val="single" w:sz="4" w:space="0" w:color="auto"/>
              <w:right w:val="nil"/>
            </w:tcBorders>
            <w:shd w:val="clear" w:color="FFFFFF" w:fill="FFFFFF"/>
            <w:vAlign w:val="bottom"/>
          </w:tcPr>
          <w:p w14:paraId="511CF2B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34,062</w:t>
            </w:r>
          </w:p>
        </w:tc>
      </w:tr>
    </w:tbl>
    <w:p w14:paraId="217F7C48"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120" w:line="240" w:lineRule="auto"/>
        <w:rPr>
          <w:rFonts w:eastAsia="Calibri" w:cs="Arial"/>
          <w:b/>
          <w:bCs/>
          <w:sz w:val="18"/>
          <w:szCs w:val="18"/>
        </w:rPr>
      </w:pPr>
      <w:r w:rsidRPr="00E10730">
        <w:rPr>
          <w:rFonts w:eastAsia="Calibri" w:cs="Arial"/>
          <w:b/>
          <w:bCs/>
          <w:sz w:val="18"/>
          <w:szCs w:val="18"/>
        </w:rPr>
        <w:t>Accounting Policy</w:t>
      </w:r>
    </w:p>
    <w:p w14:paraId="32CFAC1A"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b/>
          <w:bCs/>
          <w:sz w:val="18"/>
          <w:szCs w:val="18"/>
        </w:rPr>
      </w:pPr>
      <w:r w:rsidRPr="00E10730">
        <w:rPr>
          <w:rFonts w:eastAsia="Calibri" w:cs="Arial"/>
          <w:sz w:val="18"/>
          <w:szCs w:val="18"/>
        </w:rPr>
        <w:t>Financial liabilities, including supplier and other payables, are initially measured at fair value, net of transaction costs. These liabilities are subsequently measured at amortised cost using the effective interest method, with interest expense recognised on an effective yield basis.</w:t>
      </w:r>
    </w:p>
    <w:p w14:paraId="640A2208"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Liabilities are recognised to the extent that the goods or services have been received (and irrespective of having been invoiced).</w:t>
      </w:r>
    </w:p>
    <w:p w14:paraId="73C87CC5"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Accounting policies for Salaries and wages and Superannuation are contained in Section 3. People and Relationships.</w:t>
      </w:r>
    </w:p>
    <w:p w14:paraId="6D679909" w14:textId="77777777" w:rsidR="005C6008" w:rsidRPr="00E10730" w:rsidRDefault="005C6008" w:rsidP="00115FA3">
      <w:pPr>
        <w:shd w:val="clear" w:color="auto" w:fill="000000"/>
        <w:autoSpaceDE w:val="0"/>
        <w:autoSpaceDN w:val="0"/>
        <w:adjustRightInd w:val="0"/>
        <w:spacing w:after="0" w:line="240" w:lineRule="auto"/>
        <w:ind w:left="426" w:hanging="426"/>
        <w:rPr>
          <w:rFonts w:eastAsia="Calibri" w:cs="Arial"/>
          <w:b/>
          <w:bCs/>
          <w:color w:val="FFFFFF"/>
          <w:sz w:val="20"/>
          <w:szCs w:val="20"/>
        </w:rPr>
      </w:pPr>
      <w:r w:rsidRPr="00E10730">
        <w:rPr>
          <w:rFonts w:eastAsia="Calibri" w:cs="Arial"/>
          <w:b/>
          <w:bCs/>
          <w:color w:val="FFFFFF"/>
          <w:sz w:val="20"/>
          <w:szCs w:val="20"/>
        </w:rPr>
        <w:t>2.4.</w:t>
      </w:r>
      <w:r w:rsidRPr="00E10730">
        <w:rPr>
          <w:rFonts w:eastAsia="Calibri" w:cs="Arial"/>
          <w:b/>
          <w:bCs/>
          <w:color w:val="FFFFFF"/>
          <w:sz w:val="20"/>
          <w:szCs w:val="20"/>
        </w:rPr>
        <w:tab/>
        <w:t>Unearned Income</w:t>
      </w:r>
    </w:p>
    <w:tbl>
      <w:tblPr>
        <w:tblW w:w="9087" w:type="dxa"/>
        <w:tblLayout w:type="fixed"/>
        <w:tblLook w:val="0000" w:firstRow="0" w:lastRow="0" w:firstColumn="0" w:lastColumn="0" w:noHBand="0" w:noVBand="0"/>
      </w:tblPr>
      <w:tblGrid>
        <w:gridCol w:w="6541"/>
        <w:gridCol w:w="1273"/>
        <w:gridCol w:w="1273"/>
      </w:tblGrid>
      <w:tr w:rsidR="005C6008" w:rsidRPr="00E10730" w14:paraId="21E09837" w14:textId="77777777">
        <w:trPr>
          <w:trHeight w:val="253"/>
        </w:trPr>
        <w:tc>
          <w:tcPr>
            <w:tcW w:w="6541" w:type="dxa"/>
            <w:tcBorders>
              <w:top w:val="nil"/>
              <w:left w:val="nil"/>
              <w:bottom w:val="nil"/>
              <w:right w:val="nil"/>
            </w:tcBorders>
            <w:shd w:val="clear" w:color="FFFFFF" w:fill="FFFFFF"/>
            <w:vAlign w:val="bottom"/>
          </w:tcPr>
          <w:p w14:paraId="3A66D7B2"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2.4: Unearned revenue</w:t>
            </w:r>
          </w:p>
        </w:tc>
        <w:tc>
          <w:tcPr>
            <w:tcW w:w="1273" w:type="dxa"/>
            <w:tcBorders>
              <w:top w:val="nil"/>
              <w:left w:val="nil"/>
              <w:bottom w:val="nil"/>
              <w:right w:val="nil"/>
            </w:tcBorders>
            <w:shd w:val="clear" w:color="FFFFFF" w:fill="FFFFFF"/>
            <w:vAlign w:val="bottom"/>
          </w:tcPr>
          <w:p w14:paraId="166D9106"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04613FFE"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5DF07BDC" w14:textId="77777777">
        <w:trPr>
          <w:trHeight w:val="250"/>
        </w:trPr>
        <w:tc>
          <w:tcPr>
            <w:tcW w:w="6541" w:type="dxa"/>
            <w:tcBorders>
              <w:top w:val="nil"/>
              <w:left w:val="nil"/>
              <w:bottom w:val="nil"/>
              <w:right w:val="nil"/>
            </w:tcBorders>
            <w:shd w:val="clear" w:color="FFFFFF" w:fill="FFFFFF"/>
            <w:vAlign w:val="bottom"/>
          </w:tcPr>
          <w:p w14:paraId="403C3E83"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Revenue received in advance - external entities</w:t>
            </w:r>
          </w:p>
        </w:tc>
        <w:tc>
          <w:tcPr>
            <w:tcW w:w="1273" w:type="dxa"/>
            <w:tcBorders>
              <w:top w:val="nil"/>
              <w:left w:val="nil"/>
              <w:bottom w:val="nil"/>
              <w:right w:val="nil"/>
            </w:tcBorders>
            <w:shd w:val="clear" w:color="FFFFFF" w:fill="FFFFFF"/>
            <w:vAlign w:val="bottom"/>
          </w:tcPr>
          <w:p w14:paraId="6236FAD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485,618</w:t>
            </w:r>
          </w:p>
        </w:tc>
        <w:tc>
          <w:tcPr>
            <w:tcW w:w="1273" w:type="dxa"/>
            <w:tcBorders>
              <w:top w:val="nil"/>
              <w:left w:val="nil"/>
              <w:bottom w:val="nil"/>
              <w:right w:val="nil"/>
            </w:tcBorders>
            <w:shd w:val="clear" w:color="FFFFFF" w:fill="FFFFFF"/>
            <w:vAlign w:val="bottom"/>
          </w:tcPr>
          <w:p w14:paraId="7241B60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454,784</w:t>
            </w:r>
          </w:p>
        </w:tc>
      </w:tr>
      <w:tr w:rsidR="005C6008" w:rsidRPr="00E10730" w14:paraId="0EABCE9A" w14:textId="77777777">
        <w:trPr>
          <w:trHeight w:val="250"/>
        </w:trPr>
        <w:tc>
          <w:tcPr>
            <w:tcW w:w="6541" w:type="dxa"/>
            <w:tcBorders>
              <w:top w:val="nil"/>
              <w:left w:val="nil"/>
              <w:bottom w:val="nil"/>
              <w:right w:val="nil"/>
            </w:tcBorders>
            <w:shd w:val="clear" w:color="FFFFFF" w:fill="FFFFFF"/>
            <w:vAlign w:val="bottom"/>
          </w:tcPr>
          <w:p w14:paraId="6DCCA0FA"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unearned revenue</w:t>
            </w:r>
          </w:p>
        </w:tc>
        <w:tc>
          <w:tcPr>
            <w:tcW w:w="1273" w:type="dxa"/>
            <w:tcBorders>
              <w:top w:val="single" w:sz="4" w:space="0" w:color="auto"/>
              <w:left w:val="nil"/>
              <w:bottom w:val="single" w:sz="4" w:space="0" w:color="auto"/>
              <w:right w:val="nil"/>
            </w:tcBorders>
            <w:shd w:val="clear" w:color="FFFFFF" w:fill="FFFFFF"/>
            <w:vAlign w:val="bottom"/>
          </w:tcPr>
          <w:p w14:paraId="5E4892E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485,618</w:t>
            </w:r>
          </w:p>
        </w:tc>
        <w:tc>
          <w:tcPr>
            <w:tcW w:w="1273" w:type="dxa"/>
            <w:tcBorders>
              <w:top w:val="single" w:sz="4" w:space="0" w:color="auto"/>
              <w:left w:val="nil"/>
              <w:bottom w:val="single" w:sz="4" w:space="0" w:color="auto"/>
              <w:right w:val="nil"/>
            </w:tcBorders>
            <w:shd w:val="clear" w:color="FFFFFF" w:fill="FFFFFF"/>
            <w:vAlign w:val="bottom"/>
          </w:tcPr>
          <w:p w14:paraId="213879F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454,784</w:t>
            </w:r>
          </w:p>
        </w:tc>
      </w:tr>
    </w:tbl>
    <w:p w14:paraId="7021A390"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240" w:line="240" w:lineRule="auto"/>
        <w:rPr>
          <w:rFonts w:eastAsia="Calibri" w:cs="Arial"/>
          <w:b/>
          <w:bCs/>
          <w:sz w:val="18"/>
          <w:szCs w:val="18"/>
        </w:rPr>
      </w:pPr>
      <w:r w:rsidRPr="00E10730">
        <w:rPr>
          <w:rFonts w:eastAsia="Calibri" w:cs="Arial"/>
          <w:b/>
          <w:bCs/>
          <w:sz w:val="18"/>
          <w:szCs w:val="18"/>
        </w:rPr>
        <w:t>Accounting Policy</w:t>
      </w:r>
    </w:p>
    <w:p w14:paraId="558CBF4D"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Accounting policies for unearned income are contained in Note 1.2A Rendering of services.</w:t>
      </w:r>
    </w:p>
    <w:p w14:paraId="1393CDB5" w14:textId="77777777" w:rsidR="005C6008" w:rsidRPr="00E10730" w:rsidRDefault="005C6008" w:rsidP="00115FA3">
      <w:pPr>
        <w:shd w:val="clear" w:color="auto" w:fill="000000"/>
        <w:autoSpaceDE w:val="0"/>
        <w:autoSpaceDN w:val="0"/>
        <w:adjustRightInd w:val="0"/>
        <w:spacing w:after="0" w:line="240" w:lineRule="auto"/>
        <w:ind w:left="426" w:hanging="426"/>
        <w:rPr>
          <w:rFonts w:eastAsia="Calibri" w:cs="Arial"/>
          <w:b/>
          <w:bCs/>
          <w:color w:val="FFFFFF"/>
          <w:sz w:val="20"/>
          <w:szCs w:val="20"/>
        </w:rPr>
      </w:pPr>
      <w:r w:rsidRPr="00E10730">
        <w:rPr>
          <w:rFonts w:eastAsia="Calibri" w:cs="Arial"/>
          <w:b/>
          <w:bCs/>
          <w:color w:val="FFFFFF"/>
          <w:sz w:val="20"/>
          <w:szCs w:val="20"/>
        </w:rPr>
        <w:t>2.5.</w:t>
      </w:r>
      <w:r w:rsidRPr="00E10730">
        <w:rPr>
          <w:rFonts w:eastAsia="Calibri" w:cs="Arial"/>
          <w:b/>
          <w:bCs/>
          <w:color w:val="FFFFFF"/>
          <w:sz w:val="20"/>
          <w:szCs w:val="20"/>
        </w:rPr>
        <w:tab/>
        <w:t>Interest Bearing Liabilities</w:t>
      </w:r>
    </w:p>
    <w:tbl>
      <w:tblPr>
        <w:tblW w:w="0" w:type="auto"/>
        <w:tblLayout w:type="fixed"/>
        <w:tblLook w:val="0000" w:firstRow="0" w:lastRow="0" w:firstColumn="0" w:lastColumn="0" w:noHBand="0" w:noVBand="0"/>
      </w:tblPr>
      <w:tblGrid>
        <w:gridCol w:w="6541"/>
        <w:gridCol w:w="1273"/>
        <w:gridCol w:w="1273"/>
      </w:tblGrid>
      <w:tr w:rsidR="005C6008" w:rsidRPr="00E10730" w14:paraId="34C4B475" w14:textId="77777777">
        <w:trPr>
          <w:trHeight w:val="260"/>
        </w:trPr>
        <w:tc>
          <w:tcPr>
            <w:tcW w:w="6541" w:type="dxa"/>
            <w:tcBorders>
              <w:top w:val="nil"/>
              <w:left w:val="nil"/>
              <w:bottom w:val="nil"/>
              <w:right w:val="nil"/>
            </w:tcBorders>
            <w:shd w:val="clear" w:color="FFFFFF" w:fill="FFFFFF"/>
            <w:vAlign w:val="bottom"/>
          </w:tcPr>
          <w:p w14:paraId="28475F57"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2.5: Leases</w:t>
            </w:r>
          </w:p>
        </w:tc>
        <w:tc>
          <w:tcPr>
            <w:tcW w:w="1273" w:type="dxa"/>
            <w:tcBorders>
              <w:top w:val="nil"/>
              <w:left w:val="nil"/>
              <w:bottom w:val="nil"/>
              <w:right w:val="nil"/>
            </w:tcBorders>
            <w:shd w:val="clear" w:color="FFFFFF" w:fill="FFFFFF"/>
            <w:vAlign w:val="bottom"/>
          </w:tcPr>
          <w:p w14:paraId="5521442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783F705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00BEF2A9" w14:textId="77777777">
        <w:trPr>
          <w:trHeight w:val="250"/>
        </w:trPr>
        <w:tc>
          <w:tcPr>
            <w:tcW w:w="6541" w:type="dxa"/>
            <w:tcBorders>
              <w:top w:val="nil"/>
              <w:left w:val="nil"/>
              <w:bottom w:val="nil"/>
              <w:right w:val="nil"/>
            </w:tcBorders>
            <w:shd w:val="clear" w:color="FFFFFF" w:fill="FFFFFF"/>
            <w:vAlign w:val="bottom"/>
          </w:tcPr>
          <w:p w14:paraId="794BCF08"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Lease liabilities</w:t>
            </w:r>
          </w:p>
        </w:tc>
        <w:tc>
          <w:tcPr>
            <w:tcW w:w="1273" w:type="dxa"/>
            <w:tcBorders>
              <w:top w:val="nil"/>
              <w:left w:val="nil"/>
              <w:bottom w:val="nil"/>
              <w:right w:val="nil"/>
            </w:tcBorders>
            <w:shd w:val="clear" w:color="FFFFFF" w:fill="FFFFFF"/>
            <w:vAlign w:val="bottom"/>
          </w:tcPr>
          <w:p w14:paraId="6C5260A3" w14:textId="77777777" w:rsidR="005C6008" w:rsidRPr="00E10730" w:rsidRDefault="005C6008" w:rsidP="00115FA3">
            <w:pPr>
              <w:autoSpaceDE w:val="0"/>
              <w:autoSpaceDN w:val="0"/>
              <w:adjustRightInd w:val="0"/>
              <w:spacing w:after="0" w:line="240" w:lineRule="auto"/>
              <w:rPr>
                <w:rFonts w:eastAsia="Calibri" w:cs="Arial"/>
                <w:color w:val="FFFFFF"/>
                <w:sz w:val="16"/>
                <w:szCs w:val="16"/>
              </w:rPr>
            </w:pPr>
            <w:r w:rsidRPr="00E10730">
              <w:rPr>
                <w:rFonts w:eastAsia="Calibri" w:cs="Arial"/>
                <w:color w:val="FFFFFF"/>
                <w:sz w:val="16"/>
                <w:szCs w:val="16"/>
              </w:rPr>
              <w:t>-</w:t>
            </w:r>
          </w:p>
        </w:tc>
        <w:tc>
          <w:tcPr>
            <w:tcW w:w="1273" w:type="dxa"/>
            <w:tcBorders>
              <w:top w:val="nil"/>
              <w:left w:val="nil"/>
              <w:bottom w:val="nil"/>
              <w:right w:val="nil"/>
            </w:tcBorders>
            <w:shd w:val="clear" w:color="FFFFFF" w:fill="FFFFFF"/>
            <w:vAlign w:val="bottom"/>
          </w:tcPr>
          <w:p w14:paraId="2F523B70" w14:textId="77777777" w:rsidR="005C6008" w:rsidRPr="00E10730" w:rsidRDefault="005C6008" w:rsidP="00115FA3">
            <w:pPr>
              <w:autoSpaceDE w:val="0"/>
              <w:autoSpaceDN w:val="0"/>
              <w:adjustRightInd w:val="0"/>
              <w:spacing w:after="0" w:line="240" w:lineRule="auto"/>
              <w:rPr>
                <w:rFonts w:eastAsia="Calibri" w:cs="Arial"/>
                <w:color w:val="FFFFFF"/>
                <w:sz w:val="16"/>
                <w:szCs w:val="16"/>
              </w:rPr>
            </w:pPr>
            <w:r w:rsidRPr="00E10730">
              <w:rPr>
                <w:rFonts w:eastAsia="Calibri" w:cs="Arial"/>
                <w:color w:val="FFFFFF"/>
                <w:sz w:val="16"/>
                <w:szCs w:val="16"/>
              </w:rPr>
              <w:t>-</w:t>
            </w:r>
          </w:p>
        </w:tc>
      </w:tr>
      <w:tr w:rsidR="005C6008" w:rsidRPr="00E10730" w14:paraId="0F9C1F1A" w14:textId="77777777">
        <w:trPr>
          <w:trHeight w:val="250"/>
        </w:trPr>
        <w:tc>
          <w:tcPr>
            <w:tcW w:w="6541" w:type="dxa"/>
            <w:tcBorders>
              <w:top w:val="nil"/>
              <w:left w:val="nil"/>
              <w:bottom w:val="nil"/>
              <w:right w:val="nil"/>
            </w:tcBorders>
            <w:shd w:val="clear" w:color="FFFFFF" w:fill="FFFFFF"/>
            <w:vAlign w:val="bottom"/>
          </w:tcPr>
          <w:p w14:paraId="386FEEFF"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Buildings</w:t>
            </w:r>
          </w:p>
        </w:tc>
        <w:tc>
          <w:tcPr>
            <w:tcW w:w="1273" w:type="dxa"/>
            <w:tcBorders>
              <w:top w:val="nil"/>
              <w:left w:val="nil"/>
              <w:bottom w:val="nil"/>
              <w:right w:val="nil"/>
            </w:tcBorders>
            <w:shd w:val="clear" w:color="FFFFFF" w:fill="FFFFFF"/>
            <w:vAlign w:val="bottom"/>
          </w:tcPr>
          <w:p w14:paraId="39308FE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148,421</w:t>
            </w:r>
          </w:p>
        </w:tc>
        <w:tc>
          <w:tcPr>
            <w:tcW w:w="1273" w:type="dxa"/>
            <w:tcBorders>
              <w:top w:val="nil"/>
              <w:left w:val="nil"/>
              <w:bottom w:val="nil"/>
              <w:right w:val="nil"/>
            </w:tcBorders>
            <w:shd w:val="clear" w:color="FFFFFF" w:fill="FFFFFF"/>
            <w:vAlign w:val="bottom"/>
          </w:tcPr>
          <w:p w14:paraId="170E032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148,491</w:t>
            </w:r>
          </w:p>
        </w:tc>
      </w:tr>
      <w:tr w:rsidR="005C6008" w:rsidRPr="00E10730" w14:paraId="1D8F9A0D" w14:textId="77777777">
        <w:trPr>
          <w:trHeight w:val="250"/>
        </w:trPr>
        <w:tc>
          <w:tcPr>
            <w:tcW w:w="6541" w:type="dxa"/>
            <w:tcBorders>
              <w:top w:val="nil"/>
              <w:left w:val="nil"/>
              <w:bottom w:val="nil"/>
              <w:right w:val="nil"/>
            </w:tcBorders>
            <w:shd w:val="clear" w:color="FFFFFF" w:fill="FFFFFF"/>
            <w:vAlign w:val="bottom"/>
          </w:tcPr>
          <w:p w14:paraId="7361EECD"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Plant and equipment</w:t>
            </w:r>
          </w:p>
        </w:tc>
        <w:tc>
          <w:tcPr>
            <w:tcW w:w="1273" w:type="dxa"/>
            <w:tcBorders>
              <w:top w:val="nil"/>
              <w:left w:val="nil"/>
              <w:bottom w:val="nil"/>
              <w:right w:val="nil"/>
            </w:tcBorders>
            <w:shd w:val="clear" w:color="FFFFFF" w:fill="FFFFFF"/>
            <w:vAlign w:val="bottom"/>
          </w:tcPr>
          <w:p w14:paraId="0F131DD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1,095</w:t>
            </w:r>
          </w:p>
        </w:tc>
        <w:tc>
          <w:tcPr>
            <w:tcW w:w="1273" w:type="dxa"/>
            <w:tcBorders>
              <w:top w:val="nil"/>
              <w:left w:val="nil"/>
              <w:bottom w:val="nil"/>
              <w:right w:val="nil"/>
            </w:tcBorders>
            <w:shd w:val="clear" w:color="FFFFFF" w:fill="FFFFFF"/>
            <w:vAlign w:val="bottom"/>
          </w:tcPr>
          <w:p w14:paraId="6B6BB1C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2,087</w:t>
            </w:r>
          </w:p>
        </w:tc>
      </w:tr>
      <w:tr w:rsidR="005C6008" w:rsidRPr="00E10730" w14:paraId="40A86A9B" w14:textId="77777777">
        <w:trPr>
          <w:trHeight w:val="250"/>
        </w:trPr>
        <w:tc>
          <w:tcPr>
            <w:tcW w:w="6541" w:type="dxa"/>
            <w:tcBorders>
              <w:top w:val="nil"/>
              <w:left w:val="nil"/>
              <w:bottom w:val="nil"/>
              <w:right w:val="nil"/>
            </w:tcBorders>
            <w:shd w:val="clear" w:color="FFFFFF" w:fill="FFFFFF"/>
            <w:vAlign w:val="bottom"/>
          </w:tcPr>
          <w:p w14:paraId="2915A34A"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 xml:space="preserve">Total leases </w:t>
            </w:r>
          </w:p>
        </w:tc>
        <w:tc>
          <w:tcPr>
            <w:tcW w:w="1273" w:type="dxa"/>
            <w:tcBorders>
              <w:top w:val="single" w:sz="4" w:space="0" w:color="auto"/>
              <w:left w:val="nil"/>
              <w:bottom w:val="single" w:sz="4" w:space="0" w:color="auto"/>
              <w:right w:val="nil"/>
            </w:tcBorders>
            <w:shd w:val="clear" w:color="FFFFFF" w:fill="FFFFFF"/>
            <w:vAlign w:val="bottom"/>
          </w:tcPr>
          <w:p w14:paraId="3E261B0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149,516</w:t>
            </w:r>
          </w:p>
        </w:tc>
        <w:tc>
          <w:tcPr>
            <w:tcW w:w="1273" w:type="dxa"/>
            <w:tcBorders>
              <w:top w:val="single" w:sz="4" w:space="0" w:color="auto"/>
              <w:left w:val="nil"/>
              <w:bottom w:val="single" w:sz="4" w:space="0" w:color="auto"/>
              <w:right w:val="nil"/>
            </w:tcBorders>
            <w:shd w:val="clear" w:color="FFFFFF" w:fill="FFFFFF"/>
            <w:vAlign w:val="bottom"/>
          </w:tcPr>
          <w:p w14:paraId="56E8EBB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150,578</w:t>
            </w:r>
          </w:p>
        </w:tc>
      </w:tr>
    </w:tbl>
    <w:p w14:paraId="180E97F3" w14:textId="77777777" w:rsidR="005C6008" w:rsidRPr="00E10730" w:rsidRDefault="005C6008" w:rsidP="00115FA3">
      <w:pPr>
        <w:autoSpaceDE w:val="0"/>
        <w:autoSpaceDN w:val="0"/>
        <w:adjustRightInd w:val="0"/>
        <w:spacing w:after="0" w:line="240" w:lineRule="auto"/>
        <w:rPr>
          <w:rFonts w:eastAsia="Calibri" w:cs="Arial"/>
          <w:sz w:val="22"/>
          <w:szCs w:val="22"/>
        </w:rPr>
      </w:pPr>
    </w:p>
    <w:tbl>
      <w:tblPr>
        <w:tblW w:w="9087" w:type="dxa"/>
        <w:tblLayout w:type="fixed"/>
        <w:tblLook w:val="0000" w:firstRow="0" w:lastRow="0" w:firstColumn="0" w:lastColumn="0" w:noHBand="0" w:noVBand="0"/>
      </w:tblPr>
      <w:tblGrid>
        <w:gridCol w:w="6541"/>
        <w:gridCol w:w="1273"/>
        <w:gridCol w:w="1273"/>
      </w:tblGrid>
      <w:tr w:rsidR="005C6008" w:rsidRPr="00E10730" w14:paraId="297A7595" w14:textId="77777777">
        <w:trPr>
          <w:trHeight w:val="260"/>
        </w:trPr>
        <w:tc>
          <w:tcPr>
            <w:tcW w:w="6541" w:type="dxa"/>
            <w:tcBorders>
              <w:top w:val="nil"/>
              <w:left w:val="nil"/>
              <w:bottom w:val="nil"/>
              <w:right w:val="nil"/>
            </w:tcBorders>
            <w:shd w:val="clear" w:color="FFFFFF" w:fill="FFFFFF"/>
            <w:vAlign w:val="bottom"/>
          </w:tcPr>
          <w:p w14:paraId="02E7FE60"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2.5: Leases - Maturity</w:t>
            </w:r>
          </w:p>
        </w:tc>
        <w:tc>
          <w:tcPr>
            <w:tcW w:w="1273" w:type="dxa"/>
            <w:tcBorders>
              <w:top w:val="nil"/>
              <w:left w:val="nil"/>
              <w:bottom w:val="nil"/>
              <w:right w:val="nil"/>
            </w:tcBorders>
            <w:shd w:val="clear" w:color="FFFFFF" w:fill="FFFFFF"/>
            <w:vAlign w:val="bottom"/>
          </w:tcPr>
          <w:p w14:paraId="19166C17"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0C3D5F37"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66B513D3" w14:textId="77777777">
        <w:trPr>
          <w:trHeight w:val="250"/>
        </w:trPr>
        <w:tc>
          <w:tcPr>
            <w:tcW w:w="6541" w:type="dxa"/>
            <w:tcBorders>
              <w:top w:val="nil"/>
              <w:left w:val="nil"/>
              <w:bottom w:val="nil"/>
              <w:right w:val="nil"/>
            </w:tcBorders>
            <w:shd w:val="clear" w:color="FFFFFF" w:fill="FFFFFF"/>
            <w:vAlign w:val="bottom"/>
          </w:tcPr>
          <w:p w14:paraId="59FD9C3C"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Maturity analysis - contractual undiscounted cash flows</w:t>
            </w:r>
          </w:p>
        </w:tc>
        <w:tc>
          <w:tcPr>
            <w:tcW w:w="1273" w:type="dxa"/>
            <w:tcBorders>
              <w:top w:val="nil"/>
              <w:left w:val="nil"/>
              <w:bottom w:val="nil"/>
              <w:right w:val="nil"/>
            </w:tcBorders>
            <w:shd w:val="clear" w:color="FFFFFF" w:fill="FFFFFF"/>
            <w:vAlign w:val="bottom"/>
          </w:tcPr>
          <w:p w14:paraId="715F9218"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73" w:type="dxa"/>
            <w:tcBorders>
              <w:top w:val="nil"/>
              <w:left w:val="nil"/>
              <w:bottom w:val="nil"/>
              <w:right w:val="nil"/>
            </w:tcBorders>
            <w:shd w:val="clear" w:color="FFFFFF" w:fill="FFFFFF"/>
            <w:vAlign w:val="bottom"/>
          </w:tcPr>
          <w:p w14:paraId="7A749CEC"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r>
      <w:tr w:rsidR="005C6008" w:rsidRPr="00E10730" w14:paraId="755C588B" w14:textId="77777777">
        <w:trPr>
          <w:trHeight w:val="250"/>
        </w:trPr>
        <w:tc>
          <w:tcPr>
            <w:tcW w:w="6541" w:type="dxa"/>
            <w:tcBorders>
              <w:top w:val="nil"/>
              <w:left w:val="nil"/>
              <w:bottom w:val="nil"/>
              <w:right w:val="nil"/>
            </w:tcBorders>
            <w:shd w:val="clear" w:color="FFFFFF" w:fill="FFFFFF"/>
            <w:vAlign w:val="bottom"/>
          </w:tcPr>
          <w:p w14:paraId="4BC67CDD"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Within 1 year</w:t>
            </w:r>
          </w:p>
        </w:tc>
        <w:tc>
          <w:tcPr>
            <w:tcW w:w="1273" w:type="dxa"/>
            <w:tcBorders>
              <w:top w:val="nil"/>
              <w:left w:val="nil"/>
              <w:bottom w:val="nil"/>
              <w:right w:val="nil"/>
            </w:tcBorders>
            <w:shd w:val="clear" w:color="FFFFFF" w:fill="FFFFFF"/>
            <w:vAlign w:val="bottom"/>
          </w:tcPr>
          <w:p w14:paraId="18B103C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34,730</w:t>
            </w:r>
          </w:p>
        </w:tc>
        <w:tc>
          <w:tcPr>
            <w:tcW w:w="1273" w:type="dxa"/>
            <w:tcBorders>
              <w:top w:val="nil"/>
              <w:left w:val="nil"/>
              <w:bottom w:val="nil"/>
              <w:right w:val="nil"/>
            </w:tcBorders>
            <w:shd w:val="clear" w:color="FFFFFF" w:fill="FFFFFF"/>
            <w:vAlign w:val="bottom"/>
          </w:tcPr>
          <w:p w14:paraId="59E9B1F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34,980</w:t>
            </w:r>
          </w:p>
        </w:tc>
      </w:tr>
      <w:tr w:rsidR="005C6008" w:rsidRPr="00E10730" w14:paraId="13F7F870" w14:textId="77777777">
        <w:trPr>
          <w:trHeight w:val="250"/>
        </w:trPr>
        <w:tc>
          <w:tcPr>
            <w:tcW w:w="6541" w:type="dxa"/>
            <w:tcBorders>
              <w:top w:val="nil"/>
              <w:left w:val="nil"/>
              <w:bottom w:val="nil"/>
              <w:right w:val="nil"/>
            </w:tcBorders>
            <w:shd w:val="clear" w:color="FFFFFF" w:fill="FFFFFF"/>
            <w:vAlign w:val="bottom"/>
          </w:tcPr>
          <w:p w14:paraId="72BDBF35"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Between 1 to 5 years</w:t>
            </w:r>
          </w:p>
        </w:tc>
        <w:tc>
          <w:tcPr>
            <w:tcW w:w="1273" w:type="dxa"/>
            <w:tcBorders>
              <w:top w:val="nil"/>
              <w:left w:val="nil"/>
              <w:bottom w:val="nil"/>
              <w:right w:val="nil"/>
            </w:tcBorders>
            <w:shd w:val="clear" w:color="FFFFFF" w:fill="FFFFFF"/>
            <w:vAlign w:val="bottom"/>
          </w:tcPr>
          <w:p w14:paraId="745D580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94,026</w:t>
            </w:r>
          </w:p>
        </w:tc>
        <w:tc>
          <w:tcPr>
            <w:tcW w:w="1273" w:type="dxa"/>
            <w:tcBorders>
              <w:top w:val="nil"/>
              <w:left w:val="nil"/>
              <w:bottom w:val="nil"/>
              <w:right w:val="nil"/>
            </w:tcBorders>
            <w:shd w:val="clear" w:color="FFFFFF" w:fill="FFFFFF"/>
            <w:vAlign w:val="bottom"/>
          </w:tcPr>
          <w:p w14:paraId="3C07D80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88,965</w:t>
            </w:r>
          </w:p>
        </w:tc>
      </w:tr>
      <w:tr w:rsidR="005C6008" w:rsidRPr="00E10730" w14:paraId="5D43795C" w14:textId="77777777">
        <w:trPr>
          <w:trHeight w:val="250"/>
        </w:trPr>
        <w:tc>
          <w:tcPr>
            <w:tcW w:w="6541" w:type="dxa"/>
            <w:tcBorders>
              <w:top w:val="nil"/>
              <w:left w:val="nil"/>
              <w:bottom w:val="nil"/>
              <w:right w:val="nil"/>
            </w:tcBorders>
            <w:shd w:val="clear" w:color="FFFFFF" w:fill="FFFFFF"/>
            <w:vAlign w:val="bottom"/>
          </w:tcPr>
          <w:p w14:paraId="2B029D62"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More than 5 years</w:t>
            </w:r>
          </w:p>
        </w:tc>
        <w:tc>
          <w:tcPr>
            <w:tcW w:w="1273" w:type="dxa"/>
            <w:tcBorders>
              <w:top w:val="nil"/>
              <w:left w:val="nil"/>
              <w:bottom w:val="nil"/>
              <w:right w:val="nil"/>
            </w:tcBorders>
            <w:shd w:val="clear" w:color="FFFFFF" w:fill="FFFFFF"/>
            <w:vAlign w:val="bottom"/>
          </w:tcPr>
          <w:p w14:paraId="1E5C710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34,201</w:t>
            </w:r>
          </w:p>
        </w:tc>
        <w:tc>
          <w:tcPr>
            <w:tcW w:w="1273" w:type="dxa"/>
            <w:tcBorders>
              <w:top w:val="nil"/>
              <w:left w:val="nil"/>
              <w:bottom w:val="nil"/>
              <w:right w:val="nil"/>
            </w:tcBorders>
            <w:shd w:val="clear" w:color="FFFFFF" w:fill="FFFFFF"/>
            <w:vAlign w:val="bottom"/>
          </w:tcPr>
          <w:p w14:paraId="5B68C46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39,911</w:t>
            </w:r>
          </w:p>
        </w:tc>
      </w:tr>
      <w:tr w:rsidR="005C6008" w:rsidRPr="00E10730" w14:paraId="0C676BDC" w14:textId="77777777">
        <w:trPr>
          <w:trHeight w:val="250"/>
        </w:trPr>
        <w:tc>
          <w:tcPr>
            <w:tcW w:w="6541" w:type="dxa"/>
            <w:tcBorders>
              <w:top w:val="nil"/>
              <w:left w:val="nil"/>
              <w:bottom w:val="nil"/>
              <w:right w:val="nil"/>
            </w:tcBorders>
            <w:shd w:val="clear" w:color="FFFFFF" w:fill="FFFFFF"/>
            <w:vAlign w:val="bottom"/>
          </w:tcPr>
          <w:p w14:paraId="0093A561"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leases</w:t>
            </w:r>
          </w:p>
        </w:tc>
        <w:tc>
          <w:tcPr>
            <w:tcW w:w="1273" w:type="dxa"/>
            <w:tcBorders>
              <w:top w:val="single" w:sz="4" w:space="0" w:color="auto"/>
              <w:left w:val="nil"/>
              <w:bottom w:val="single" w:sz="4" w:space="0" w:color="auto"/>
              <w:right w:val="nil"/>
            </w:tcBorders>
            <w:shd w:val="clear" w:color="FFFFFF" w:fill="FFFFFF"/>
            <w:vAlign w:val="bottom"/>
          </w:tcPr>
          <w:p w14:paraId="3B3C1D6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162,957</w:t>
            </w:r>
          </w:p>
        </w:tc>
        <w:tc>
          <w:tcPr>
            <w:tcW w:w="1273" w:type="dxa"/>
            <w:tcBorders>
              <w:top w:val="single" w:sz="4" w:space="0" w:color="auto"/>
              <w:left w:val="nil"/>
              <w:bottom w:val="single" w:sz="4" w:space="0" w:color="auto"/>
              <w:right w:val="nil"/>
            </w:tcBorders>
            <w:shd w:val="clear" w:color="FFFFFF" w:fill="FFFFFF"/>
            <w:vAlign w:val="bottom"/>
          </w:tcPr>
          <w:p w14:paraId="0C3FF35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163,856</w:t>
            </w:r>
          </w:p>
        </w:tc>
      </w:tr>
    </w:tbl>
    <w:p w14:paraId="5DC86899" w14:textId="77777777" w:rsidR="00FD41DC" w:rsidRPr="00E10730" w:rsidRDefault="00FD41DC">
      <w:pPr>
        <w:spacing w:before="120" w:line="288" w:lineRule="auto"/>
        <w:rPr>
          <w:rFonts w:eastAsia="Calibri" w:cs="Arial"/>
          <w:b/>
          <w:bCs/>
        </w:rPr>
      </w:pPr>
      <w:r w:rsidRPr="00E10730">
        <w:rPr>
          <w:rFonts w:eastAsia="Calibri" w:cs="Arial"/>
          <w:b/>
          <w:bCs/>
        </w:rPr>
        <w:br w:type="page"/>
      </w:r>
    </w:p>
    <w:p w14:paraId="76A1982E" w14:textId="680D3573" w:rsidR="005C6008" w:rsidRPr="00E8103A" w:rsidRDefault="005C6008" w:rsidP="00115FA3">
      <w:pPr>
        <w:pBdr>
          <w:bottom w:val="single" w:sz="4" w:space="1" w:color="auto"/>
        </w:pBdr>
        <w:autoSpaceDE w:val="0"/>
        <w:autoSpaceDN w:val="0"/>
        <w:adjustRightInd w:val="0"/>
        <w:spacing w:before="240" w:after="0" w:line="240" w:lineRule="auto"/>
        <w:rPr>
          <w:rStyle w:val="Strong"/>
        </w:rPr>
      </w:pPr>
      <w:r w:rsidRPr="00E8103A">
        <w:rPr>
          <w:rStyle w:val="Strong"/>
        </w:rPr>
        <w:t>National Disability Insurance Agency</w:t>
      </w:r>
    </w:p>
    <w:p w14:paraId="305824EF"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408DA0FE" w14:textId="77777777" w:rsidR="005C6008" w:rsidRPr="00E10730" w:rsidRDefault="005C6008" w:rsidP="00FD41DC">
      <w:pPr>
        <w:autoSpaceDE w:val="0"/>
        <w:autoSpaceDN w:val="0"/>
        <w:adjustRightInd w:val="0"/>
        <w:spacing w:before="240" w:after="0" w:line="240" w:lineRule="auto"/>
        <w:rPr>
          <w:rFonts w:eastAsia="Calibri" w:cs="Arial"/>
          <w:sz w:val="18"/>
          <w:szCs w:val="18"/>
        </w:rPr>
      </w:pPr>
      <w:r w:rsidRPr="00E10730">
        <w:rPr>
          <w:rFonts w:eastAsia="Calibri" w:cs="Arial"/>
          <w:sz w:val="18"/>
          <w:szCs w:val="18"/>
        </w:rPr>
        <w:t>The Agency, in its capacity, as lessee, has entered into leasing arrangements to meet its operational obligations. These leases are managed through an agreement with Services Australia and JLL under Whole of Government (WoG) arrangements. Each lease has terms and conditions specified in relation to when contingent rent is payable, variable lease payments, renewal or purchase options, annual percentage rent increase, escalation clauses, and restrictions. These lease terms are set as per commercial market arrangements. The above lease disclosures should be read in conjunction with the accompanying notes 1.1B, 1.1D, 1.2B and 2.2A.</w:t>
      </w:r>
    </w:p>
    <w:p w14:paraId="146604A5" w14:textId="20C89AFA" w:rsidR="005C6008" w:rsidRPr="00E10730" w:rsidRDefault="005C6008" w:rsidP="00115FA3">
      <w:pPr>
        <w:autoSpaceDE w:val="0"/>
        <w:autoSpaceDN w:val="0"/>
        <w:adjustRightInd w:val="0"/>
        <w:spacing w:before="240" w:after="240" w:line="240" w:lineRule="auto"/>
        <w:jc w:val="both"/>
        <w:rPr>
          <w:rFonts w:eastAsia="Calibri" w:cs="Arial"/>
          <w:sz w:val="18"/>
          <w:szCs w:val="18"/>
        </w:rPr>
      </w:pPr>
      <w:r w:rsidRPr="00E10730">
        <w:rPr>
          <w:rFonts w:eastAsia="Calibri" w:cs="Arial"/>
          <w:sz w:val="18"/>
          <w:szCs w:val="18"/>
        </w:rPr>
        <w:t>Total cash outflow for leases for the year ended 30 June 2026 was $48.20m (2024</w:t>
      </w:r>
      <w:r w:rsidR="001513F8" w:rsidRPr="00E10730">
        <w:rPr>
          <w:rFonts w:eastAsia="Calibri" w:cs="Arial"/>
          <w:sz w:val="18"/>
          <w:szCs w:val="18"/>
        </w:rPr>
        <w:t>–</w:t>
      </w:r>
      <w:r w:rsidRPr="00E10730">
        <w:rPr>
          <w:rFonts w:eastAsia="Calibri" w:cs="Arial"/>
          <w:sz w:val="18"/>
          <w:szCs w:val="18"/>
        </w:rPr>
        <w:t>25: $44.03m).</w:t>
      </w:r>
    </w:p>
    <w:p w14:paraId="28CCF5A6"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b/>
          <w:bCs/>
          <w:sz w:val="18"/>
          <w:szCs w:val="18"/>
        </w:rPr>
      </w:pPr>
      <w:r w:rsidRPr="00E10730">
        <w:rPr>
          <w:rFonts w:eastAsia="Calibri" w:cs="Arial"/>
          <w:b/>
          <w:bCs/>
          <w:sz w:val="18"/>
          <w:szCs w:val="18"/>
        </w:rPr>
        <w:t>Accounting Policy</w:t>
      </w:r>
    </w:p>
    <w:p w14:paraId="59F8B4A0" w14:textId="786A6DD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For all new contracts entered into, the Agency considers whether the contract is or contains a lease. A lease is defined as ‘a contract, or part of a contract, that conveys the right to use an asset (the underlying asset) for a period of time in exchange for consideration.’</w:t>
      </w:r>
    </w:p>
    <w:p w14:paraId="3536375E"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Once it has been determined that a contract is, or contains a lease, the lease liability is initially measured at the present value of the lease payments unpaid at the commencement date, discounted using the interest rate implicit in the lease, if that rate is readily determinable, or the Agency’s incremental borrowing rate.</w:t>
      </w:r>
    </w:p>
    <w:p w14:paraId="7BF6D16F"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Subsequent to initial measurement, the liability will be reduced for payments made and increased for interest. It is remeasured to reflect any reassessment or modification to the lease. When the lease liability is remeasured, the corresponding adjustment is reflected in the right-of-use asset or profit and loss depending on the nature of the reassessment or modification.</w:t>
      </w:r>
    </w:p>
    <w:p w14:paraId="46CD89AF" w14:textId="77777777" w:rsidR="005C6008" w:rsidRPr="00E10730" w:rsidRDefault="005C6008" w:rsidP="00115FA3">
      <w:pPr>
        <w:shd w:val="clear" w:color="auto" w:fill="000000"/>
        <w:autoSpaceDE w:val="0"/>
        <w:autoSpaceDN w:val="0"/>
        <w:adjustRightInd w:val="0"/>
        <w:spacing w:after="0" w:line="240" w:lineRule="auto"/>
        <w:ind w:left="426" w:hanging="426"/>
        <w:rPr>
          <w:rFonts w:eastAsia="Calibri" w:cs="Arial"/>
          <w:b/>
          <w:bCs/>
          <w:color w:val="FFFFFF"/>
          <w:sz w:val="20"/>
          <w:szCs w:val="20"/>
        </w:rPr>
      </w:pPr>
      <w:r w:rsidRPr="00E10730">
        <w:rPr>
          <w:rFonts w:eastAsia="Calibri" w:cs="Arial"/>
          <w:b/>
          <w:bCs/>
          <w:color w:val="FFFFFF"/>
          <w:sz w:val="20"/>
          <w:szCs w:val="20"/>
        </w:rPr>
        <w:t>2.6.</w:t>
      </w:r>
      <w:r w:rsidRPr="00E10730">
        <w:rPr>
          <w:rFonts w:eastAsia="Calibri" w:cs="Arial"/>
          <w:b/>
          <w:bCs/>
          <w:color w:val="FFFFFF"/>
          <w:sz w:val="20"/>
          <w:szCs w:val="20"/>
        </w:rPr>
        <w:tab/>
        <w:t>Provisions</w:t>
      </w:r>
    </w:p>
    <w:tbl>
      <w:tblPr>
        <w:tblW w:w="9087" w:type="dxa"/>
        <w:tblLayout w:type="fixed"/>
        <w:tblCellMar>
          <w:left w:w="57" w:type="dxa"/>
          <w:right w:w="57" w:type="dxa"/>
        </w:tblCellMar>
        <w:tblLook w:val="0000" w:firstRow="0" w:lastRow="0" w:firstColumn="0" w:lastColumn="0" w:noHBand="0" w:noVBand="0"/>
      </w:tblPr>
      <w:tblGrid>
        <w:gridCol w:w="3677"/>
        <w:gridCol w:w="1354"/>
        <w:gridCol w:w="1352"/>
        <w:gridCol w:w="1352"/>
        <w:gridCol w:w="1352"/>
      </w:tblGrid>
      <w:tr w:rsidR="005C6008" w:rsidRPr="00E10730" w14:paraId="07BA735E" w14:textId="77777777">
        <w:trPr>
          <w:trHeight w:val="688"/>
        </w:trPr>
        <w:tc>
          <w:tcPr>
            <w:tcW w:w="3677" w:type="dxa"/>
            <w:tcBorders>
              <w:top w:val="single" w:sz="4" w:space="0" w:color="auto"/>
              <w:left w:val="nil"/>
              <w:bottom w:val="nil"/>
              <w:right w:val="nil"/>
            </w:tcBorders>
            <w:shd w:val="clear" w:color="FFFFFF" w:fill="FFFFFF"/>
            <w:vAlign w:val="bottom"/>
          </w:tcPr>
          <w:p w14:paraId="5627C9E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354" w:type="dxa"/>
            <w:tcBorders>
              <w:top w:val="single" w:sz="4" w:space="0" w:color="auto"/>
              <w:left w:val="nil"/>
              <w:bottom w:val="nil"/>
              <w:right w:val="nil"/>
            </w:tcBorders>
            <w:shd w:val="clear" w:color="FFFFFF" w:fill="FFFFFF"/>
            <w:vAlign w:val="bottom"/>
          </w:tcPr>
          <w:p w14:paraId="4F78854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Participant plan provision</w:t>
            </w:r>
          </w:p>
        </w:tc>
        <w:tc>
          <w:tcPr>
            <w:tcW w:w="1352" w:type="dxa"/>
            <w:tcBorders>
              <w:top w:val="single" w:sz="4" w:space="0" w:color="auto"/>
              <w:left w:val="nil"/>
              <w:bottom w:val="nil"/>
              <w:right w:val="nil"/>
            </w:tcBorders>
            <w:shd w:val="clear" w:color="FFFFFF" w:fill="FFFFFF"/>
            <w:vAlign w:val="bottom"/>
          </w:tcPr>
          <w:p w14:paraId="5D9D7B4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Provision for restoration obligations</w:t>
            </w:r>
          </w:p>
        </w:tc>
        <w:tc>
          <w:tcPr>
            <w:tcW w:w="1352" w:type="dxa"/>
            <w:tcBorders>
              <w:top w:val="single" w:sz="4" w:space="0" w:color="auto"/>
              <w:left w:val="nil"/>
              <w:bottom w:val="nil"/>
              <w:right w:val="nil"/>
            </w:tcBorders>
            <w:shd w:val="clear" w:color="FFFFFF" w:fill="FFFFFF"/>
            <w:vAlign w:val="bottom"/>
          </w:tcPr>
          <w:p w14:paraId="7D907E5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Provision for historical Scheme debt</w:t>
            </w:r>
          </w:p>
        </w:tc>
        <w:tc>
          <w:tcPr>
            <w:tcW w:w="1352" w:type="dxa"/>
            <w:tcBorders>
              <w:top w:val="single" w:sz="4" w:space="0" w:color="auto"/>
              <w:left w:val="nil"/>
              <w:bottom w:val="nil"/>
              <w:right w:val="nil"/>
            </w:tcBorders>
            <w:shd w:val="clear" w:color="FFFFFF" w:fill="FFFFFF"/>
            <w:vAlign w:val="bottom"/>
          </w:tcPr>
          <w:p w14:paraId="2B4B6DA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Total</w:t>
            </w:r>
          </w:p>
        </w:tc>
      </w:tr>
      <w:tr w:rsidR="005C6008" w:rsidRPr="00E10730" w14:paraId="1833CD36" w14:textId="77777777">
        <w:trPr>
          <w:trHeight w:val="260"/>
        </w:trPr>
        <w:tc>
          <w:tcPr>
            <w:tcW w:w="3677" w:type="dxa"/>
            <w:tcBorders>
              <w:top w:val="nil"/>
              <w:left w:val="nil"/>
              <w:bottom w:val="single" w:sz="4" w:space="0" w:color="auto"/>
              <w:right w:val="nil"/>
            </w:tcBorders>
            <w:shd w:val="clear" w:color="FFFFFF" w:fill="FFFFFF"/>
            <w:vAlign w:val="bottom"/>
          </w:tcPr>
          <w:p w14:paraId="16E88C82"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354" w:type="dxa"/>
            <w:tcBorders>
              <w:top w:val="nil"/>
              <w:left w:val="nil"/>
              <w:bottom w:val="single" w:sz="4" w:space="0" w:color="auto"/>
              <w:right w:val="nil"/>
            </w:tcBorders>
            <w:shd w:val="clear" w:color="FFFFFF" w:fill="FFFFFF"/>
            <w:vAlign w:val="bottom"/>
          </w:tcPr>
          <w:p w14:paraId="726302E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352" w:type="dxa"/>
            <w:tcBorders>
              <w:top w:val="nil"/>
              <w:left w:val="nil"/>
              <w:bottom w:val="single" w:sz="4" w:space="0" w:color="auto"/>
              <w:right w:val="nil"/>
            </w:tcBorders>
            <w:shd w:val="clear" w:color="FFFFFF" w:fill="FFFFFF"/>
            <w:vAlign w:val="bottom"/>
          </w:tcPr>
          <w:p w14:paraId="5B737A8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352" w:type="dxa"/>
            <w:tcBorders>
              <w:top w:val="nil"/>
              <w:left w:val="nil"/>
              <w:bottom w:val="single" w:sz="4" w:space="0" w:color="auto"/>
              <w:right w:val="nil"/>
            </w:tcBorders>
            <w:shd w:val="clear" w:color="FFFFFF" w:fill="FFFFFF"/>
            <w:vAlign w:val="bottom"/>
          </w:tcPr>
          <w:p w14:paraId="782FD3B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352" w:type="dxa"/>
            <w:tcBorders>
              <w:top w:val="nil"/>
              <w:left w:val="nil"/>
              <w:bottom w:val="single" w:sz="4" w:space="0" w:color="auto"/>
              <w:right w:val="nil"/>
            </w:tcBorders>
            <w:shd w:val="clear" w:color="FFFFFF" w:fill="FFFFFF"/>
            <w:vAlign w:val="bottom"/>
          </w:tcPr>
          <w:p w14:paraId="5DDA3BC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r>
      <w:tr w:rsidR="005C6008" w:rsidRPr="00E10730" w14:paraId="0B52ADEF" w14:textId="77777777">
        <w:trPr>
          <w:trHeight w:val="250"/>
        </w:trPr>
        <w:tc>
          <w:tcPr>
            <w:tcW w:w="3677" w:type="dxa"/>
            <w:tcBorders>
              <w:top w:val="nil"/>
              <w:left w:val="nil"/>
              <w:bottom w:val="nil"/>
              <w:right w:val="nil"/>
            </w:tcBorders>
            <w:shd w:val="clear" w:color="FFFFFF" w:fill="FFFFFF"/>
            <w:vAlign w:val="bottom"/>
          </w:tcPr>
          <w:p w14:paraId="16543F8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Carrying amount 1 July 2025</w:t>
            </w:r>
          </w:p>
        </w:tc>
        <w:tc>
          <w:tcPr>
            <w:tcW w:w="1354" w:type="dxa"/>
            <w:tcBorders>
              <w:top w:val="nil"/>
              <w:left w:val="nil"/>
              <w:bottom w:val="nil"/>
              <w:right w:val="nil"/>
            </w:tcBorders>
            <w:shd w:val="clear" w:color="FFFFFF" w:fill="FFFFFF"/>
            <w:vAlign w:val="bottom"/>
          </w:tcPr>
          <w:p w14:paraId="3915C64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2,073,388</w:t>
            </w:r>
          </w:p>
        </w:tc>
        <w:tc>
          <w:tcPr>
            <w:tcW w:w="1352" w:type="dxa"/>
            <w:tcBorders>
              <w:top w:val="nil"/>
              <w:left w:val="nil"/>
              <w:bottom w:val="nil"/>
              <w:right w:val="nil"/>
            </w:tcBorders>
            <w:shd w:val="clear" w:color="FFFFFF" w:fill="FFFFFF"/>
            <w:vAlign w:val="bottom"/>
          </w:tcPr>
          <w:p w14:paraId="1364806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7,184</w:t>
            </w:r>
          </w:p>
        </w:tc>
        <w:tc>
          <w:tcPr>
            <w:tcW w:w="1352" w:type="dxa"/>
            <w:tcBorders>
              <w:top w:val="nil"/>
              <w:left w:val="nil"/>
              <w:bottom w:val="nil"/>
              <w:right w:val="nil"/>
            </w:tcBorders>
            <w:shd w:val="clear" w:color="FFFFFF" w:fill="FFFFFF"/>
            <w:vAlign w:val="bottom"/>
          </w:tcPr>
          <w:p w14:paraId="119E33B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6,295</w:t>
            </w:r>
          </w:p>
        </w:tc>
        <w:tc>
          <w:tcPr>
            <w:tcW w:w="1352" w:type="dxa"/>
            <w:tcBorders>
              <w:top w:val="nil"/>
              <w:left w:val="nil"/>
              <w:bottom w:val="nil"/>
              <w:right w:val="nil"/>
            </w:tcBorders>
            <w:shd w:val="clear" w:color="FFFFFF" w:fill="FFFFFF"/>
            <w:vAlign w:val="bottom"/>
          </w:tcPr>
          <w:p w14:paraId="7D323CC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2,086,867</w:t>
            </w:r>
          </w:p>
        </w:tc>
      </w:tr>
      <w:tr w:rsidR="005C6008" w:rsidRPr="00E10730" w14:paraId="46BF9573" w14:textId="77777777">
        <w:trPr>
          <w:trHeight w:val="250"/>
        </w:trPr>
        <w:tc>
          <w:tcPr>
            <w:tcW w:w="3677" w:type="dxa"/>
            <w:tcBorders>
              <w:top w:val="nil"/>
              <w:left w:val="nil"/>
              <w:bottom w:val="nil"/>
              <w:right w:val="nil"/>
            </w:tcBorders>
            <w:shd w:val="clear" w:color="FFFFFF" w:fill="FFFFFF"/>
            <w:vAlign w:val="bottom"/>
          </w:tcPr>
          <w:p w14:paraId="7DE7653D"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Additional provisions made</w:t>
            </w:r>
          </w:p>
        </w:tc>
        <w:tc>
          <w:tcPr>
            <w:tcW w:w="1354" w:type="dxa"/>
            <w:tcBorders>
              <w:top w:val="nil"/>
              <w:left w:val="nil"/>
              <w:bottom w:val="nil"/>
              <w:right w:val="nil"/>
            </w:tcBorders>
            <w:shd w:val="clear" w:color="FFFFFF" w:fill="FFFFFF"/>
            <w:vAlign w:val="bottom"/>
          </w:tcPr>
          <w:p w14:paraId="3123D6F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3,192,132</w:t>
            </w:r>
          </w:p>
        </w:tc>
        <w:tc>
          <w:tcPr>
            <w:tcW w:w="1352" w:type="dxa"/>
            <w:tcBorders>
              <w:top w:val="nil"/>
              <w:left w:val="nil"/>
              <w:bottom w:val="nil"/>
              <w:right w:val="nil"/>
            </w:tcBorders>
            <w:shd w:val="clear" w:color="FFFFFF" w:fill="FFFFFF"/>
            <w:vAlign w:val="bottom"/>
          </w:tcPr>
          <w:p w14:paraId="46F97FB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 </w:t>
            </w:r>
          </w:p>
        </w:tc>
        <w:tc>
          <w:tcPr>
            <w:tcW w:w="1352" w:type="dxa"/>
            <w:tcBorders>
              <w:top w:val="nil"/>
              <w:left w:val="nil"/>
              <w:bottom w:val="nil"/>
              <w:right w:val="nil"/>
            </w:tcBorders>
            <w:shd w:val="clear" w:color="FFFFFF" w:fill="FFFFFF"/>
            <w:vAlign w:val="bottom"/>
          </w:tcPr>
          <w:p w14:paraId="6CA66B9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91</w:t>
            </w:r>
          </w:p>
        </w:tc>
        <w:tc>
          <w:tcPr>
            <w:tcW w:w="1352" w:type="dxa"/>
            <w:tcBorders>
              <w:top w:val="nil"/>
              <w:left w:val="nil"/>
              <w:bottom w:val="nil"/>
              <w:right w:val="nil"/>
            </w:tcBorders>
            <w:shd w:val="clear" w:color="FFFFFF" w:fill="FFFFFF"/>
            <w:vAlign w:val="bottom"/>
          </w:tcPr>
          <w:p w14:paraId="477AA2A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3,192,223</w:t>
            </w:r>
          </w:p>
        </w:tc>
      </w:tr>
      <w:tr w:rsidR="005C6008" w:rsidRPr="00E10730" w14:paraId="64602243" w14:textId="77777777">
        <w:trPr>
          <w:trHeight w:val="250"/>
        </w:trPr>
        <w:tc>
          <w:tcPr>
            <w:tcW w:w="3677" w:type="dxa"/>
            <w:tcBorders>
              <w:top w:val="nil"/>
              <w:left w:val="nil"/>
              <w:bottom w:val="nil"/>
              <w:right w:val="nil"/>
            </w:tcBorders>
            <w:shd w:val="clear" w:color="FFFFFF" w:fill="FFFFFF"/>
            <w:vAlign w:val="bottom"/>
          </w:tcPr>
          <w:p w14:paraId="3ED52502"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Amounts reversed</w:t>
            </w:r>
          </w:p>
        </w:tc>
        <w:tc>
          <w:tcPr>
            <w:tcW w:w="1354" w:type="dxa"/>
            <w:tcBorders>
              <w:top w:val="nil"/>
              <w:left w:val="nil"/>
              <w:bottom w:val="nil"/>
              <w:right w:val="nil"/>
            </w:tcBorders>
            <w:shd w:val="clear" w:color="FFFFFF" w:fill="FFFFFF"/>
            <w:vAlign w:val="bottom"/>
          </w:tcPr>
          <w:p w14:paraId="11F99B7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(263,207)</w:t>
            </w:r>
          </w:p>
        </w:tc>
        <w:tc>
          <w:tcPr>
            <w:tcW w:w="1352" w:type="dxa"/>
            <w:tcBorders>
              <w:top w:val="nil"/>
              <w:left w:val="nil"/>
              <w:bottom w:val="nil"/>
              <w:right w:val="nil"/>
            </w:tcBorders>
            <w:shd w:val="clear" w:color="FFFFFF" w:fill="FFFFFF"/>
            <w:vAlign w:val="bottom"/>
          </w:tcPr>
          <w:p w14:paraId="2FCDE0A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(618)</w:t>
            </w:r>
          </w:p>
        </w:tc>
        <w:tc>
          <w:tcPr>
            <w:tcW w:w="1352" w:type="dxa"/>
            <w:tcBorders>
              <w:top w:val="nil"/>
              <w:left w:val="nil"/>
              <w:bottom w:val="nil"/>
              <w:right w:val="nil"/>
            </w:tcBorders>
            <w:shd w:val="clear" w:color="FFFFFF" w:fill="FFFFFF"/>
            <w:vAlign w:val="bottom"/>
          </w:tcPr>
          <w:p w14:paraId="082F1D0A"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(883)</w:t>
            </w:r>
          </w:p>
        </w:tc>
        <w:tc>
          <w:tcPr>
            <w:tcW w:w="1352" w:type="dxa"/>
            <w:tcBorders>
              <w:top w:val="nil"/>
              <w:left w:val="nil"/>
              <w:bottom w:val="nil"/>
              <w:right w:val="nil"/>
            </w:tcBorders>
            <w:shd w:val="clear" w:color="FFFFFF" w:fill="FFFFFF"/>
            <w:vAlign w:val="bottom"/>
          </w:tcPr>
          <w:p w14:paraId="1279C3F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(264,708)</w:t>
            </w:r>
          </w:p>
        </w:tc>
      </w:tr>
      <w:tr w:rsidR="005C6008" w:rsidRPr="00E10730" w14:paraId="45D9A4ED" w14:textId="77777777">
        <w:trPr>
          <w:trHeight w:val="250"/>
        </w:trPr>
        <w:tc>
          <w:tcPr>
            <w:tcW w:w="3677" w:type="dxa"/>
            <w:tcBorders>
              <w:top w:val="nil"/>
              <w:left w:val="nil"/>
              <w:bottom w:val="nil"/>
              <w:right w:val="nil"/>
            </w:tcBorders>
            <w:shd w:val="clear" w:color="FFFFFF" w:fill="FFFFFF"/>
            <w:vAlign w:val="bottom"/>
          </w:tcPr>
          <w:p w14:paraId="570F5960"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Amounts used</w:t>
            </w:r>
          </w:p>
        </w:tc>
        <w:tc>
          <w:tcPr>
            <w:tcW w:w="1354" w:type="dxa"/>
            <w:tcBorders>
              <w:top w:val="nil"/>
              <w:left w:val="nil"/>
              <w:bottom w:val="nil"/>
              <w:right w:val="nil"/>
            </w:tcBorders>
            <w:shd w:val="clear" w:color="FFFFFF" w:fill="FFFFFF"/>
            <w:vAlign w:val="bottom"/>
          </w:tcPr>
          <w:p w14:paraId="02E4AD7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(2,877,151)</w:t>
            </w:r>
          </w:p>
        </w:tc>
        <w:tc>
          <w:tcPr>
            <w:tcW w:w="1352" w:type="dxa"/>
            <w:tcBorders>
              <w:top w:val="nil"/>
              <w:left w:val="nil"/>
              <w:bottom w:val="nil"/>
              <w:right w:val="nil"/>
            </w:tcBorders>
            <w:shd w:val="clear" w:color="FFFFFF" w:fill="FFFFFF"/>
            <w:vAlign w:val="bottom"/>
          </w:tcPr>
          <w:p w14:paraId="19DE7B4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352" w:type="dxa"/>
            <w:tcBorders>
              <w:top w:val="nil"/>
              <w:left w:val="nil"/>
              <w:bottom w:val="nil"/>
              <w:right w:val="nil"/>
            </w:tcBorders>
            <w:shd w:val="clear" w:color="FFFFFF" w:fill="FFFFFF"/>
            <w:vAlign w:val="bottom"/>
          </w:tcPr>
          <w:p w14:paraId="072D1C1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(4,661)</w:t>
            </w:r>
          </w:p>
        </w:tc>
        <w:tc>
          <w:tcPr>
            <w:tcW w:w="1352" w:type="dxa"/>
            <w:tcBorders>
              <w:top w:val="nil"/>
              <w:left w:val="nil"/>
              <w:bottom w:val="nil"/>
              <w:right w:val="nil"/>
            </w:tcBorders>
            <w:shd w:val="clear" w:color="FFFFFF" w:fill="FFFFFF"/>
            <w:vAlign w:val="bottom"/>
          </w:tcPr>
          <w:p w14:paraId="689C0E3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(2,881,812)</w:t>
            </w:r>
          </w:p>
        </w:tc>
      </w:tr>
      <w:tr w:rsidR="005C6008" w:rsidRPr="00E10730" w14:paraId="045EC7A4" w14:textId="77777777">
        <w:trPr>
          <w:trHeight w:val="270"/>
        </w:trPr>
        <w:tc>
          <w:tcPr>
            <w:tcW w:w="3677" w:type="dxa"/>
            <w:tcBorders>
              <w:top w:val="nil"/>
              <w:left w:val="nil"/>
              <w:bottom w:val="nil"/>
              <w:right w:val="nil"/>
            </w:tcBorders>
            <w:shd w:val="clear" w:color="FFFFFF" w:fill="FFFFFF"/>
          </w:tcPr>
          <w:p w14:paraId="4998EF3D"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Unwinding of discount or change in discount rate</w:t>
            </w:r>
          </w:p>
        </w:tc>
        <w:tc>
          <w:tcPr>
            <w:tcW w:w="1354" w:type="dxa"/>
            <w:tcBorders>
              <w:top w:val="nil"/>
              <w:left w:val="nil"/>
              <w:bottom w:val="nil"/>
              <w:right w:val="nil"/>
            </w:tcBorders>
            <w:shd w:val="clear" w:color="FFFFFF" w:fill="FFFFFF"/>
          </w:tcPr>
          <w:p w14:paraId="0B1EDA8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352" w:type="dxa"/>
            <w:tcBorders>
              <w:top w:val="nil"/>
              <w:left w:val="nil"/>
              <w:bottom w:val="nil"/>
              <w:right w:val="nil"/>
            </w:tcBorders>
            <w:shd w:val="clear" w:color="FFFFFF" w:fill="FFFFFF"/>
          </w:tcPr>
          <w:p w14:paraId="39B1CE4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566</w:t>
            </w:r>
          </w:p>
        </w:tc>
        <w:tc>
          <w:tcPr>
            <w:tcW w:w="1352" w:type="dxa"/>
            <w:tcBorders>
              <w:top w:val="nil"/>
              <w:left w:val="nil"/>
              <w:bottom w:val="nil"/>
              <w:right w:val="nil"/>
            </w:tcBorders>
            <w:shd w:val="clear" w:color="FFFFFF" w:fill="FFFFFF"/>
          </w:tcPr>
          <w:p w14:paraId="75422DF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352" w:type="dxa"/>
            <w:tcBorders>
              <w:top w:val="nil"/>
              <w:left w:val="nil"/>
              <w:bottom w:val="nil"/>
              <w:right w:val="nil"/>
            </w:tcBorders>
            <w:shd w:val="clear" w:color="FFFFFF" w:fill="FFFFFF"/>
          </w:tcPr>
          <w:p w14:paraId="06EB1A5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566</w:t>
            </w:r>
          </w:p>
        </w:tc>
      </w:tr>
      <w:tr w:rsidR="005C6008" w:rsidRPr="00E10730" w14:paraId="3237EBC6" w14:textId="77777777">
        <w:trPr>
          <w:trHeight w:val="250"/>
        </w:trPr>
        <w:tc>
          <w:tcPr>
            <w:tcW w:w="3677" w:type="dxa"/>
            <w:tcBorders>
              <w:top w:val="single" w:sz="4" w:space="0" w:color="auto"/>
              <w:left w:val="nil"/>
              <w:bottom w:val="single" w:sz="4" w:space="0" w:color="auto"/>
              <w:right w:val="nil"/>
            </w:tcBorders>
            <w:shd w:val="clear" w:color="FFFFFF" w:fill="FFFFFF"/>
            <w:vAlign w:val="bottom"/>
          </w:tcPr>
          <w:p w14:paraId="431D82FE"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Closing balance 30 June 2026</w:t>
            </w:r>
          </w:p>
        </w:tc>
        <w:tc>
          <w:tcPr>
            <w:tcW w:w="1354" w:type="dxa"/>
            <w:tcBorders>
              <w:top w:val="single" w:sz="4" w:space="0" w:color="auto"/>
              <w:left w:val="nil"/>
              <w:bottom w:val="single" w:sz="4" w:space="0" w:color="auto"/>
              <w:right w:val="nil"/>
            </w:tcBorders>
            <w:shd w:val="clear" w:color="FFFFFF" w:fill="FFFFFF"/>
            <w:vAlign w:val="bottom"/>
          </w:tcPr>
          <w:p w14:paraId="5E372EC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2,125,162</w:t>
            </w:r>
          </w:p>
        </w:tc>
        <w:tc>
          <w:tcPr>
            <w:tcW w:w="1352" w:type="dxa"/>
            <w:tcBorders>
              <w:top w:val="single" w:sz="4" w:space="0" w:color="auto"/>
              <w:left w:val="nil"/>
              <w:bottom w:val="single" w:sz="4" w:space="0" w:color="auto"/>
              <w:right w:val="nil"/>
            </w:tcBorders>
            <w:shd w:val="clear" w:color="FFFFFF" w:fill="FFFFFF"/>
            <w:vAlign w:val="bottom"/>
          </w:tcPr>
          <w:p w14:paraId="06096BD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7,132</w:t>
            </w:r>
          </w:p>
        </w:tc>
        <w:tc>
          <w:tcPr>
            <w:tcW w:w="1352" w:type="dxa"/>
            <w:tcBorders>
              <w:top w:val="single" w:sz="4" w:space="0" w:color="auto"/>
              <w:left w:val="nil"/>
              <w:bottom w:val="single" w:sz="4" w:space="0" w:color="auto"/>
              <w:right w:val="nil"/>
            </w:tcBorders>
            <w:shd w:val="clear" w:color="FFFFFF" w:fill="FFFFFF"/>
            <w:vAlign w:val="bottom"/>
          </w:tcPr>
          <w:p w14:paraId="327B0D1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842</w:t>
            </w:r>
          </w:p>
        </w:tc>
        <w:tc>
          <w:tcPr>
            <w:tcW w:w="1352" w:type="dxa"/>
            <w:tcBorders>
              <w:top w:val="single" w:sz="4" w:space="0" w:color="auto"/>
              <w:left w:val="nil"/>
              <w:bottom w:val="single" w:sz="4" w:space="0" w:color="auto"/>
              <w:right w:val="nil"/>
            </w:tcBorders>
            <w:shd w:val="clear" w:color="FFFFFF" w:fill="FFFFFF"/>
            <w:vAlign w:val="bottom"/>
          </w:tcPr>
          <w:p w14:paraId="35B314F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2,133,136</w:t>
            </w:r>
          </w:p>
        </w:tc>
      </w:tr>
    </w:tbl>
    <w:p w14:paraId="265CCC92" w14:textId="77777777" w:rsidR="005C6008" w:rsidRPr="00E10730" w:rsidRDefault="005C6008" w:rsidP="00115FA3">
      <w:pPr>
        <w:autoSpaceDE w:val="0"/>
        <w:autoSpaceDN w:val="0"/>
        <w:adjustRightInd w:val="0"/>
        <w:spacing w:before="240" w:after="0" w:line="240" w:lineRule="auto"/>
        <w:rPr>
          <w:rFonts w:eastAsia="Calibri" w:cs="Arial"/>
          <w:sz w:val="18"/>
          <w:szCs w:val="18"/>
        </w:rPr>
      </w:pPr>
      <w:r w:rsidRPr="00E10730">
        <w:rPr>
          <w:rFonts w:eastAsia="Calibri" w:cs="Arial"/>
          <w:sz w:val="18"/>
          <w:szCs w:val="18"/>
        </w:rPr>
        <w:t>The Agency makes a provision for the reasonable and necessary supports provided to participants during the period but not yet notified to the Agency. The provision represents the best estimate of the amount based on available evidence in relation to rates of expenditure by participants and is informed by actuarial analysis.</w:t>
      </w:r>
    </w:p>
    <w:p w14:paraId="5120B503" w14:textId="77777777" w:rsidR="005C6008" w:rsidRPr="00E10730" w:rsidRDefault="005C6008" w:rsidP="00115FA3">
      <w:pPr>
        <w:autoSpaceDE w:val="0"/>
        <w:autoSpaceDN w:val="0"/>
        <w:adjustRightInd w:val="0"/>
        <w:spacing w:before="240" w:after="0" w:line="240" w:lineRule="auto"/>
        <w:rPr>
          <w:rFonts w:eastAsia="Calibri" w:cs="Arial"/>
          <w:sz w:val="18"/>
          <w:szCs w:val="18"/>
        </w:rPr>
      </w:pPr>
      <w:r w:rsidRPr="00E10730">
        <w:rPr>
          <w:rFonts w:eastAsia="Calibri" w:cs="Arial"/>
          <w:sz w:val="18"/>
          <w:szCs w:val="18"/>
        </w:rPr>
        <w:t>No liability is recorded for any participant supports to be provided in future reporting periods as the relevant recognition criteria are not met.</w:t>
      </w:r>
    </w:p>
    <w:p w14:paraId="6ECD01DD" w14:textId="77777777" w:rsidR="005C6008" w:rsidRPr="00E10730" w:rsidRDefault="005C6008" w:rsidP="00115FA3">
      <w:pPr>
        <w:autoSpaceDE w:val="0"/>
        <w:autoSpaceDN w:val="0"/>
        <w:adjustRightInd w:val="0"/>
        <w:spacing w:before="240" w:after="0" w:line="240" w:lineRule="auto"/>
        <w:rPr>
          <w:rFonts w:eastAsia="Calibri" w:cs="Arial"/>
          <w:sz w:val="18"/>
          <w:szCs w:val="18"/>
        </w:rPr>
      </w:pPr>
      <w:r w:rsidRPr="00E10730">
        <w:rPr>
          <w:rFonts w:eastAsia="Calibri" w:cs="Arial"/>
          <w:sz w:val="18"/>
          <w:szCs w:val="18"/>
        </w:rPr>
        <w:t>The Agency has 23 (2025: 24) agreements for the leasing of premises, which have provisions requiring the entity to restore the premises to their original condition at the conclusion of the lease. The Agency has made a provision to reflect the present value of this obligation.</w:t>
      </w:r>
    </w:p>
    <w:p w14:paraId="49CD69F4" w14:textId="2F247A3A" w:rsidR="005C6008" w:rsidRPr="00E10730" w:rsidRDefault="005C6008" w:rsidP="00115FA3">
      <w:pPr>
        <w:autoSpaceDE w:val="0"/>
        <w:autoSpaceDN w:val="0"/>
        <w:adjustRightInd w:val="0"/>
        <w:spacing w:before="240" w:after="0" w:line="240" w:lineRule="auto"/>
        <w:rPr>
          <w:rFonts w:eastAsia="Calibri" w:cs="Arial"/>
          <w:sz w:val="18"/>
          <w:szCs w:val="18"/>
        </w:rPr>
      </w:pPr>
      <w:r w:rsidRPr="00E10730">
        <w:rPr>
          <w:rFonts w:eastAsia="Calibri" w:cs="Arial"/>
          <w:sz w:val="18"/>
          <w:szCs w:val="18"/>
        </w:rPr>
        <w:t>In 2024</w:t>
      </w:r>
      <w:r w:rsidR="001513F8" w:rsidRPr="00E10730">
        <w:rPr>
          <w:rFonts w:eastAsia="Calibri" w:cs="Arial"/>
          <w:sz w:val="18"/>
          <w:szCs w:val="18"/>
        </w:rPr>
        <w:t>–</w:t>
      </w:r>
      <w:r w:rsidRPr="00E10730">
        <w:rPr>
          <w:rFonts w:eastAsia="Calibri" w:cs="Arial"/>
          <w:sz w:val="18"/>
          <w:szCs w:val="18"/>
        </w:rPr>
        <w:t xml:space="preserve">25, the Agency reviewed the circumstances in which debts were historically raised against support claims from some participants and providers. The Agency identified that some historical participant and provider debts required further assessment and a provision for the estimated financial impact of these assessments has been reported. The financial impact is based on the results of actuarial analysis to date and is split between providers ($0.82m (2025: $6.3m) and participants ($0.02m (2025: nil)). </w:t>
      </w:r>
    </w:p>
    <w:p w14:paraId="68669A6B" w14:textId="77777777" w:rsidR="005C6008" w:rsidRPr="00E10730" w:rsidRDefault="005C6008" w:rsidP="00115FA3">
      <w:pPr>
        <w:pBdr>
          <w:top w:val="single" w:sz="4" w:space="1" w:color="800080"/>
          <w:left w:val="single" w:sz="4" w:space="0" w:color="800080"/>
          <w:bottom w:val="single" w:sz="4" w:space="1" w:color="800080"/>
          <w:right w:val="single" w:sz="4" w:space="0" w:color="800080"/>
        </w:pBdr>
        <w:autoSpaceDE w:val="0"/>
        <w:autoSpaceDN w:val="0"/>
        <w:adjustRightInd w:val="0"/>
        <w:spacing w:line="240" w:lineRule="auto"/>
        <w:rPr>
          <w:rFonts w:eastAsia="Calibri" w:cs="Arial"/>
          <w:b/>
          <w:bCs/>
          <w:sz w:val="18"/>
          <w:szCs w:val="18"/>
        </w:rPr>
        <w:sectPr w:rsidR="005C6008" w:rsidRPr="00E10730" w:rsidSect="00EB1047">
          <w:pgSz w:w="11906" w:h="16838" w:code="9"/>
          <w:pgMar w:top="1247" w:right="1701" w:bottom="1247" w:left="1134" w:header="720" w:footer="567" w:gutter="0"/>
          <w:cols w:space="720"/>
          <w:noEndnote/>
          <w:docGrid w:linePitch="326"/>
        </w:sectPr>
      </w:pPr>
    </w:p>
    <w:p w14:paraId="433EE079"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National Disability Insurance Agency</w:t>
      </w:r>
    </w:p>
    <w:p w14:paraId="5E36677C"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682CDE9B" w14:textId="77777777" w:rsidR="005C6008" w:rsidRPr="00E10730" w:rsidRDefault="005C6008" w:rsidP="00115FA3">
      <w:pPr>
        <w:pBdr>
          <w:top w:val="single" w:sz="4" w:space="1" w:color="auto"/>
        </w:pBdr>
        <w:autoSpaceDE w:val="0"/>
        <w:autoSpaceDN w:val="0"/>
        <w:adjustRightInd w:val="0"/>
        <w:spacing w:after="0" w:line="240" w:lineRule="auto"/>
        <w:rPr>
          <w:rFonts w:eastAsia="Calibri" w:cs="Arial"/>
          <w:sz w:val="18"/>
          <w:szCs w:val="18"/>
        </w:rPr>
      </w:pPr>
    </w:p>
    <w:tbl>
      <w:tblPr>
        <w:tblStyle w:val="TableGrid1"/>
        <w:tblW w:w="0" w:type="auto"/>
        <w:tblInd w:w="-113" w:type="dxa"/>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ook w:val="04A0" w:firstRow="1" w:lastRow="0" w:firstColumn="1" w:lastColumn="0" w:noHBand="0" w:noVBand="1"/>
      </w:tblPr>
      <w:tblGrid>
        <w:gridCol w:w="9061"/>
      </w:tblGrid>
      <w:tr w:rsidR="005C6008" w:rsidRPr="00E10730" w14:paraId="3EE0EA3B" w14:textId="77777777" w:rsidTr="00E75003">
        <w:tc>
          <w:tcPr>
            <w:tcW w:w="9061" w:type="dxa"/>
          </w:tcPr>
          <w:p w14:paraId="1C64C2FE" w14:textId="77777777" w:rsidR="005C6008" w:rsidRPr="00E10730" w:rsidRDefault="005C6008" w:rsidP="00115FA3">
            <w:pPr>
              <w:tabs>
                <w:tab w:val="center" w:pos="4513"/>
                <w:tab w:val="right" w:pos="9026"/>
              </w:tabs>
              <w:autoSpaceDE w:val="0"/>
              <w:autoSpaceDN w:val="0"/>
              <w:adjustRightInd w:val="0"/>
              <w:spacing w:line="240" w:lineRule="auto"/>
              <w:rPr>
                <w:rFonts w:ascii="Arial" w:hAnsi="Arial"/>
                <w:b/>
                <w:bCs/>
                <w:sz w:val="18"/>
                <w:szCs w:val="18"/>
              </w:rPr>
            </w:pPr>
            <w:r w:rsidRPr="00E10730">
              <w:rPr>
                <w:rFonts w:ascii="Arial" w:hAnsi="Arial"/>
                <w:b/>
                <w:bCs/>
                <w:sz w:val="18"/>
                <w:szCs w:val="18"/>
              </w:rPr>
              <w:t>Key judgements and estimates</w:t>
            </w:r>
          </w:p>
          <w:p w14:paraId="60994637" w14:textId="77777777" w:rsidR="005C6008" w:rsidRPr="00E10730" w:rsidRDefault="005C6008" w:rsidP="000D22A1">
            <w:pPr>
              <w:tabs>
                <w:tab w:val="center" w:pos="4513"/>
                <w:tab w:val="right" w:pos="9026"/>
              </w:tabs>
              <w:autoSpaceDE w:val="0"/>
              <w:autoSpaceDN w:val="0"/>
              <w:adjustRightInd w:val="0"/>
              <w:spacing w:after="120" w:line="240" w:lineRule="auto"/>
              <w:rPr>
                <w:rFonts w:ascii="Arial" w:hAnsi="Arial"/>
                <w:sz w:val="18"/>
                <w:szCs w:val="18"/>
              </w:rPr>
            </w:pPr>
            <w:r w:rsidRPr="00E10730">
              <w:rPr>
                <w:rFonts w:ascii="Arial" w:hAnsi="Arial"/>
                <w:sz w:val="18"/>
                <w:szCs w:val="18"/>
              </w:rPr>
              <w:t>The Agency recognises a liability for the costs of reasonable and necessary supports at the time that services are provided to participants in the Scheme. Due to the payment and claiming process the Agency may not be aware of all services rendered at the time of closing the financial statements. The Agency makes an estimate of the outstanding liability by reviewing historical payments experience.</w:t>
            </w:r>
          </w:p>
          <w:p w14:paraId="732791CE" w14:textId="77777777" w:rsidR="005C6008" w:rsidRPr="00E10730" w:rsidRDefault="005C6008" w:rsidP="000D22A1">
            <w:pPr>
              <w:tabs>
                <w:tab w:val="center" w:pos="4513"/>
                <w:tab w:val="right" w:pos="9026"/>
              </w:tabs>
              <w:autoSpaceDE w:val="0"/>
              <w:autoSpaceDN w:val="0"/>
              <w:adjustRightInd w:val="0"/>
              <w:spacing w:after="120" w:line="240" w:lineRule="auto"/>
              <w:rPr>
                <w:rFonts w:ascii="Arial" w:hAnsi="Arial"/>
                <w:sz w:val="18"/>
                <w:szCs w:val="18"/>
              </w:rPr>
            </w:pPr>
            <w:r w:rsidRPr="00E10730">
              <w:rPr>
                <w:rFonts w:ascii="Arial" w:hAnsi="Arial"/>
                <w:sz w:val="18"/>
                <w:szCs w:val="18"/>
              </w:rPr>
              <w:t>One of the outputs from the valuation process is the resulting expected ultimate utilisation rates by support year, where the projected ultimate payments are compared to the aggregated Committed Supports contained within participant’s plans in the relevant period. At 30 June 2026, the utilisation rates shown have been calculated using Committed Supports that allow for projected development, which means that they consider the retrospective changes that occur due to plan shortening and other adjustments such as plan indexation. The allowance of future development in the Committed Supports used to estimate the utilisation rates provides a better indication of where the utilisation rates will ultimately land.</w:t>
            </w:r>
          </w:p>
          <w:p w14:paraId="50118645" w14:textId="77777777" w:rsidR="005C6008" w:rsidRPr="00E10730" w:rsidRDefault="005C6008" w:rsidP="000D22A1">
            <w:pPr>
              <w:tabs>
                <w:tab w:val="center" w:pos="4513"/>
                <w:tab w:val="right" w:pos="9026"/>
              </w:tabs>
              <w:autoSpaceDE w:val="0"/>
              <w:autoSpaceDN w:val="0"/>
              <w:adjustRightInd w:val="0"/>
              <w:spacing w:after="120" w:line="240" w:lineRule="auto"/>
              <w:rPr>
                <w:rFonts w:ascii="Arial" w:hAnsi="Arial"/>
                <w:sz w:val="18"/>
                <w:szCs w:val="18"/>
              </w:rPr>
            </w:pPr>
            <w:r w:rsidRPr="00E10730">
              <w:rPr>
                <w:rFonts w:ascii="Arial" w:hAnsi="Arial"/>
                <w:sz w:val="18"/>
                <w:szCs w:val="18"/>
              </w:rPr>
              <w:t>To aid comparability, the utilisation rates shown for 2025 have been re-stated to use Committed Supports that allow for projected development. As at 30 June 2026, the expected ultimate utilisation of Committed Supports by support year is as follows:</w:t>
            </w:r>
          </w:p>
          <w:p w14:paraId="4B58D76A" w14:textId="1999C653" w:rsidR="005C6008" w:rsidRPr="00E10730" w:rsidRDefault="005C6008" w:rsidP="004D4526">
            <w:pPr>
              <w:tabs>
                <w:tab w:val="center" w:pos="4513"/>
                <w:tab w:val="right" w:pos="9026"/>
              </w:tabs>
              <w:autoSpaceDE w:val="0"/>
              <w:autoSpaceDN w:val="0"/>
              <w:adjustRightInd w:val="0"/>
              <w:spacing w:line="240" w:lineRule="auto"/>
              <w:ind w:left="284"/>
              <w:rPr>
                <w:rFonts w:ascii="Arial" w:hAnsi="Arial"/>
                <w:sz w:val="18"/>
                <w:szCs w:val="18"/>
              </w:rPr>
            </w:pPr>
            <w:r w:rsidRPr="00E10730">
              <w:rPr>
                <w:rFonts w:ascii="Arial" w:hAnsi="Arial"/>
                <w:sz w:val="18"/>
                <w:szCs w:val="18"/>
              </w:rPr>
              <w:t>2013</w:t>
            </w:r>
            <w:r w:rsidR="001513F8" w:rsidRPr="00E10730">
              <w:rPr>
                <w:rFonts w:ascii="Arial" w:hAnsi="Arial"/>
                <w:sz w:val="18"/>
                <w:szCs w:val="18"/>
              </w:rPr>
              <w:t>–</w:t>
            </w:r>
            <w:r w:rsidRPr="00E10730">
              <w:rPr>
                <w:rFonts w:ascii="Arial" w:hAnsi="Arial"/>
                <w:sz w:val="18"/>
                <w:szCs w:val="18"/>
              </w:rPr>
              <w:t>14: 64.1% (2025: 64.1%)</w:t>
            </w:r>
          </w:p>
          <w:p w14:paraId="2A4CC8E3" w14:textId="08DEE51D" w:rsidR="005C6008" w:rsidRPr="00E10730" w:rsidRDefault="005C6008" w:rsidP="004D4526">
            <w:pPr>
              <w:tabs>
                <w:tab w:val="center" w:pos="4513"/>
                <w:tab w:val="right" w:pos="9026"/>
              </w:tabs>
              <w:autoSpaceDE w:val="0"/>
              <w:autoSpaceDN w:val="0"/>
              <w:adjustRightInd w:val="0"/>
              <w:spacing w:line="240" w:lineRule="auto"/>
              <w:ind w:left="284"/>
              <w:rPr>
                <w:rFonts w:ascii="Arial" w:hAnsi="Arial"/>
                <w:sz w:val="18"/>
                <w:szCs w:val="18"/>
              </w:rPr>
            </w:pPr>
            <w:r w:rsidRPr="00E10730">
              <w:rPr>
                <w:rFonts w:ascii="Arial" w:hAnsi="Arial"/>
                <w:sz w:val="18"/>
                <w:szCs w:val="18"/>
              </w:rPr>
              <w:t>2014</w:t>
            </w:r>
            <w:r w:rsidR="001513F8" w:rsidRPr="00E10730">
              <w:rPr>
                <w:rFonts w:ascii="Arial" w:hAnsi="Arial"/>
                <w:sz w:val="18"/>
                <w:szCs w:val="18"/>
              </w:rPr>
              <w:t>–</w:t>
            </w:r>
            <w:r w:rsidRPr="00E10730">
              <w:rPr>
                <w:rFonts w:ascii="Arial" w:hAnsi="Arial"/>
                <w:sz w:val="18"/>
                <w:szCs w:val="18"/>
              </w:rPr>
              <w:t>15: 74.6% (2025: 74.6%)</w:t>
            </w:r>
          </w:p>
          <w:p w14:paraId="5EC37BF6" w14:textId="58B1F26B" w:rsidR="005C6008" w:rsidRPr="00E10730" w:rsidRDefault="005C6008" w:rsidP="004D4526">
            <w:pPr>
              <w:tabs>
                <w:tab w:val="center" w:pos="4513"/>
                <w:tab w:val="right" w:pos="9026"/>
              </w:tabs>
              <w:autoSpaceDE w:val="0"/>
              <w:autoSpaceDN w:val="0"/>
              <w:adjustRightInd w:val="0"/>
              <w:spacing w:line="240" w:lineRule="auto"/>
              <w:ind w:left="284"/>
              <w:rPr>
                <w:rFonts w:ascii="Arial" w:hAnsi="Arial"/>
                <w:sz w:val="18"/>
                <w:szCs w:val="18"/>
              </w:rPr>
            </w:pPr>
            <w:r w:rsidRPr="00E10730">
              <w:rPr>
                <w:rFonts w:ascii="Arial" w:hAnsi="Arial"/>
                <w:sz w:val="18"/>
                <w:szCs w:val="18"/>
              </w:rPr>
              <w:t>2015</w:t>
            </w:r>
            <w:r w:rsidR="001513F8" w:rsidRPr="00E10730">
              <w:rPr>
                <w:rFonts w:ascii="Arial" w:hAnsi="Arial"/>
                <w:sz w:val="18"/>
                <w:szCs w:val="18"/>
              </w:rPr>
              <w:t>–</w:t>
            </w:r>
            <w:r w:rsidRPr="00E10730">
              <w:rPr>
                <w:rFonts w:ascii="Arial" w:hAnsi="Arial"/>
                <w:sz w:val="18"/>
                <w:szCs w:val="18"/>
              </w:rPr>
              <w:t>16: 74.7% (2025: 74.9%)</w:t>
            </w:r>
          </w:p>
          <w:p w14:paraId="0C7781DC" w14:textId="4EBE7D5C" w:rsidR="005C6008" w:rsidRPr="00E10730" w:rsidRDefault="005C6008" w:rsidP="004D4526">
            <w:pPr>
              <w:tabs>
                <w:tab w:val="center" w:pos="4513"/>
                <w:tab w:val="right" w:pos="9026"/>
              </w:tabs>
              <w:autoSpaceDE w:val="0"/>
              <w:autoSpaceDN w:val="0"/>
              <w:adjustRightInd w:val="0"/>
              <w:spacing w:line="240" w:lineRule="auto"/>
              <w:ind w:left="284"/>
              <w:rPr>
                <w:rFonts w:ascii="Arial" w:hAnsi="Arial"/>
                <w:sz w:val="18"/>
                <w:szCs w:val="18"/>
              </w:rPr>
            </w:pPr>
            <w:r w:rsidRPr="00E10730">
              <w:rPr>
                <w:rFonts w:ascii="Arial" w:hAnsi="Arial"/>
                <w:sz w:val="18"/>
                <w:szCs w:val="18"/>
              </w:rPr>
              <w:t>2016</w:t>
            </w:r>
            <w:r w:rsidR="001513F8" w:rsidRPr="00E10730">
              <w:rPr>
                <w:rFonts w:ascii="Arial" w:hAnsi="Arial"/>
                <w:sz w:val="18"/>
                <w:szCs w:val="18"/>
              </w:rPr>
              <w:t>–</w:t>
            </w:r>
            <w:r w:rsidRPr="00E10730">
              <w:rPr>
                <w:rFonts w:ascii="Arial" w:hAnsi="Arial"/>
                <w:sz w:val="18"/>
                <w:szCs w:val="18"/>
              </w:rPr>
              <w:t>17: 67.4% (2025: 67.4%)</w:t>
            </w:r>
          </w:p>
          <w:p w14:paraId="5FBD8134" w14:textId="20733C27" w:rsidR="005C6008" w:rsidRPr="00E10730" w:rsidRDefault="005C6008" w:rsidP="004D4526">
            <w:pPr>
              <w:tabs>
                <w:tab w:val="center" w:pos="4513"/>
                <w:tab w:val="right" w:pos="9026"/>
              </w:tabs>
              <w:autoSpaceDE w:val="0"/>
              <w:autoSpaceDN w:val="0"/>
              <w:adjustRightInd w:val="0"/>
              <w:spacing w:line="240" w:lineRule="auto"/>
              <w:ind w:left="284"/>
              <w:rPr>
                <w:rFonts w:ascii="Arial" w:hAnsi="Arial"/>
                <w:sz w:val="18"/>
                <w:szCs w:val="18"/>
              </w:rPr>
            </w:pPr>
            <w:r w:rsidRPr="00E10730">
              <w:rPr>
                <w:rFonts w:ascii="Arial" w:hAnsi="Arial"/>
                <w:sz w:val="18"/>
                <w:szCs w:val="18"/>
              </w:rPr>
              <w:t>2017</w:t>
            </w:r>
            <w:r w:rsidR="001513F8" w:rsidRPr="00E10730">
              <w:rPr>
                <w:rFonts w:ascii="Arial" w:hAnsi="Arial"/>
                <w:sz w:val="18"/>
                <w:szCs w:val="18"/>
              </w:rPr>
              <w:t>–</w:t>
            </w:r>
            <w:r w:rsidRPr="00E10730">
              <w:rPr>
                <w:rFonts w:ascii="Arial" w:hAnsi="Arial"/>
                <w:sz w:val="18"/>
                <w:szCs w:val="18"/>
              </w:rPr>
              <w:t>18: 70.0% (2025: 70.0%)</w:t>
            </w:r>
          </w:p>
          <w:p w14:paraId="04128F25" w14:textId="05C28A2A" w:rsidR="005C6008" w:rsidRPr="00E10730" w:rsidRDefault="005C6008" w:rsidP="004D4526">
            <w:pPr>
              <w:tabs>
                <w:tab w:val="center" w:pos="4513"/>
                <w:tab w:val="right" w:pos="9026"/>
              </w:tabs>
              <w:autoSpaceDE w:val="0"/>
              <w:autoSpaceDN w:val="0"/>
              <w:adjustRightInd w:val="0"/>
              <w:spacing w:line="240" w:lineRule="auto"/>
              <w:ind w:left="284"/>
              <w:rPr>
                <w:rFonts w:ascii="Arial" w:hAnsi="Arial"/>
                <w:sz w:val="18"/>
                <w:szCs w:val="18"/>
              </w:rPr>
            </w:pPr>
            <w:r w:rsidRPr="00E10730">
              <w:rPr>
                <w:rFonts w:ascii="Arial" w:hAnsi="Arial"/>
                <w:sz w:val="18"/>
                <w:szCs w:val="18"/>
              </w:rPr>
              <w:t>2018</w:t>
            </w:r>
            <w:r w:rsidR="001513F8" w:rsidRPr="00E10730">
              <w:rPr>
                <w:rFonts w:ascii="Arial" w:hAnsi="Arial"/>
                <w:sz w:val="18"/>
                <w:szCs w:val="18"/>
              </w:rPr>
              <w:t>–</w:t>
            </w:r>
            <w:r w:rsidRPr="00E10730">
              <w:rPr>
                <w:rFonts w:ascii="Arial" w:hAnsi="Arial"/>
                <w:sz w:val="18"/>
                <w:szCs w:val="18"/>
              </w:rPr>
              <w:t>19: 71.2% (2025: 71.2%)</w:t>
            </w:r>
          </w:p>
          <w:p w14:paraId="570A3D74" w14:textId="6074862C" w:rsidR="005C6008" w:rsidRPr="00E10730" w:rsidRDefault="005C6008" w:rsidP="004D4526">
            <w:pPr>
              <w:tabs>
                <w:tab w:val="center" w:pos="4513"/>
                <w:tab w:val="right" w:pos="9026"/>
              </w:tabs>
              <w:autoSpaceDE w:val="0"/>
              <w:autoSpaceDN w:val="0"/>
              <w:adjustRightInd w:val="0"/>
              <w:spacing w:line="240" w:lineRule="auto"/>
              <w:ind w:left="284"/>
              <w:rPr>
                <w:rFonts w:ascii="Arial" w:hAnsi="Arial"/>
                <w:sz w:val="18"/>
                <w:szCs w:val="18"/>
              </w:rPr>
            </w:pPr>
            <w:r w:rsidRPr="00E10730">
              <w:rPr>
                <w:rFonts w:ascii="Arial" w:hAnsi="Arial"/>
                <w:sz w:val="18"/>
                <w:szCs w:val="18"/>
              </w:rPr>
              <w:t>2019</w:t>
            </w:r>
            <w:r w:rsidR="001513F8" w:rsidRPr="00E10730">
              <w:rPr>
                <w:rFonts w:ascii="Arial" w:hAnsi="Arial"/>
                <w:sz w:val="18"/>
                <w:szCs w:val="18"/>
              </w:rPr>
              <w:t>–</w:t>
            </w:r>
            <w:r w:rsidRPr="00E10730">
              <w:rPr>
                <w:rFonts w:ascii="Arial" w:hAnsi="Arial"/>
                <w:sz w:val="18"/>
                <w:szCs w:val="18"/>
              </w:rPr>
              <w:t>20: 71.0% (2025: 71.0%)</w:t>
            </w:r>
          </w:p>
          <w:p w14:paraId="3EE48221" w14:textId="11B56496" w:rsidR="005C6008" w:rsidRPr="00E10730" w:rsidRDefault="005C6008" w:rsidP="004D4526">
            <w:pPr>
              <w:tabs>
                <w:tab w:val="center" w:pos="4513"/>
                <w:tab w:val="right" w:pos="9026"/>
              </w:tabs>
              <w:autoSpaceDE w:val="0"/>
              <w:autoSpaceDN w:val="0"/>
              <w:adjustRightInd w:val="0"/>
              <w:spacing w:line="240" w:lineRule="auto"/>
              <w:ind w:left="284"/>
              <w:rPr>
                <w:rFonts w:ascii="Arial" w:hAnsi="Arial"/>
                <w:sz w:val="18"/>
                <w:szCs w:val="18"/>
              </w:rPr>
            </w:pPr>
            <w:r w:rsidRPr="00E10730">
              <w:rPr>
                <w:rFonts w:ascii="Arial" w:hAnsi="Arial"/>
                <w:sz w:val="18"/>
                <w:szCs w:val="18"/>
              </w:rPr>
              <w:t>2020</w:t>
            </w:r>
            <w:r w:rsidR="001513F8" w:rsidRPr="00E10730">
              <w:rPr>
                <w:rFonts w:ascii="Arial" w:hAnsi="Arial"/>
                <w:sz w:val="18"/>
                <w:szCs w:val="18"/>
              </w:rPr>
              <w:t>–</w:t>
            </w:r>
            <w:r w:rsidRPr="00E10730">
              <w:rPr>
                <w:rFonts w:ascii="Arial" w:hAnsi="Arial"/>
                <w:sz w:val="18"/>
                <w:szCs w:val="18"/>
              </w:rPr>
              <w:t>21: 72.7% (2025: 72.7%)</w:t>
            </w:r>
          </w:p>
          <w:p w14:paraId="5F60F08C" w14:textId="1C6B69D7" w:rsidR="005C6008" w:rsidRPr="00E10730" w:rsidRDefault="005C6008" w:rsidP="004D4526">
            <w:pPr>
              <w:tabs>
                <w:tab w:val="center" w:pos="4513"/>
                <w:tab w:val="right" w:pos="9026"/>
              </w:tabs>
              <w:autoSpaceDE w:val="0"/>
              <w:autoSpaceDN w:val="0"/>
              <w:adjustRightInd w:val="0"/>
              <w:spacing w:line="240" w:lineRule="auto"/>
              <w:ind w:left="284"/>
              <w:rPr>
                <w:rFonts w:ascii="Arial" w:hAnsi="Arial"/>
                <w:sz w:val="18"/>
                <w:szCs w:val="18"/>
              </w:rPr>
            </w:pPr>
            <w:r w:rsidRPr="00E10730">
              <w:rPr>
                <w:rFonts w:ascii="Arial" w:hAnsi="Arial"/>
                <w:sz w:val="18"/>
                <w:szCs w:val="18"/>
              </w:rPr>
              <w:t>2021</w:t>
            </w:r>
            <w:r w:rsidR="001513F8" w:rsidRPr="00E10730">
              <w:rPr>
                <w:rFonts w:ascii="Arial" w:hAnsi="Arial"/>
                <w:sz w:val="18"/>
                <w:szCs w:val="18"/>
              </w:rPr>
              <w:t>–</w:t>
            </w:r>
            <w:r w:rsidRPr="00E10730">
              <w:rPr>
                <w:rFonts w:ascii="Arial" w:hAnsi="Arial"/>
                <w:sz w:val="18"/>
                <w:szCs w:val="18"/>
              </w:rPr>
              <w:t>22: 75.1% (2025: 75.1%)</w:t>
            </w:r>
          </w:p>
          <w:p w14:paraId="24F90C6B" w14:textId="1A2DEA6C" w:rsidR="005C6008" w:rsidRPr="00E10730" w:rsidRDefault="005C6008" w:rsidP="004D4526">
            <w:pPr>
              <w:tabs>
                <w:tab w:val="center" w:pos="4513"/>
                <w:tab w:val="right" w:pos="9026"/>
              </w:tabs>
              <w:autoSpaceDE w:val="0"/>
              <w:autoSpaceDN w:val="0"/>
              <w:adjustRightInd w:val="0"/>
              <w:spacing w:line="240" w:lineRule="auto"/>
              <w:ind w:left="284"/>
              <w:rPr>
                <w:rFonts w:ascii="Arial" w:hAnsi="Arial"/>
                <w:sz w:val="18"/>
                <w:szCs w:val="18"/>
              </w:rPr>
            </w:pPr>
            <w:r w:rsidRPr="00E10730">
              <w:rPr>
                <w:rFonts w:ascii="Arial" w:hAnsi="Arial"/>
                <w:sz w:val="18"/>
                <w:szCs w:val="18"/>
              </w:rPr>
              <w:t>2022</w:t>
            </w:r>
            <w:r w:rsidR="001513F8" w:rsidRPr="00E10730">
              <w:rPr>
                <w:rFonts w:ascii="Arial" w:hAnsi="Arial"/>
                <w:sz w:val="18"/>
                <w:szCs w:val="18"/>
              </w:rPr>
              <w:t>–</w:t>
            </w:r>
            <w:r w:rsidRPr="00E10730">
              <w:rPr>
                <w:rFonts w:ascii="Arial" w:hAnsi="Arial"/>
                <w:sz w:val="18"/>
                <w:szCs w:val="18"/>
              </w:rPr>
              <w:t>23: 76.2% (2025: 76.2%)</w:t>
            </w:r>
          </w:p>
          <w:p w14:paraId="015E2B62" w14:textId="4B14885A" w:rsidR="005C6008" w:rsidRPr="00E10730" w:rsidRDefault="005C6008" w:rsidP="004D4526">
            <w:pPr>
              <w:tabs>
                <w:tab w:val="center" w:pos="4513"/>
                <w:tab w:val="right" w:pos="9026"/>
              </w:tabs>
              <w:autoSpaceDE w:val="0"/>
              <w:autoSpaceDN w:val="0"/>
              <w:adjustRightInd w:val="0"/>
              <w:spacing w:line="240" w:lineRule="auto"/>
              <w:ind w:left="284"/>
              <w:rPr>
                <w:rFonts w:ascii="Arial" w:hAnsi="Arial"/>
                <w:sz w:val="18"/>
                <w:szCs w:val="18"/>
              </w:rPr>
            </w:pPr>
            <w:r w:rsidRPr="00E10730">
              <w:rPr>
                <w:rFonts w:ascii="Arial" w:hAnsi="Arial"/>
                <w:sz w:val="18"/>
                <w:szCs w:val="18"/>
              </w:rPr>
              <w:t>2023</w:t>
            </w:r>
            <w:r w:rsidR="001513F8" w:rsidRPr="00E10730">
              <w:rPr>
                <w:rFonts w:ascii="Arial" w:hAnsi="Arial"/>
                <w:sz w:val="18"/>
                <w:szCs w:val="18"/>
              </w:rPr>
              <w:t>–</w:t>
            </w:r>
            <w:r w:rsidRPr="00E10730">
              <w:rPr>
                <w:rFonts w:ascii="Arial" w:hAnsi="Arial"/>
                <w:sz w:val="18"/>
                <w:szCs w:val="18"/>
              </w:rPr>
              <w:t>24: 77.5% (2025: 77.5%)</w:t>
            </w:r>
          </w:p>
          <w:p w14:paraId="14B2FF28" w14:textId="732DBAB6" w:rsidR="005C6008" w:rsidRPr="00E10730" w:rsidRDefault="005C6008" w:rsidP="004D4526">
            <w:pPr>
              <w:tabs>
                <w:tab w:val="center" w:pos="4513"/>
                <w:tab w:val="right" w:pos="9026"/>
              </w:tabs>
              <w:autoSpaceDE w:val="0"/>
              <w:autoSpaceDN w:val="0"/>
              <w:adjustRightInd w:val="0"/>
              <w:spacing w:line="240" w:lineRule="auto"/>
              <w:ind w:left="284"/>
              <w:rPr>
                <w:rFonts w:ascii="Arial" w:hAnsi="Arial"/>
                <w:sz w:val="18"/>
                <w:szCs w:val="18"/>
              </w:rPr>
            </w:pPr>
            <w:r w:rsidRPr="00E10730">
              <w:rPr>
                <w:rFonts w:ascii="Arial" w:hAnsi="Arial"/>
                <w:sz w:val="18"/>
                <w:szCs w:val="18"/>
              </w:rPr>
              <w:t>2024</w:t>
            </w:r>
            <w:r w:rsidR="001513F8" w:rsidRPr="00E10730">
              <w:rPr>
                <w:rFonts w:ascii="Arial" w:hAnsi="Arial"/>
                <w:sz w:val="18"/>
                <w:szCs w:val="18"/>
              </w:rPr>
              <w:t>–</w:t>
            </w:r>
            <w:r w:rsidRPr="00E10730">
              <w:rPr>
                <w:rFonts w:ascii="Arial" w:hAnsi="Arial"/>
                <w:sz w:val="18"/>
                <w:szCs w:val="18"/>
              </w:rPr>
              <w:t>25: 75.6% (2025: 75.6%)</w:t>
            </w:r>
          </w:p>
          <w:p w14:paraId="31F36FFC" w14:textId="6760B5AD" w:rsidR="005C6008" w:rsidRPr="00E10730" w:rsidRDefault="005C6008" w:rsidP="004D4526">
            <w:pPr>
              <w:tabs>
                <w:tab w:val="center" w:pos="4513"/>
                <w:tab w:val="right" w:pos="9026"/>
              </w:tabs>
              <w:autoSpaceDE w:val="0"/>
              <w:autoSpaceDN w:val="0"/>
              <w:adjustRightInd w:val="0"/>
              <w:spacing w:after="120" w:line="240" w:lineRule="auto"/>
              <w:ind w:left="284"/>
              <w:rPr>
                <w:rFonts w:ascii="Arial" w:hAnsi="Arial"/>
                <w:sz w:val="18"/>
                <w:szCs w:val="18"/>
              </w:rPr>
            </w:pPr>
            <w:r w:rsidRPr="00E10730">
              <w:rPr>
                <w:rFonts w:ascii="Arial" w:hAnsi="Arial"/>
                <w:sz w:val="18"/>
                <w:szCs w:val="18"/>
              </w:rPr>
              <w:t>2025</w:t>
            </w:r>
            <w:r w:rsidR="001513F8" w:rsidRPr="00E10730">
              <w:rPr>
                <w:rFonts w:ascii="Arial" w:hAnsi="Arial"/>
                <w:sz w:val="18"/>
                <w:szCs w:val="18"/>
              </w:rPr>
              <w:t>–</w:t>
            </w:r>
            <w:r w:rsidRPr="00E10730">
              <w:rPr>
                <w:rFonts w:ascii="Arial" w:hAnsi="Arial"/>
                <w:sz w:val="18"/>
                <w:szCs w:val="18"/>
              </w:rPr>
              <w:t>26: 74.8%</w:t>
            </w:r>
          </w:p>
          <w:p w14:paraId="631BDC57" w14:textId="583B3990" w:rsidR="005C6008" w:rsidRPr="00E10730" w:rsidRDefault="005C6008" w:rsidP="000D22A1">
            <w:pPr>
              <w:tabs>
                <w:tab w:val="center" w:pos="4513"/>
                <w:tab w:val="right" w:pos="9026"/>
              </w:tabs>
              <w:autoSpaceDE w:val="0"/>
              <w:autoSpaceDN w:val="0"/>
              <w:adjustRightInd w:val="0"/>
              <w:spacing w:after="120" w:line="240" w:lineRule="auto"/>
              <w:rPr>
                <w:rFonts w:ascii="Arial" w:hAnsi="Arial"/>
                <w:b/>
                <w:bCs/>
                <w:sz w:val="18"/>
                <w:szCs w:val="18"/>
              </w:rPr>
            </w:pPr>
            <w:r w:rsidRPr="00E10730">
              <w:rPr>
                <w:rFonts w:ascii="Arial" w:hAnsi="Arial"/>
                <w:sz w:val="18"/>
                <w:szCs w:val="18"/>
              </w:rPr>
              <w:t>The above utilisation rates are re-calculated annually by the Scheme Actuary to take into account actual payments made over the year, the latest value of the Participant Plan Provision and the Residential Aged Care (RAC) Payable, as well as retrospective changes in the Committed Supports. For the 2025</w:t>
            </w:r>
            <w:r w:rsidR="001513F8" w:rsidRPr="00E10730">
              <w:rPr>
                <w:rFonts w:ascii="Arial" w:hAnsi="Arial"/>
                <w:sz w:val="18"/>
                <w:szCs w:val="18"/>
              </w:rPr>
              <w:t>–</w:t>
            </w:r>
            <w:r w:rsidRPr="00E10730">
              <w:rPr>
                <w:rFonts w:ascii="Arial" w:hAnsi="Arial"/>
                <w:sz w:val="18"/>
                <w:szCs w:val="18"/>
              </w:rPr>
              <w:t>26 support year, for each 0.5 percentage point increase/(decrease) in the ultimate utilisation rate, the estimated liability increases/(decreases) by $343.1 million.</w:t>
            </w:r>
          </w:p>
        </w:tc>
      </w:tr>
    </w:tbl>
    <w:p w14:paraId="5586BBE3" w14:textId="77777777" w:rsidR="005C6008" w:rsidRPr="00E10730" w:rsidRDefault="005C6008" w:rsidP="00115FA3">
      <w:pPr>
        <w:spacing w:after="160" w:line="240" w:lineRule="auto"/>
        <w:rPr>
          <w:rFonts w:eastAsia="Calibri" w:cs="Arial"/>
          <w:b/>
          <w:bCs/>
        </w:rPr>
      </w:pPr>
      <w:r w:rsidRPr="00E10730">
        <w:rPr>
          <w:rFonts w:eastAsia="Calibri" w:cs="Arial"/>
          <w:b/>
          <w:bCs/>
        </w:rPr>
        <w:br w:type="page"/>
      </w:r>
    </w:p>
    <w:p w14:paraId="2CE2E73B" w14:textId="77777777" w:rsidR="005C6008" w:rsidRPr="00E8103A" w:rsidRDefault="005C6008" w:rsidP="00115FA3">
      <w:pPr>
        <w:autoSpaceDE w:val="0"/>
        <w:autoSpaceDN w:val="0"/>
        <w:adjustRightInd w:val="0"/>
        <w:spacing w:after="0" w:line="240" w:lineRule="auto"/>
        <w:rPr>
          <w:rStyle w:val="Strong"/>
        </w:rPr>
      </w:pPr>
      <w:r w:rsidRPr="00E8103A">
        <w:rPr>
          <w:rStyle w:val="Strong"/>
        </w:rPr>
        <w:t>National Disability Insurance Agency</w:t>
      </w:r>
    </w:p>
    <w:p w14:paraId="17CD8E44"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43D77349" w14:textId="77777777" w:rsidR="005C6008" w:rsidRPr="00E10730" w:rsidRDefault="005C6008" w:rsidP="00115FA3">
      <w:pPr>
        <w:shd w:val="clear" w:color="auto" w:fill="800080"/>
        <w:autoSpaceDE w:val="0"/>
        <w:autoSpaceDN w:val="0"/>
        <w:adjustRightInd w:val="0"/>
        <w:spacing w:before="240" w:after="0" w:line="240" w:lineRule="auto"/>
        <w:ind w:left="360" w:hanging="360"/>
        <w:rPr>
          <w:rFonts w:eastAsia="Calibri" w:cs="Arial"/>
          <w:b/>
          <w:bCs/>
          <w:color w:val="FFFFFF"/>
        </w:rPr>
      </w:pPr>
      <w:r w:rsidRPr="00E10730">
        <w:rPr>
          <w:rFonts w:eastAsia="Calibri" w:cs="Arial"/>
          <w:b/>
          <w:bCs/>
        </w:rPr>
        <w:t>3.</w:t>
      </w:r>
      <w:r w:rsidRPr="00E10730">
        <w:rPr>
          <w:rFonts w:eastAsia="Calibri" w:cs="Arial"/>
          <w:b/>
          <w:bCs/>
        </w:rPr>
        <w:tab/>
      </w:r>
      <w:r w:rsidRPr="00E10730">
        <w:rPr>
          <w:rFonts w:eastAsia="Calibri" w:cs="Arial"/>
          <w:b/>
          <w:bCs/>
          <w:color w:val="FFFFFF"/>
        </w:rPr>
        <w:t>People and Relationships</w:t>
      </w:r>
    </w:p>
    <w:p w14:paraId="3B6E9448" w14:textId="77777777" w:rsidR="005C6008" w:rsidRPr="00E10730" w:rsidRDefault="005C6008" w:rsidP="00115FA3">
      <w:pPr>
        <w:shd w:val="clear" w:color="auto" w:fill="800080"/>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This section describes a range of employment and post-employment benefits provided to our employees and our relationships with other key people.</w:t>
      </w:r>
    </w:p>
    <w:p w14:paraId="1C3B630D"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240" w:line="240" w:lineRule="auto"/>
        <w:rPr>
          <w:rFonts w:eastAsia="Calibri" w:cs="Arial"/>
          <w:b/>
          <w:bCs/>
          <w:sz w:val="18"/>
          <w:szCs w:val="18"/>
        </w:rPr>
      </w:pPr>
      <w:r w:rsidRPr="00E10730">
        <w:rPr>
          <w:rFonts w:eastAsia="Calibri" w:cs="Arial"/>
          <w:b/>
          <w:bCs/>
          <w:sz w:val="18"/>
          <w:szCs w:val="18"/>
        </w:rPr>
        <w:t>Accounting Policy</w:t>
      </w:r>
    </w:p>
    <w:p w14:paraId="2D53BBD8"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 xml:space="preserve">Liabilities for ‘short-term employee benefits’ (as defined in AASB 119 </w:t>
      </w:r>
      <w:r w:rsidRPr="00E10730">
        <w:rPr>
          <w:rFonts w:eastAsia="Calibri" w:cs="Arial"/>
          <w:i/>
          <w:iCs/>
          <w:sz w:val="18"/>
          <w:szCs w:val="18"/>
        </w:rPr>
        <w:t>Employee Benefits</w:t>
      </w:r>
      <w:r w:rsidRPr="00E10730">
        <w:rPr>
          <w:rFonts w:eastAsia="Calibri" w:cs="Arial"/>
          <w:sz w:val="18"/>
          <w:szCs w:val="18"/>
        </w:rPr>
        <w:t>) and termination benefits expected within twelve months of the end of the reporting period are measured at their nominal amounts.</w:t>
      </w:r>
    </w:p>
    <w:p w14:paraId="005A2A4F"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u w:val="single"/>
        </w:rPr>
      </w:pPr>
      <w:r w:rsidRPr="00E10730">
        <w:rPr>
          <w:rFonts w:eastAsia="Calibri" w:cs="Arial"/>
          <w:sz w:val="18"/>
          <w:szCs w:val="18"/>
          <w:u w:val="single"/>
        </w:rPr>
        <w:t>Leave</w:t>
      </w:r>
    </w:p>
    <w:p w14:paraId="1E15CE33"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The liability for employee benefits includes provision for annual leave and long service leave.</w:t>
      </w:r>
    </w:p>
    <w:p w14:paraId="45944887"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The leave liabilities are calculated on the basis of employees’ remuneration at the estimated salary rates that will be applied at the time the leave is taken, including the Agency’s employer superannuation contribution rates to the extent that the leave is likely to be taken during service rather than paid out on termination.</w:t>
      </w:r>
    </w:p>
    <w:p w14:paraId="64AF4EA3"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u w:val="single"/>
        </w:rPr>
      </w:pPr>
      <w:r w:rsidRPr="00E10730">
        <w:rPr>
          <w:rFonts w:eastAsia="Calibri" w:cs="Arial"/>
          <w:sz w:val="18"/>
          <w:szCs w:val="18"/>
          <w:u w:val="single"/>
        </w:rPr>
        <w:t>Superannuation</w:t>
      </w:r>
    </w:p>
    <w:p w14:paraId="3468BD20"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Agency staff are members of the Commonwealth Superannuation Scheme (CSS), the Public Sector Superannuation Scheme (PSS), the PSS accumulation plan (PSSap), or other superannuation funds held outside the Australian Government. The CSS and PSS are defined benefit schemes for the Australian Government. The PSSap is a defined contribution scheme.</w:t>
      </w:r>
    </w:p>
    <w:p w14:paraId="312C3C68"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The liability for defined benefits is recognised in the financial statements of the Australian Government and is settled by the Australian Government in due course. This liability is reported in the Department of Finance’s administered schedules and notes.</w:t>
      </w:r>
    </w:p>
    <w:p w14:paraId="09163C13"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The Agency makes employer contributions to employee superannuation schemes at rates determined by an actuary to be sufficient to meet the current cost to the Government. The Agency accounts for these contributions as if they were contributions to defined contribution plans.</w:t>
      </w:r>
    </w:p>
    <w:p w14:paraId="350B53A9"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The liability for superannuation recognised at Note 2.3B Other payables represents contributions outstanding at balance date.</w:t>
      </w:r>
    </w:p>
    <w:p w14:paraId="0E953B10"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b/>
          <w:bCs/>
          <w:sz w:val="18"/>
          <w:szCs w:val="18"/>
        </w:rPr>
      </w:pPr>
      <w:r w:rsidRPr="00E10730">
        <w:rPr>
          <w:rFonts w:eastAsia="Calibri" w:cs="Arial"/>
          <w:b/>
          <w:bCs/>
          <w:sz w:val="18"/>
          <w:szCs w:val="18"/>
        </w:rPr>
        <w:t>Key Accounting judgements and estimates</w:t>
      </w:r>
    </w:p>
    <w:p w14:paraId="0E077EED"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b/>
          <w:bCs/>
          <w:sz w:val="18"/>
          <w:szCs w:val="18"/>
        </w:rPr>
      </w:pPr>
      <w:r w:rsidRPr="00E10730">
        <w:rPr>
          <w:rFonts w:eastAsia="Calibri" w:cs="Arial"/>
          <w:sz w:val="18"/>
          <w:szCs w:val="18"/>
        </w:rPr>
        <w:t>The liability for long service leave has been determined by reference to the work of the Australian Government Actuary as at 30 June 2026. The estimate of the present value of the liability for long service leave takes into account attrition rates and pay increases through promotion and inflation. The estimate of future costs requires management and independent actuarial assessment of assumed salary growth rates, future on-cost rates, and the experience of employee departures. The future costs are then discounted to present value using market yields on government bonds in accordance with AASB 119</w:t>
      </w:r>
      <w:r w:rsidRPr="00E10730">
        <w:rPr>
          <w:rFonts w:eastAsia="Calibri" w:cs="Arial"/>
          <w:i/>
          <w:iCs/>
          <w:sz w:val="18"/>
          <w:szCs w:val="18"/>
        </w:rPr>
        <w:t>.</w:t>
      </w:r>
    </w:p>
    <w:p w14:paraId="509D00B8" w14:textId="77777777" w:rsidR="005C6008" w:rsidRPr="00E10730" w:rsidRDefault="005C6008" w:rsidP="00115FA3">
      <w:pPr>
        <w:autoSpaceDE w:val="0"/>
        <w:autoSpaceDN w:val="0"/>
        <w:adjustRightInd w:val="0"/>
        <w:spacing w:after="0" w:line="240" w:lineRule="auto"/>
        <w:rPr>
          <w:rFonts w:eastAsia="Calibri" w:cs="Arial"/>
          <w:b/>
          <w:bCs/>
          <w:sz w:val="20"/>
          <w:szCs w:val="20"/>
        </w:rPr>
      </w:pPr>
      <w:r w:rsidRPr="00E10730">
        <w:rPr>
          <w:rFonts w:eastAsia="Calibri" w:cs="Arial"/>
          <w:sz w:val="22"/>
          <w:szCs w:val="22"/>
        </w:rPr>
        <w:br w:type="page"/>
      </w:r>
    </w:p>
    <w:p w14:paraId="32317CA5" w14:textId="77777777" w:rsidR="005C6008" w:rsidRPr="00E8103A" w:rsidRDefault="005C6008" w:rsidP="00115FA3">
      <w:pPr>
        <w:autoSpaceDE w:val="0"/>
        <w:autoSpaceDN w:val="0"/>
        <w:adjustRightInd w:val="0"/>
        <w:spacing w:after="0" w:line="240" w:lineRule="auto"/>
        <w:rPr>
          <w:rStyle w:val="Strong"/>
        </w:rPr>
      </w:pPr>
      <w:r w:rsidRPr="00E8103A">
        <w:rPr>
          <w:rStyle w:val="Strong"/>
        </w:rPr>
        <w:t>National Disability Insurance Agency</w:t>
      </w:r>
    </w:p>
    <w:p w14:paraId="2F878BB3"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7E072FFC" w14:textId="77777777" w:rsidR="005C6008" w:rsidRPr="00E10730" w:rsidRDefault="005C6008" w:rsidP="00115FA3">
      <w:pPr>
        <w:shd w:val="clear" w:color="auto" w:fill="000000"/>
        <w:autoSpaceDE w:val="0"/>
        <w:autoSpaceDN w:val="0"/>
        <w:adjustRightInd w:val="0"/>
        <w:spacing w:before="240" w:after="0" w:line="240" w:lineRule="auto"/>
        <w:ind w:left="426" w:hanging="426"/>
        <w:rPr>
          <w:rFonts w:eastAsia="Calibri" w:cs="Arial"/>
          <w:b/>
          <w:bCs/>
          <w:color w:val="FFFFFF"/>
          <w:sz w:val="20"/>
          <w:szCs w:val="20"/>
        </w:rPr>
      </w:pPr>
      <w:r w:rsidRPr="00E10730">
        <w:rPr>
          <w:rFonts w:eastAsia="Calibri" w:cs="Arial"/>
          <w:b/>
          <w:bCs/>
          <w:color w:val="FFFFFF"/>
          <w:sz w:val="20"/>
          <w:szCs w:val="20"/>
        </w:rPr>
        <w:t>3.1.</w:t>
      </w:r>
      <w:r w:rsidRPr="00E10730">
        <w:rPr>
          <w:rFonts w:eastAsia="Calibri" w:cs="Arial"/>
          <w:b/>
          <w:bCs/>
          <w:color w:val="FFFFFF"/>
          <w:sz w:val="20"/>
          <w:szCs w:val="20"/>
        </w:rPr>
        <w:tab/>
        <w:t>Key Management Personnel Remuneration</w:t>
      </w:r>
    </w:p>
    <w:p w14:paraId="74C8CE34" w14:textId="77777777" w:rsidR="005C6008" w:rsidRPr="00E10730" w:rsidRDefault="005C6008" w:rsidP="00115FA3">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Key Management Personnel (KMP) are those persons having authority and responsibility for planning, directing, and controlling the activities of the Agency, directly or indirectly. The Agency has determined the Key Management Personnel to be Board members, the Chief Executive, and other members of the Executive Leadership Team. Whilst board members are considered Key Management Personnel, board members do not hold management positions.</w:t>
      </w:r>
    </w:p>
    <w:p w14:paraId="569BA43D" w14:textId="24575EC8" w:rsidR="005C6008" w:rsidRPr="00E10730" w:rsidRDefault="005C6008" w:rsidP="00115FA3">
      <w:pPr>
        <w:autoSpaceDE w:val="0"/>
        <w:autoSpaceDN w:val="0"/>
        <w:adjustRightInd w:val="0"/>
        <w:spacing w:before="120" w:line="240" w:lineRule="auto"/>
        <w:rPr>
          <w:rFonts w:eastAsia="Calibri" w:cs="Arial"/>
          <w:sz w:val="18"/>
          <w:szCs w:val="18"/>
        </w:rPr>
      </w:pPr>
      <w:r w:rsidRPr="00E10730">
        <w:rPr>
          <w:rFonts w:eastAsia="Calibri" w:cs="Arial"/>
          <w:sz w:val="18"/>
          <w:szCs w:val="18"/>
        </w:rPr>
        <w:t>Key Management Personnel remuneration is reported in the table below</w:t>
      </w:r>
      <w:r w:rsidR="00993616">
        <w:rPr>
          <w:rFonts w:eastAsia="Calibri" w:cs="Arial"/>
          <w:sz w:val="18"/>
          <w:szCs w:val="18"/>
        </w:rPr>
        <w:t>:</w:t>
      </w:r>
    </w:p>
    <w:tbl>
      <w:tblPr>
        <w:tblW w:w="0" w:type="auto"/>
        <w:tblLayout w:type="fixed"/>
        <w:tblLook w:val="0000" w:firstRow="0" w:lastRow="0" w:firstColumn="0" w:lastColumn="0" w:noHBand="0" w:noVBand="0"/>
      </w:tblPr>
      <w:tblGrid>
        <w:gridCol w:w="6541"/>
        <w:gridCol w:w="1273"/>
        <w:gridCol w:w="1273"/>
      </w:tblGrid>
      <w:tr w:rsidR="005C6008" w:rsidRPr="00E10730" w14:paraId="7BE32110" w14:textId="77777777">
        <w:trPr>
          <w:trHeight w:val="250"/>
        </w:trPr>
        <w:tc>
          <w:tcPr>
            <w:tcW w:w="6541" w:type="dxa"/>
            <w:tcBorders>
              <w:top w:val="nil"/>
              <w:left w:val="nil"/>
              <w:bottom w:val="nil"/>
              <w:right w:val="nil"/>
            </w:tcBorders>
            <w:shd w:val="clear" w:color="FFFFFF" w:fill="FFFFFF"/>
            <w:vAlign w:val="bottom"/>
          </w:tcPr>
          <w:p w14:paraId="2BF8A209"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273" w:type="dxa"/>
            <w:tcBorders>
              <w:top w:val="nil"/>
              <w:left w:val="nil"/>
              <w:bottom w:val="nil"/>
              <w:right w:val="nil"/>
            </w:tcBorders>
            <w:shd w:val="clear" w:color="FFFFFF" w:fill="FFFFFF"/>
            <w:vAlign w:val="bottom"/>
          </w:tcPr>
          <w:p w14:paraId="7C6CFFF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273" w:type="dxa"/>
            <w:tcBorders>
              <w:top w:val="nil"/>
              <w:left w:val="nil"/>
              <w:bottom w:val="nil"/>
              <w:right w:val="nil"/>
            </w:tcBorders>
            <w:shd w:val="clear" w:color="FFFFFF" w:fill="FFFFFF"/>
            <w:vAlign w:val="bottom"/>
          </w:tcPr>
          <w:p w14:paraId="7CA5B37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r>
      <w:tr w:rsidR="005C6008" w:rsidRPr="00E10730" w14:paraId="61B04669" w14:textId="77777777">
        <w:trPr>
          <w:trHeight w:val="260"/>
        </w:trPr>
        <w:tc>
          <w:tcPr>
            <w:tcW w:w="6541" w:type="dxa"/>
            <w:tcBorders>
              <w:top w:val="nil"/>
              <w:left w:val="nil"/>
              <w:bottom w:val="nil"/>
              <w:right w:val="nil"/>
            </w:tcBorders>
            <w:shd w:val="clear" w:color="FFFFFF" w:fill="FFFFFF"/>
            <w:vAlign w:val="bottom"/>
          </w:tcPr>
          <w:p w14:paraId="5378699C"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4D7856D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273" w:type="dxa"/>
            <w:tcBorders>
              <w:top w:val="nil"/>
              <w:left w:val="nil"/>
              <w:bottom w:val="nil"/>
              <w:right w:val="nil"/>
            </w:tcBorders>
            <w:shd w:val="clear" w:color="FFFFFF" w:fill="FFFFFF"/>
            <w:vAlign w:val="bottom"/>
          </w:tcPr>
          <w:p w14:paraId="1CA7854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r>
      <w:tr w:rsidR="005C6008" w:rsidRPr="00E10730" w14:paraId="47D6BA1F" w14:textId="77777777">
        <w:trPr>
          <w:trHeight w:val="280"/>
        </w:trPr>
        <w:tc>
          <w:tcPr>
            <w:tcW w:w="6541" w:type="dxa"/>
            <w:tcBorders>
              <w:top w:val="nil"/>
              <w:left w:val="nil"/>
              <w:bottom w:val="nil"/>
              <w:right w:val="nil"/>
            </w:tcBorders>
            <w:shd w:val="clear" w:color="FFFFFF" w:fill="FFFFFF"/>
            <w:vAlign w:val="bottom"/>
          </w:tcPr>
          <w:p w14:paraId="428A19A3"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3.1: Key Management Personnel Remuneration</w:t>
            </w:r>
            <w:r w:rsidRPr="00E10730">
              <w:rPr>
                <w:rFonts w:eastAsia="Calibri" w:cs="Arial"/>
                <w:b/>
                <w:bCs/>
                <w:sz w:val="18"/>
                <w:szCs w:val="18"/>
                <w:u w:val="single"/>
                <w:vertAlign w:val="superscript"/>
              </w:rPr>
              <w:t>1</w:t>
            </w:r>
          </w:p>
        </w:tc>
        <w:tc>
          <w:tcPr>
            <w:tcW w:w="1273" w:type="dxa"/>
            <w:tcBorders>
              <w:top w:val="nil"/>
              <w:left w:val="nil"/>
              <w:bottom w:val="nil"/>
              <w:right w:val="nil"/>
            </w:tcBorders>
            <w:shd w:val="clear" w:color="FFFFFF" w:fill="FFFFFF"/>
            <w:vAlign w:val="bottom"/>
          </w:tcPr>
          <w:p w14:paraId="470666D8"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8"/>
                <w:szCs w:val="18"/>
              </w:rPr>
            </w:pPr>
            <w:r w:rsidRPr="00E10730">
              <w:rPr>
                <w:rFonts w:eastAsia="Calibri" w:cs="Arial"/>
                <w:b/>
                <w:bCs/>
                <w:color w:val="FFFFFF"/>
                <w:sz w:val="18"/>
                <w:szCs w:val="18"/>
              </w:rPr>
              <w:t>-</w:t>
            </w:r>
          </w:p>
        </w:tc>
        <w:tc>
          <w:tcPr>
            <w:tcW w:w="1273" w:type="dxa"/>
            <w:tcBorders>
              <w:top w:val="nil"/>
              <w:left w:val="nil"/>
              <w:bottom w:val="nil"/>
              <w:right w:val="nil"/>
            </w:tcBorders>
            <w:shd w:val="clear" w:color="FFFFFF" w:fill="FFFFFF"/>
            <w:vAlign w:val="bottom"/>
          </w:tcPr>
          <w:p w14:paraId="5BA44422"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color w:val="FFFFFF"/>
                <w:sz w:val="18"/>
                <w:szCs w:val="18"/>
              </w:rPr>
              <w:t>-</w:t>
            </w:r>
          </w:p>
        </w:tc>
      </w:tr>
      <w:tr w:rsidR="005C6008" w:rsidRPr="00E10730" w14:paraId="7D2F7BDA" w14:textId="77777777">
        <w:trPr>
          <w:trHeight w:val="270"/>
        </w:trPr>
        <w:tc>
          <w:tcPr>
            <w:tcW w:w="6541" w:type="dxa"/>
            <w:tcBorders>
              <w:top w:val="nil"/>
              <w:left w:val="nil"/>
              <w:bottom w:val="nil"/>
              <w:right w:val="nil"/>
            </w:tcBorders>
            <w:shd w:val="clear" w:color="FFFFFF" w:fill="FFFFFF"/>
            <w:vAlign w:val="bottom"/>
          </w:tcPr>
          <w:p w14:paraId="13AF1513"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Short-term employee benefits</w:t>
            </w:r>
            <w:r w:rsidRPr="00E10730">
              <w:rPr>
                <w:rFonts w:eastAsia="Calibri" w:cs="Arial"/>
                <w:sz w:val="18"/>
                <w:szCs w:val="18"/>
                <w:vertAlign w:val="superscript"/>
              </w:rPr>
              <w:t>2, 3</w:t>
            </w:r>
          </w:p>
        </w:tc>
        <w:tc>
          <w:tcPr>
            <w:tcW w:w="1273" w:type="dxa"/>
            <w:tcBorders>
              <w:top w:val="nil"/>
              <w:left w:val="nil"/>
              <w:bottom w:val="nil"/>
              <w:right w:val="nil"/>
            </w:tcBorders>
            <w:shd w:val="clear" w:color="FFFFFF" w:fill="FFFFFF"/>
            <w:vAlign w:val="bottom"/>
          </w:tcPr>
          <w:p w14:paraId="3EC83D4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6,134</w:t>
            </w:r>
          </w:p>
        </w:tc>
        <w:tc>
          <w:tcPr>
            <w:tcW w:w="1273" w:type="dxa"/>
            <w:tcBorders>
              <w:top w:val="nil"/>
              <w:left w:val="nil"/>
              <w:bottom w:val="nil"/>
              <w:right w:val="nil"/>
            </w:tcBorders>
            <w:shd w:val="clear" w:color="FFFFFF" w:fill="FFFFFF"/>
            <w:vAlign w:val="bottom"/>
          </w:tcPr>
          <w:p w14:paraId="22E3187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5,734</w:t>
            </w:r>
          </w:p>
        </w:tc>
      </w:tr>
      <w:tr w:rsidR="005C6008" w:rsidRPr="00E10730" w14:paraId="3ED26777" w14:textId="77777777">
        <w:trPr>
          <w:trHeight w:val="250"/>
        </w:trPr>
        <w:tc>
          <w:tcPr>
            <w:tcW w:w="6541" w:type="dxa"/>
            <w:tcBorders>
              <w:top w:val="nil"/>
              <w:left w:val="nil"/>
              <w:bottom w:val="nil"/>
              <w:right w:val="nil"/>
            </w:tcBorders>
            <w:shd w:val="clear" w:color="FFFFFF" w:fill="FFFFFF"/>
            <w:vAlign w:val="bottom"/>
          </w:tcPr>
          <w:p w14:paraId="21AF517C"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Post-employment benefits</w:t>
            </w:r>
          </w:p>
        </w:tc>
        <w:tc>
          <w:tcPr>
            <w:tcW w:w="1273" w:type="dxa"/>
            <w:tcBorders>
              <w:top w:val="nil"/>
              <w:left w:val="nil"/>
              <w:bottom w:val="nil"/>
              <w:right w:val="nil"/>
            </w:tcBorders>
            <w:shd w:val="clear" w:color="FFFFFF" w:fill="FFFFFF"/>
            <w:vAlign w:val="bottom"/>
          </w:tcPr>
          <w:p w14:paraId="5DD5BC1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778</w:t>
            </w:r>
          </w:p>
        </w:tc>
        <w:tc>
          <w:tcPr>
            <w:tcW w:w="1273" w:type="dxa"/>
            <w:tcBorders>
              <w:top w:val="nil"/>
              <w:left w:val="nil"/>
              <w:bottom w:val="nil"/>
              <w:right w:val="nil"/>
            </w:tcBorders>
            <w:shd w:val="clear" w:color="FFFFFF" w:fill="FFFFFF"/>
            <w:vAlign w:val="bottom"/>
          </w:tcPr>
          <w:p w14:paraId="6B9E9BF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724</w:t>
            </w:r>
          </w:p>
        </w:tc>
      </w:tr>
      <w:tr w:rsidR="005C6008" w:rsidRPr="00E10730" w14:paraId="623B0021" w14:textId="77777777">
        <w:trPr>
          <w:trHeight w:val="250"/>
        </w:trPr>
        <w:tc>
          <w:tcPr>
            <w:tcW w:w="6541" w:type="dxa"/>
            <w:tcBorders>
              <w:top w:val="nil"/>
              <w:left w:val="nil"/>
              <w:bottom w:val="nil"/>
              <w:right w:val="nil"/>
            </w:tcBorders>
            <w:shd w:val="clear" w:color="FFFFFF" w:fill="FFFFFF"/>
            <w:vAlign w:val="bottom"/>
          </w:tcPr>
          <w:p w14:paraId="28D80923"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Other long-term employee benefits</w:t>
            </w:r>
          </w:p>
        </w:tc>
        <w:tc>
          <w:tcPr>
            <w:tcW w:w="1273" w:type="dxa"/>
            <w:tcBorders>
              <w:top w:val="nil"/>
              <w:left w:val="nil"/>
              <w:bottom w:val="nil"/>
              <w:right w:val="nil"/>
            </w:tcBorders>
            <w:shd w:val="clear" w:color="FFFFFF" w:fill="FFFFFF"/>
            <w:vAlign w:val="bottom"/>
          </w:tcPr>
          <w:p w14:paraId="02E3537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125</w:t>
            </w:r>
          </w:p>
        </w:tc>
        <w:tc>
          <w:tcPr>
            <w:tcW w:w="1273" w:type="dxa"/>
            <w:tcBorders>
              <w:top w:val="nil"/>
              <w:left w:val="nil"/>
              <w:bottom w:val="nil"/>
              <w:right w:val="nil"/>
            </w:tcBorders>
            <w:shd w:val="clear" w:color="FFFFFF" w:fill="FFFFFF"/>
            <w:vAlign w:val="bottom"/>
          </w:tcPr>
          <w:p w14:paraId="6604D3B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116</w:t>
            </w:r>
          </w:p>
        </w:tc>
      </w:tr>
      <w:tr w:rsidR="005C6008" w:rsidRPr="00E10730" w14:paraId="7F636482" w14:textId="77777777">
        <w:trPr>
          <w:trHeight w:val="250"/>
        </w:trPr>
        <w:tc>
          <w:tcPr>
            <w:tcW w:w="6541" w:type="dxa"/>
            <w:tcBorders>
              <w:top w:val="nil"/>
              <w:left w:val="nil"/>
              <w:bottom w:val="nil"/>
              <w:right w:val="nil"/>
            </w:tcBorders>
            <w:shd w:val="clear" w:color="FFFFFF" w:fill="FFFFFF"/>
            <w:vAlign w:val="bottom"/>
          </w:tcPr>
          <w:p w14:paraId="0C80CB02"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Termination benefits</w:t>
            </w:r>
          </w:p>
        </w:tc>
        <w:tc>
          <w:tcPr>
            <w:tcW w:w="1273" w:type="dxa"/>
            <w:tcBorders>
              <w:top w:val="nil"/>
              <w:left w:val="nil"/>
              <w:bottom w:val="nil"/>
              <w:right w:val="nil"/>
            </w:tcBorders>
            <w:shd w:val="clear" w:color="FFFFFF" w:fill="FFFFFF"/>
            <w:vAlign w:val="bottom"/>
          </w:tcPr>
          <w:p w14:paraId="43F8B71C"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w:t>
            </w:r>
          </w:p>
        </w:tc>
        <w:tc>
          <w:tcPr>
            <w:tcW w:w="1273" w:type="dxa"/>
            <w:tcBorders>
              <w:top w:val="nil"/>
              <w:left w:val="nil"/>
              <w:bottom w:val="nil"/>
              <w:right w:val="nil"/>
            </w:tcBorders>
            <w:shd w:val="clear" w:color="FFFFFF" w:fill="FFFFFF"/>
            <w:vAlign w:val="bottom"/>
          </w:tcPr>
          <w:p w14:paraId="37958D8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435</w:t>
            </w:r>
          </w:p>
        </w:tc>
      </w:tr>
      <w:tr w:rsidR="005C6008" w:rsidRPr="00E10730" w14:paraId="43BAE3A4" w14:textId="77777777">
        <w:trPr>
          <w:trHeight w:val="270"/>
        </w:trPr>
        <w:tc>
          <w:tcPr>
            <w:tcW w:w="6541" w:type="dxa"/>
            <w:tcBorders>
              <w:top w:val="nil"/>
              <w:left w:val="nil"/>
              <w:bottom w:val="nil"/>
              <w:right w:val="nil"/>
            </w:tcBorders>
            <w:shd w:val="clear" w:color="FFFFFF" w:fill="FFFFFF"/>
            <w:vAlign w:val="bottom"/>
          </w:tcPr>
          <w:p w14:paraId="2313C1B8"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Key Management Personnel remuneration expenses</w:t>
            </w:r>
            <w:r w:rsidRPr="00E10730">
              <w:rPr>
                <w:rFonts w:eastAsia="Calibri" w:cs="Arial"/>
                <w:b/>
                <w:bCs/>
                <w:sz w:val="18"/>
                <w:szCs w:val="18"/>
                <w:vertAlign w:val="superscript"/>
              </w:rPr>
              <w:t>4</w:t>
            </w:r>
          </w:p>
        </w:tc>
        <w:tc>
          <w:tcPr>
            <w:tcW w:w="1273" w:type="dxa"/>
            <w:tcBorders>
              <w:top w:val="single" w:sz="4" w:space="0" w:color="auto"/>
              <w:left w:val="nil"/>
              <w:bottom w:val="single" w:sz="4" w:space="0" w:color="auto"/>
              <w:right w:val="nil"/>
            </w:tcBorders>
            <w:shd w:val="clear" w:color="FFFFFF" w:fill="FFFFFF"/>
            <w:vAlign w:val="bottom"/>
          </w:tcPr>
          <w:p w14:paraId="47FB784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7,037</w:t>
            </w:r>
          </w:p>
        </w:tc>
        <w:tc>
          <w:tcPr>
            <w:tcW w:w="1273" w:type="dxa"/>
            <w:tcBorders>
              <w:top w:val="single" w:sz="4" w:space="0" w:color="auto"/>
              <w:left w:val="nil"/>
              <w:bottom w:val="single" w:sz="4" w:space="0" w:color="auto"/>
              <w:right w:val="nil"/>
            </w:tcBorders>
            <w:shd w:val="clear" w:color="FFFFFF" w:fill="FFFFFF"/>
            <w:vAlign w:val="bottom"/>
          </w:tcPr>
          <w:p w14:paraId="1542EE4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7,009</w:t>
            </w:r>
          </w:p>
        </w:tc>
      </w:tr>
    </w:tbl>
    <w:p w14:paraId="73BBF4F9" w14:textId="77777777" w:rsidR="005C6008" w:rsidRPr="00E10730" w:rsidRDefault="005C6008" w:rsidP="00A5015B">
      <w:pPr>
        <w:autoSpaceDE w:val="0"/>
        <w:autoSpaceDN w:val="0"/>
        <w:adjustRightInd w:val="0"/>
        <w:spacing w:before="120" w:after="0" w:line="240" w:lineRule="auto"/>
        <w:rPr>
          <w:rFonts w:eastAsia="Calibri" w:cs="Arial"/>
          <w:sz w:val="18"/>
          <w:szCs w:val="18"/>
        </w:rPr>
      </w:pPr>
      <w:r w:rsidRPr="00E10730">
        <w:rPr>
          <w:rFonts w:eastAsia="Calibri" w:cs="Arial"/>
          <w:sz w:val="18"/>
          <w:szCs w:val="18"/>
        </w:rPr>
        <w:t>The total number of Key Management Personnel that are included in the above table is 27 (2025: 26).</w:t>
      </w:r>
    </w:p>
    <w:p w14:paraId="0CB1F1F7" w14:textId="77777777" w:rsidR="005C6008" w:rsidRPr="00E10730" w:rsidRDefault="005C6008" w:rsidP="00A5015B">
      <w:pPr>
        <w:autoSpaceDE w:val="0"/>
        <w:autoSpaceDN w:val="0"/>
        <w:adjustRightInd w:val="0"/>
        <w:spacing w:before="120" w:after="0" w:line="240" w:lineRule="auto"/>
        <w:rPr>
          <w:rFonts w:eastAsia="Calibri" w:cs="Arial"/>
          <w:sz w:val="18"/>
          <w:szCs w:val="18"/>
        </w:rPr>
      </w:pPr>
      <w:r w:rsidRPr="00E10730">
        <w:rPr>
          <w:rFonts w:eastAsia="Calibri" w:cs="Arial"/>
          <w:sz w:val="18"/>
          <w:szCs w:val="18"/>
          <w:vertAlign w:val="superscript"/>
        </w:rPr>
        <w:t xml:space="preserve">1 </w:t>
      </w:r>
      <w:r w:rsidRPr="00E10730">
        <w:rPr>
          <w:rFonts w:eastAsia="Calibri" w:cs="Arial"/>
          <w:sz w:val="18"/>
          <w:szCs w:val="18"/>
        </w:rPr>
        <w:t xml:space="preserve">All remuneration in the table above and reported in Appendix 7.2 of the annual report is calculated on an accrual basis. </w:t>
      </w:r>
    </w:p>
    <w:p w14:paraId="219C4DCD" w14:textId="77777777" w:rsidR="005C6008" w:rsidRPr="00E10730" w:rsidRDefault="005C6008" w:rsidP="00A5015B">
      <w:pPr>
        <w:autoSpaceDE w:val="0"/>
        <w:autoSpaceDN w:val="0"/>
        <w:adjustRightInd w:val="0"/>
        <w:spacing w:before="120" w:after="0" w:line="240" w:lineRule="auto"/>
        <w:rPr>
          <w:rFonts w:eastAsia="Calibri" w:cs="Arial"/>
          <w:sz w:val="18"/>
          <w:szCs w:val="18"/>
        </w:rPr>
      </w:pPr>
      <w:r w:rsidRPr="00E10730">
        <w:rPr>
          <w:rFonts w:eastAsia="Calibri" w:cs="Arial"/>
          <w:sz w:val="18"/>
          <w:szCs w:val="18"/>
          <w:vertAlign w:val="superscript"/>
        </w:rPr>
        <w:t xml:space="preserve">2 </w:t>
      </w:r>
      <w:r w:rsidRPr="00E10730">
        <w:rPr>
          <w:rFonts w:eastAsia="Calibri" w:cs="Arial"/>
          <w:sz w:val="18"/>
          <w:szCs w:val="18"/>
        </w:rPr>
        <w:t>Short-term employee benefits include salary and annual leave expenses.</w:t>
      </w:r>
    </w:p>
    <w:p w14:paraId="04616660" w14:textId="77777777" w:rsidR="005C6008" w:rsidRPr="00E10730" w:rsidRDefault="005C6008" w:rsidP="00A5015B">
      <w:pPr>
        <w:autoSpaceDE w:val="0"/>
        <w:autoSpaceDN w:val="0"/>
        <w:adjustRightInd w:val="0"/>
        <w:spacing w:before="120" w:after="0" w:line="240" w:lineRule="auto"/>
        <w:rPr>
          <w:rFonts w:eastAsia="Calibri" w:cs="Arial"/>
          <w:sz w:val="18"/>
          <w:szCs w:val="18"/>
        </w:rPr>
      </w:pPr>
      <w:r w:rsidRPr="00E10730">
        <w:rPr>
          <w:rFonts w:eastAsia="Calibri" w:cs="Arial"/>
          <w:sz w:val="18"/>
          <w:szCs w:val="18"/>
          <w:vertAlign w:val="superscript"/>
        </w:rPr>
        <w:t>3</w:t>
      </w:r>
      <w:r w:rsidRPr="00E10730">
        <w:rPr>
          <w:rFonts w:eastAsia="Calibri" w:cs="Arial"/>
          <w:sz w:val="18"/>
          <w:szCs w:val="18"/>
        </w:rPr>
        <w:t xml:space="preserve"> Where the Agency engages Key Management Personnel through direct contract arrangements the total contract costs for those individuals are reflected as short-term employee benefits.</w:t>
      </w:r>
    </w:p>
    <w:p w14:paraId="27A12D7E" w14:textId="77777777" w:rsidR="005C6008" w:rsidRPr="00E10730" w:rsidRDefault="005C6008" w:rsidP="00A5015B">
      <w:pPr>
        <w:autoSpaceDE w:val="0"/>
        <w:autoSpaceDN w:val="0"/>
        <w:adjustRightInd w:val="0"/>
        <w:spacing w:before="120" w:after="0" w:line="240" w:lineRule="auto"/>
        <w:rPr>
          <w:rFonts w:eastAsia="Calibri" w:cs="Arial"/>
          <w:sz w:val="18"/>
          <w:szCs w:val="18"/>
        </w:rPr>
      </w:pPr>
      <w:r w:rsidRPr="00E10730">
        <w:rPr>
          <w:rFonts w:eastAsia="Calibri" w:cs="Arial"/>
          <w:sz w:val="18"/>
          <w:szCs w:val="18"/>
          <w:vertAlign w:val="superscript"/>
        </w:rPr>
        <w:t xml:space="preserve">4 </w:t>
      </w:r>
      <w:r w:rsidRPr="00E10730">
        <w:rPr>
          <w:rFonts w:eastAsia="Calibri" w:cs="Arial"/>
          <w:sz w:val="18"/>
          <w:szCs w:val="18"/>
        </w:rPr>
        <w:t>The above Key Management Personnel remuneration excludes the remuneration and other benefits of the Minister and Portfolio Minister. The Minister’s and Portfolio Minister’s remuneration and other benefits are set by the Remuneration Tribunal and are not paid by the Agency. These expenses are reported in the Department of Finance’s administered schedules and notes.</w:t>
      </w:r>
    </w:p>
    <w:p w14:paraId="6D5B1296" w14:textId="77777777" w:rsidR="005C6008" w:rsidRPr="00E10730" w:rsidRDefault="005C6008" w:rsidP="00115FA3">
      <w:pPr>
        <w:shd w:val="clear" w:color="auto" w:fill="000000"/>
        <w:autoSpaceDE w:val="0"/>
        <w:autoSpaceDN w:val="0"/>
        <w:adjustRightInd w:val="0"/>
        <w:spacing w:before="240" w:after="0" w:line="240" w:lineRule="auto"/>
        <w:ind w:left="426" w:hanging="426"/>
        <w:rPr>
          <w:rFonts w:eastAsia="Calibri" w:cs="Arial"/>
          <w:b/>
          <w:bCs/>
          <w:color w:val="FFFFFF"/>
          <w:sz w:val="20"/>
          <w:szCs w:val="20"/>
        </w:rPr>
      </w:pPr>
      <w:r w:rsidRPr="00E10730">
        <w:rPr>
          <w:rFonts w:eastAsia="Calibri" w:cs="Arial"/>
          <w:b/>
          <w:bCs/>
          <w:color w:val="FFFFFF"/>
          <w:sz w:val="20"/>
          <w:szCs w:val="20"/>
        </w:rPr>
        <w:t>3.2.</w:t>
      </w:r>
      <w:r w:rsidRPr="00E10730">
        <w:rPr>
          <w:rFonts w:eastAsia="Calibri" w:cs="Arial"/>
          <w:b/>
          <w:bCs/>
          <w:color w:val="FFFFFF"/>
          <w:sz w:val="20"/>
          <w:szCs w:val="20"/>
        </w:rPr>
        <w:tab/>
        <w:t>Related Party Disclosures</w:t>
      </w:r>
    </w:p>
    <w:p w14:paraId="59E50033" w14:textId="77777777" w:rsidR="005C6008" w:rsidRPr="00E10730" w:rsidRDefault="005C6008" w:rsidP="00115FA3">
      <w:pPr>
        <w:autoSpaceDE w:val="0"/>
        <w:autoSpaceDN w:val="0"/>
        <w:adjustRightInd w:val="0"/>
        <w:spacing w:before="240" w:after="0" w:line="240" w:lineRule="auto"/>
        <w:rPr>
          <w:rFonts w:eastAsia="Calibri" w:cs="Arial"/>
          <w:b/>
          <w:bCs/>
          <w:sz w:val="18"/>
          <w:szCs w:val="18"/>
        </w:rPr>
      </w:pPr>
      <w:r w:rsidRPr="00E10730">
        <w:rPr>
          <w:rFonts w:eastAsia="Calibri" w:cs="Arial"/>
          <w:b/>
          <w:bCs/>
          <w:sz w:val="18"/>
          <w:szCs w:val="18"/>
        </w:rPr>
        <w:t>Related party relationships:</w:t>
      </w:r>
    </w:p>
    <w:p w14:paraId="41457A2C"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The Agency is an Australian Government controlled entity, which is governed by an independent Board. For reporting purposes, the Agency’s related parties are the Department Health, Disability, Ageing, and Services Australia and Key Management Personnel. The definition of Key Management Personnel is included in Note 3.1.</w:t>
      </w:r>
    </w:p>
    <w:p w14:paraId="216CB511" w14:textId="77777777" w:rsidR="005C6008" w:rsidRPr="00E10730" w:rsidRDefault="005C6008" w:rsidP="00115FA3">
      <w:pPr>
        <w:autoSpaceDE w:val="0"/>
        <w:autoSpaceDN w:val="0"/>
        <w:adjustRightInd w:val="0"/>
        <w:spacing w:before="120" w:line="240" w:lineRule="auto"/>
        <w:rPr>
          <w:rFonts w:eastAsia="Calibri" w:cs="Arial"/>
          <w:sz w:val="18"/>
          <w:szCs w:val="18"/>
        </w:rPr>
      </w:pPr>
      <w:r w:rsidRPr="00E10730">
        <w:rPr>
          <w:rFonts w:eastAsia="Calibri" w:cs="Arial"/>
          <w:sz w:val="18"/>
          <w:szCs w:val="18"/>
        </w:rPr>
        <w:t>There were no loans to any Key Management Personnel or other related parties during the period (2025: Nil).</w:t>
      </w:r>
    </w:p>
    <w:p w14:paraId="626B00CD" w14:textId="77777777" w:rsidR="005C6008" w:rsidRPr="00E10730" w:rsidRDefault="005C6008" w:rsidP="00115FA3">
      <w:pPr>
        <w:autoSpaceDE w:val="0"/>
        <w:autoSpaceDN w:val="0"/>
        <w:adjustRightInd w:val="0"/>
        <w:spacing w:before="240" w:after="0" w:line="240" w:lineRule="auto"/>
        <w:rPr>
          <w:rFonts w:eastAsia="Calibri" w:cs="Arial"/>
          <w:b/>
          <w:bCs/>
          <w:sz w:val="18"/>
          <w:szCs w:val="18"/>
        </w:rPr>
      </w:pPr>
      <w:r w:rsidRPr="00E10730">
        <w:rPr>
          <w:rFonts w:eastAsia="Calibri" w:cs="Arial"/>
          <w:b/>
          <w:bCs/>
          <w:sz w:val="18"/>
          <w:szCs w:val="18"/>
        </w:rPr>
        <w:t>Transactions with related parties:</w:t>
      </w:r>
    </w:p>
    <w:p w14:paraId="3E0A9815"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Given the scope of Government activities, related parties may transact with the government sector in the same capacity as ordinary citizens and/or may have family members that are participants in the Scheme. These transactions are conducted at arm’s length and have not been separately disclosed in this note. A number of Key Management Personnel fall into this category. Where the Agency has had interactions with Services Australia, the financial impact of such interactions has been disclosed in sections 1 and 2 of the financial statements.</w:t>
      </w:r>
    </w:p>
    <w:p w14:paraId="37792EC7" w14:textId="77777777" w:rsidR="005C6008" w:rsidRPr="00E10730" w:rsidRDefault="005C6008" w:rsidP="00115FA3">
      <w:pPr>
        <w:autoSpaceDE w:val="0"/>
        <w:autoSpaceDN w:val="0"/>
        <w:adjustRightInd w:val="0"/>
        <w:spacing w:before="240" w:after="0" w:line="240" w:lineRule="auto"/>
        <w:rPr>
          <w:rFonts w:eastAsia="Calibri" w:cs="Arial"/>
          <w:sz w:val="18"/>
          <w:szCs w:val="18"/>
          <w:u w:val="single"/>
        </w:rPr>
      </w:pPr>
      <w:r w:rsidRPr="00E10730">
        <w:rPr>
          <w:rFonts w:eastAsia="Calibri" w:cs="Arial"/>
          <w:sz w:val="18"/>
          <w:szCs w:val="18"/>
          <w:u w:val="single"/>
        </w:rPr>
        <w:t>Registered Service Providers</w:t>
      </w:r>
    </w:p>
    <w:p w14:paraId="3F045745"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 xml:space="preserve">Participants who elect to have their plan managed by the Agency must select a registered service provider to deliver the supports in their plan. To become a registered service provider an organisation must submit an application to the NDIS Quality and Safeguards Commission. All applications are assessed against the criteria specified in </w:t>
      </w:r>
      <w:r w:rsidRPr="00E10730">
        <w:rPr>
          <w:rFonts w:eastAsia="Calibri" w:cs="Arial"/>
          <w:i/>
          <w:iCs/>
          <w:sz w:val="18"/>
          <w:szCs w:val="18"/>
        </w:rPr>
        <w:t>National Disability Insurance Scheme (Provider Registration and Practice Standards) Rules 2018.</w:t>
      </w:r>
    </w:p>
    <w:p w14:paraId="2494B6C7" w14:textId="77777777" w:rsidR="005C6008" w:rsidRPr="00E10730" w:rsidRDefault="005C6008" w:rsidP="00115FA3">
      <w:pPr>
        <w:autoSpaceDE w:val="0"/>
        <w:autoSpaceDN w:val="0"/>
        <w:adjustRightInd w:val="0"/>
        <w:spacing w:before="240" w:after="0" w:line="240" w:lineRule="auto"/>
        <w:rPr>
          <w:rFonts w:eastAsia="Calibri" w:cs="Arial"/>
          <w:sz w:val="18"/>
          <w:szCs w:val="18"/>
        </w:rPr>
      </w:pPr>
      <w:r w:rsidRPr="00E10730">
        <w:rPr>
          <w:rFonts w:eastAsia="Calibri" w:cs="Arial"/>
          <w:sz w:val="18"/>
          <w:szCs w:val="18"/>
        </w:rPr>
        <w:t>Given the scope of the sector in which the Agency operates, Board members may also hold positions with registered service providers. Directors of the Agency are not involved in any decisions to accept or reject applications to register as a service provider. Transactions between the Agency and registered providers are initiated by the participants rather than the Agency, are at arm’s length and have not been separately disclosed in this note.</w:t>
      </w:r>
    </w:p>
    <w:p w14:paraId="7834B96B" w14:textId="77777777" w:rsidR="005C6008" w:rsidRPr="00E10730" w:rsidRDefault="005C6008" w:rsidP="00115FA3">
      <w:pPr>
        <w:autoSpaceDE w:val="0"/>
        <w:autoSpaceDN w:val="0"/>
        <w:adjustRightInd w:val="0"/>
        <w:spacing w:after="0" w:line="240" w:lineRule="auto"/>
        <w:rPr>
          <w:rFonts w:eastAsia="Calibri" w:cs="Arial"/>
          <w:b/>
          <w:bCs/>
        </w:rPr>
        <w:sectPr w:rsidR="005C6008" w:rsidRPr="00E10730" w:rsidSect="00EB1047">
          <w:pgSz w:w="11906" w:h="16838" w:code="9"/>
          <w:pgMar w:top="1247" w:right="1701" w:bottom="1247" w:left="1134" w:header="720" w:footer="720" w:gutter="0"/>
          <w:cols w:space="720"/>
          <w:noEndnote/>
        </w:sectPr>
      </w:pPr>
    </w:p>
    <w:p w14:paraId="19BA48DE" w14:textId="77777777" w:rsidR="005C6008" w:rsidRPr="00E8103A" w:rsidRDefault="005C6008" w:rsidP="00115FA3">
      <w:pPr>
        <w:autoSpaceDE w:val="0"/>
        <w:autoSpaceDN w:val="0"/>
        <w:adjustRightInd w:val="0"/>
        <w:spacing w:after="0" w:line="240" w:lineRule="auto"/>
        <w:rPr>
          <w:rStyle w:val="Strong"/>
        </w:rPr>
      </w:pPr>
      <w:r w:rsidRPr="00E8103A">
        <w:rPr>
          <w:rStyle w:val="Strong"/>
        </w:rPr>
        <w:t>National Disability Insurance Agency</w:t>
      </w:r>
    </w:p>
    <w:p w14:paraId="1A8A1E07"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3FAEC0EB" w14:textId="77777777" w:rsidR="005C6008" w:rsidRPr="00E10730" w:rsidRDefault="005C6008" w:rsidP="000D22A1">
      <w:pPr>
        <w:autoSpaceDE w:val="0"/>
        <w:autoSpaceDN w:val="0"/>
        <w:adjustRightInd w:val="0"/>
        <w:spacing w:before="240" w:line="240" w:lineRule="auto"/>
        <w:rPr>
          <w:rFonts w:eastAsia="Calibri" w:cs="Arial"/>
          <w:sz w:val="18"/>
          <w:szCs w:val="18"/>
        </w:rPr>
      </w:pPr>
      <w:r w:rsidRPr="00E10730">
        <w:rPr>
          <w:rFonts w:eastAsia="Calibri" w:cs="Arial"/>
          <w:sz w:val="18"/>
          <w:szCs w:val="18"/>
        </w:rPr>
        <w:t>The following cash payments were made to parties related to Key Management Personnel members during the financial year.</w:t>
      </w:r>
    </w:p>
    <w:tbl>
      <w:tblPr>
        <w:tblW w:w="0" w:type="auto"/>
        <w:tblLayout w:type="fixed"/>
        <w:tblLook w:val="0000" w:firstRow="0" w:lastRow="0" w:firstColumn="0" w:lastColumn="0" w:noHBand="0" w:noVBand="0"/>
      </w:tblPr>
      <w:tblGrid>
        <w:gridCol w:w="2694"/>
        <w:gridCol w:w="1994"/>
        <w:gridCol w:w="2683"/>
        <w:gridCol w:w="851"/>
        <w:gridCol w:w="275"/>
        <w:gridCol w:w="859"/>
      </w:tblGrid>
      <w:tr w:rsidR="005C6008" w:rsidRPr="00E10730" w14:paraId="0AFAD637" w14:textId="77777777">
        <w:trPr>
          <w:trHeight w:val="255"/>
        </w:trPr>
        <w:tc>
          <w:tcPr>
            <w:tcW w:w="2694" w:type="dxa"/>
            <w:tcBorders>
              <w:top w:val="nil"/>
              <w:left w:val="nil"/>
              <w:bottom w:val="nil"/>
              <w:right w:val="nil"/>
            </w:tcBorders>
            <w:shd w:val="clear" w:color="FFFFFF" w:fill="FFFFFF"/>
            <w:vAlign w:val="bottom"/>
          </w:tcPr>
          <w:p w14:paraId="2E2BD110" w14:textId="77777777" w:rsidR="005C6008" w:rsidRPr="00E10730" w:rsidRDefault="005C6008" w:rsidP="00115FA3">
            <w:pPr>
              <w:autoSpaceDE w:val="0"/>
              <w:autoSpaceDN w:val="0"/>
              <w:adjustRightInd w:val="0"/>
              <w:spacing w:after="0" w:line="240" w:lineRule="auto"/>
              <w:rPr>
                <w:rFonts w:eastAsia="Calibri" w:cs="Arial"/>
                <w:b/>
                <w:bCs/>
                <w:sz w:val="18"/>
                <w:szCs w:val="18"/>
              </w:rPr>
            </w:pPr>
          </w:p>
        </w:tc>
        <w:tc>
          <w:tcPr>
            <w:tcW w:w="1994" w:type="dxa"/>
            <w:tcBorders>
              <w:top w:val="nil"/>
              <w:left w:val="nil"/>
              <w:bottom w:val="nil"/>
              <w:right w:val="nil"/>
            </w:tcBorders>
            <w:shd w:val="clear" w:color="FFFFFF" w:fill="FFFFFF"/>
          </w:tcPr>
          <w:p w14:paraId="6200168C" w14:textId="77777777" w:rsidR="005C6008" w:rsidRPr="00E10730" w:rsidRDefault="005C6008" w:rsidP="00115FA3">
            <w:pPr>
              <w:autoSpaceDE w:val="0"/>
              <w:autoSpaceDN w:val="0"/>
              <w:adjustRightInd w:val="0"/>
              <w:spacing w:after="0" w:line="240" w:lineRule="auto"/>
              <w:rPr>
                <w:rFonts w:eastAsia="Calibri" w:cs="Arial"/>
                <w:b/>
                <w:bCs/>
                <w:sz w:val="18"/>
                <w:szCs w:val="18"/>
              </w:rPr>
            </w:pPr>
          </w:p>
        </w:tc>
        <w:tc>
          <w:tcPr>
            <w:tcW w:w="2683" w:type="dxa"/>
            <w:tcBorders>
              <w:top w:val="nil"/>
              <w:left w:val="nil"/>
              <w:bottom w:val="nil"/>
              <w:right w:val="nil"/>
            </w:tcBorders>
            <w:shd w:val="clear" w:color="FFFFFF" w:fill="FFFFFF"/>
          </w:tcPr>
          <w:p w14:paraId="386DDA7E" w14:textId="77777777" w:rsidR="005C6008" w:rsidRPr="00E10730" w:rsidRDefault="005C6008" w:rsidP="00115FA3">
            <w:pPr>
              <w:autoSpaceDE w:val="0"/>
              <w:autoSpaceDN w:val="0"/>
              <w:adjustRightInd w:val="0"/>
              <w:spacing w:after="0" w:line="240" w:lineRule="auto"/>
              <w:rPr>
                <w:rFonts w:eastAsia="Calibri" w:cs="Arial"/>
                <w:b/>
                <w:bCs/>
                <w:sz w:val="18"/>
                <w:szCs w:val="18"/>
              </w:rPr>
            </w:pPr>
          </w:p>
        </w:tc>
        <w:tc>
          <w:tcPr>
            <w:tcW w:w="851" w:type="dxa"/>
            <w:tcBorders>
              <w:top w:val="nil"/>
              <w:left w:val="nil"/>
              <w:bottom w:val="nil"/>
              <w:right w:val="nil"/>
            </w:tcBorders>
            <w:shd w:val="clear" w:color="FFFFFF" w:fill="FFFFFF"/>
            <w:vAlign w:val="bottom"/>
          </w:tcPr>
          <w:p w14:paraId="6963E13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275" w:type="dxa"/>
            <w:tcBorders>
              <w:top w:val="nil"/>
              <w:left w:val="nil"/>
              <w:bottom w:val="nil"/>
              <w:right w:val="nil"/>
            </w:tcBorders>
            <w:shd w:val="clear" w:color="FFFFFF" w:fill="FFFFFF"/>
            <w:vAlign w:val="bottom"/>
          </w:tcPr>
          <w:p w14:paraId="37C5270C"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 </w:t>
            </w:r>
          </w:p>
        </w:tc>
        <w:tc>
          <w:tcPr>
            <w:tcW w:w="859" w:type="dxa"/>
            <w:tcBorders>
              <w:top w:val="nil"/>
              <w:left w:val="nil"/>
              <w:bottom w:val="nil"/>
              <w:right w:val="nil"/>
            </w:tcBorders>
            <w:shd w:val="clear" w:color="FFFFFF" w:fill="FFFFFF"/>
            <w:vAlign w:val="bottom"/>
          </w:tcPr>
          <w:p w14:paraId="2177C63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r>
      <w:tr w:rsidR="005C6008" w:rsidRPr="00E10730" w14:paraId="7D4B694A" w14:textId="77777777">
        <w:trPr>
          <w:trHeight w:val="255"/>
        </w:trPr>
        <w:tc>
          <w:tcPr>
            <w:tcW w:w="2694" w:type="dxa"/>
            <w:tcBorders>
              <w:top w:val="nil"/>
              <w:left w:val="nil"/>
              <w:bottom w:val="single" w:sz="4" w:space="0" w:color="auto"/>
              <w:right w:val="nil"/>
            </w:tcBorders>
            <w:shd w:val="clear" w:color="FFFFFF" w:fill="FFFFFF"/>
            <w:vAlign w:val="bottom"/>
          </w:tcPr>
          <w:p w14:paraId="53F8A6FD" w14:textId="77777777" w:rsidR="005C6008" w:rsidRPr="00E10730" w:rsidRDefault="005C6008" w:rsidP="00115FA3">
            <w:pPr>
              <w:autoSpaceDE w:val="0"/>
              <w:autoSpaceDN w:val="0"/>
              <w:adjustRightInd w:val="0"/>
              <w:spacing w:after="0" w:line="240" w:lineRule="auto"/>
              <w:rPr>
                <w:rFonts w:eastAsia="Calibri" w:cs="Arial"/>
                <w:b/>
                <w:bCs/>
                <w:sz w:val="18"/>
                <w:szCs w:val="18"/>
              </w:rPr>
            </w:pPr>
          </w:p>
        </w:tc>
        <w:tc>
          <w:tcPr>
            <w:tcW w:w="1994" w:type="dxa"/>
            <w:tcBorders>
              <w:top w:val="nil"/>
              <w:left w:val="nil"/>
              <w:bottom w:val="single" w:sz="4" w:space="0" w:color="auto"/>
              <w:right w:val="nil"/>
            </w:tcBorders>
            <w:shd w:val="clear" w:color="FFFFFF" w:fill="FFFFFF"/>
          </w:tcPr>
          <w:p w14:paraId="052B1BCB" w14:textId="77777777" w:rsidR="005C6008" w:rsidRPr="00E10730" w:rsidRDefault="005C6008" w:rsidP="00115FA3">
            <w:pPr>
              <w:autoSpaceDE w:val="0"/>
              <w:autoSpaceDN w:val="0"/>
              <w:adjustRightInd w:val="0"/>
              <w:spacing w:after="0" w:line="240" w:lineRule="auto"/>
              <w:rPr>
                <w:rFonts w:eastAsia="Calibri" w:cs="Arial"/>
                <w:b/>
                <w:bCs/>
                <w:sz w:val="18"/>
                <w:szCs w:val="18"/>
              </w:rPr>
            </w:pPr>
          </w:p>
        </w:tc>
        <w:tc>
          <w:tcPr>
            <w:tcW w:w="2683" w:type="dxa"/>
            <w:tcBorders>
              <w:top w:val="nil"/>
              <w:left w:val="nil"/>
              <w:bottom w:val="single" w:sz="4" w:space="0" w:color="auto"/>
              <w:right w:val="nil"/>
            </w:tcBorders>
            <w:shd w:val="clear" w:color="FFFFFF" w:fill="FFFFFF"/>
          </w:tcPr>
          <w:p w14:paraId="61D5F317" w14:textId="77777777" w:rsidR="005C6008" w:rsidRPr="00E10730" w:rsidRDefault="005C6008" w:rsidP="00115FA3">
            <w:pPr>
              <w:autoSpaceDE w:val="0"/>
              <w:autoSpaceDN w:val="0"/>
              <w:adjustRightInd w:val="0"/>
              <w:spacing w:after="0" w:line="240" w:lineRule="auto"/>
              <w:rPr>
                <w:rFonts w:eastAsia="Calibri" w:cs="Arial"/>
                <w:b/>
                <w:bCs/>
                <w:sz w:val="18"/>
                <w:szCs w:val="18"/>
              </w:rPr>
            </w:pPr>
          </w:p>
        </w:tc>
        <w:tc>
          <w:tcPr>
            <w:tcW w:w="851" w:type="dxa"/>
            <w:tcBorders>
              <w:top w:val="nil"/>
              <w:left w:val="nil"/>
              <w:bottom w:val="single" w:sz="4" w:space="0" w:color="auto"/>
              <w:right w:val="nil"/>
            </w:tcBorders>
            <w:shd w:val="clear" w:color="FFFFFF" w:fill="FFFFFF"/>
            <w:vAlign w:val="bottom"/>
          </w:tcPr>
          <w:p w14:paraId="67DBA9F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275" w:type="dxa"/>
            <w:tcBorders>
              <w:top w:val="nil"/>
              <w:left w:val="nil"/>
              <w:bottom w:val="single" w:sz="4" w:space="0" w:color="auto"/>
              <w:right w:val="nil"/>
            </w:tcBorders>
            <w:shd w:val="clear" w:color="FFFFFF" w:fill="FFFFFF"/>
            <w:vAlign w:val="bottom"/>
          </w:tcPr>
          <w:p w14:paraId="71148F85"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 </w:t>
            </w:r>
          </w:p>
        </w:tc>
        <w:tc>
          <w:tcPr>
            <w:tcW w:w="859" w:type="dxa"/>
            <w:tcBorders>
              <w:top w:val="nil"/>
              <w:left w:val="nil"/>
              <w:bottom w:val="single" w:sz="4" w:space="0" w:color="auto"/>
              <w:right w:val="nil"/>
            </w:tcBorders>
            <w:shd w:val="clear" w:color="FFFFFF" w:fill="FFFFFF"/>
            <w:vAlign w:val="bottom"/>
          </w:tcPr>
          <w:p w14:paraId="3CD2C7E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r>
      <w:tr w:rsidR="005C6008" w:rsidRPr="00E10730" w14:paraId="2E7874C5" w14:textId="77777777">
        <w:trPr>
          <w:trHeight w:val="255"/>
        </w:trPr>
        <w:tc>
          <w:tcPr>
            <w:tcW w:w="2694" w:type="dxa"/>
            <w:tcBorders>
              <w:top w:val="single" w:sz="4" w:space="0" w:color="auto"/>
              <w:left w:val="nil"/>
              <w:bottom w:val="single" w:sz="4" w:space="0" w:color="auto"/>
              <w:right w:val="nil"/>
            </w:tcBorders>
            <w:shd w:val="clear" w:color="FFFFFF" w:fill="FFFFFF"/>
            <w:vAlign w:val="center"/>
          </w:tcPr>
          <w:p w14:paraId="51133890"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Board Member</w:t>
            </w:r>
          </w:p>
        </w:tc>
        <w:tc>
          <w:tcPr>
            <w:tcW w:w="4677" w:type="dxa"/>
            <w:gridSpan w:val="2"/>
            <w:tcBorders>
              <w:top w:val="single" w:sz="4" w:space="0" w:color="auto"/>
              <w:left w:val="nil"/>
              <w:bottom w:val="single" w:sz="4" w:space="0" w:color="auto"/>
              <w:right w:val="nil"/>
            </w:tcBorders>
            <w:shd w:val="clear" w:color="FFFFFF" w:fill="FFFFFF"/>
          </w:tcPr>
          <w:p w14:paraId="696DCFB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Related party and payments for services rendered by the related party</w:t>
            </w:r>
            <w:r w:rsidRPr="00E10730">
              <w:rPr>
                <w:rFonts w:eastAsia="Calibri" w:cs="Arial"/>
                <w:sz w:val="16"/>
                <w:szCs w:val="16"/>
                <w:vertAlign w:val="superscript"/>
              </w:rPr>
              <w:t>1</w:t>
            </w:r>
          </w:p>
        </w:tc>
        <w:tc>
          <w:tcPr>
            <w:tcW w:w="851" w:type="dxa"/>
            <w:tcBorders>
              <w:top w:val="single" w:sz="4" w:space="0" w:color="auto"/>
              <w:left w:val="nil"/>
              <w:bottom w:val="single" w:sz="4" w:space="0" w:color="auto"/>
              <w:right w:val="nil"/>
            </w:tcBorders>
            <w:shd w:val="clear" w:color="FFFFFF" w:fill="FFFFFF"/>
            <w:vAlign w:val="bottom"/>
          </w:tcPr>
          <w:p w14:paraId="34C7874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p>
        </w:tc>
        <w:tc>
          <w:tcPr>
            <w:tcW w:w="275" w:type="dxa"/>
            <w:tcBorders>
              <w:top w:val="single" w:sz="4" w:space="0" w:color="auto"/>
              <w:left w:val="nil"/>
              <w:bottom w:val="single" w:sz="4" w:space="0" w:color="auto"/>
              <w:right w:val="nil"/>
            </w:tcBorders>
            <w:shd w:val="clear" w:color="FFFFFF" w:fill="FFFFFF"/>
            <w:vAlign w:val="bottom"/>
          </w:tcPr>
          <w:p w14:paraId="659DDE7F" w14:textId="77777777" w:rsidR="005C6008" w:rsidRPr="00E10730" w:rsidRDefault="005C6008" w:rsidP="00115FA3">
            <w:pPr>
              <w:autoSpaceDE w:val="0"/>
              <w:autoSpaceDN w:val="0"/>
              <w:adjustRightInd w:val="0"/>
              <w:spacing w:after="0" w:line="240" w:lineRule="auto"/>
              <w:rPr>
                <w:rFonts w:eastAsia="Calibri" w:cs="Arial"/>
                <w:sz w:val="18"/>
                <w:szCs w:val="18"/>
              </w:rPr>
            </w:pPr>
          </w:p>
        </w:tc>
        <w:tc>
          <w:tcPr>
            <w:tcW w:w="859" w:type="dxa"/>
            <w:tcBorders>
              <w:top w:val="single" w:sz="4" w:space="0" w:color="auto"/>
              <w:left w:val="nil"/>
              <w:bottom w:val="single" w:sz="4" w:space="0" w:color="auto"/>
              <w:right w:val="nil"/>
            </w:tcBorders>
            <w:shd w:val="clear" w:color="FFFFFF" w:fill="FFFFFF"/>
            <w:vAlign w:val="bottom"/>
          </w:tcPr>
          <w:p w14:paraId="746DAC5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p>
        </w:tc>
      </w:tr>
      <w:tr w:rsidR="005C6008" w:rsidRPr="00E10730" w14:paraId="6CDD7025" w14:textId="77777777">
        <w:trPr>
          <w:trHeight w:val="255"/>
        </w:trPr>
        <w:tc>
          <w:tcPr>
            <w:tcW w:w="2694" w:type="dxa"/>
            <w:tcBorders>
              <w:top w:val="single" w:sz="4" w:space="0" w:color="auto"/>
              <w:left w:val="nil"/>
              <w:bottom w:val="single" w:sz="4" w:space="0" w:color="auto"/>
              <w:right w:val="nil"/>
            </w:tcBorders>
            <w:shd w:val="clear" w:color="FFFFFF" w:fill="FFFFFF"/>
          </w:tcPr>
          <w:p w14:paraId="393105B2" w14:textId="77777777" w:rsidR="005C6008" w:rsidRPr="00E10730" w:rsidRDefault="005C6008" w:rsidP="00115FA3">
            <w:pPr>
              <w:autoSpaceDE w:val="0"/>
              <w:autoSpaceDN w:val="0"/>
              <w:adjustRightInd w:val="0"/>
              <w:spacing w:after="0" w:line="240" w:lineRule="auto"/>
              <w:ind w:left="176"/>
              <w:rPr>
                <w:rFonts w:eastAsia="Calibri" w:cs="Arial"/>
                <w:sz w:val="18"/>
                <w:szCs w:val="18"/>
              </w:rPr>
            </w:pPr>
            <w:r w:rsidRPr="00E10730">
              <w:rPr>
                <w:rFonts w:eastAsia="Calibri" w:cs="Arial"/>
                <w:sz w:val="18"/>
                <w:szCs w:val="18"/>
              </w:rPr>
              <w:t>Ms Estelle Pearson</w:t>
            </w:r>
          </w:p>
        </w:tc>
        <w:tc>
          <w:tcPr>
            <w:tcW w:w="4677" w:type="dxa"/>
            <w:gridSpan w:val="2"/>
            <w:tcBorders>
              <w:top w:val="single" w:sz="4" w:space="0" w:color="auto"/>
              <w:left w:val="nil"/>
              <w:bottom w:val="single" w:sz="4" w:space="0" w:color="auto"/>
              <w:right w:val="nil"/>
            </w:tcBorders>
            <w:shd w:val="clear" w:color="FFFFFF" w:fill="FFFFFF"/>
          </w:tcPr>
          <w:p w14:paraId="1AD351F1" w14:textId="7D5BE81C" w:rsidR="005C6008" w:rsidRPr="00E10730" w:rsidRDefault="005C6008" w:rsidP="00115FA3">
            <w:pPr>
              <w:autoSpaceDE w:val="0"/>
              <w:autoSpaceDN w:val="0"/>
              <w:adjustRightInd w:val="0"/>
              <w:spacing w:after="80" w:line="240" w:lineRule="auto"/>
              <w:rPr>
                <w:rFonts w:eastAsia="Calibri" w:cs="Arial"/>
                <w:sz w:val="18"/>
                <w:szCs w:val="18"/>
              </w:rPr>
            </w:pPr>
            <w:r w:rsidRPr="00E10730">
              <w:rPr>
                <w:rFonts w:eastAsia="Calibri" w:cs="Arial"/>
                <w:sz w:val="18"/>
                <w:szCs w:val="18"/>
              </w:rPr>
              <w:t>Director and Principal at Finity Consulting Pty Ltd (Finity). For professional services connected with Better Housing Data 2024</w:t>
            </w:r>
            <w:r w:rsidR="001B4B1D" w:rsidRPr="00E10730">
              <w:rPr>
                <w:rFonts w:eastAsia="Calibri" w:cs="Arial"/>
                <w:sz w:val="18"/>
                <w:szCs w:val="18"/>
              </w:rPr>
              <w:t>–</w:t>
            </w:r>
            <w:r w:rsidRPr="00E10730">
              <w:rPr>
                <w:rFonts w:eastAsia="Calibri" w:cs="Arial"/>
                <w:sz w:val="18"/>
                <w:szCs w:val="18"/>
              </w:rPr>
              <w:t>25.</w:t>
            </w:r>
          </w:p>
        </w:tc>
        <w:tc>
          <w:tcPr>
            <w:tcW w:w="851" w:type="dxa"/>
            <w:tcBorders>
              <w:top w:val="single" w:sz="4" w:space="0" w:color="auto"/>
              <w:left w:val="nil"/>
              <w:bottom w:val="single" w:sz="4" w:space="0" w:color="auto"/>
              <w:right w:val="nil"/>
            </w:tcBorders>
            <w:shd w:val="clear" w:color="FFFFFF" w:fill="FFFFFF"/>
          </w:tcPr>
          <w:p w14:paraId="40A654C1" w14:textId="77777777" w:rsidR="005C6008" w:rsidRPr="00E10730" w:rsidRDefault="005C6008" w:rsidP="00115FA3">
            <w:pPr>
              <w:autoSpaceDE w:val="0"/>
              <w:autoSpaceDN w:val="0"/>
              <w:adjustRightInd w:val="0"/>
              <w:spacing w:after="0" w:line="240" w:lineRule="auto"/>
              <w:ind w:right="90"/>
              <w:jc w:val="right"/>
              <w:rPr>
                <w:rFonts w:eastAsia="Calibri" w:cs="Arial"/>
                <w:b/>
                <w:bCs/>
                <w:sz w:val="18"/>
                <w:szCs w:val="18"/>
              </w:rPr>
            </w:pPr>
            <w:r w:rsidRPr="00E10730">
              <w:rPr>
                <w:rFonts w:eastAsia="Calibri" w:cs="Arial"/>
                <w:b/>
                <w:bCs/>
                <w:sz w:val="18"/>
                <w:szCs w:val="18"/>
              </w:rPr>
              <w:t>225</w:t>
            </w:r>
          </w:p>
        </w:tc>
        <w:tc>
          <w:tcPr>
            <w:tcW w:w="275" w:type="dxa"/>
            <w:tcBorders>
              <w:top w:val="single" w:sz="4" w:space="0" w:color="auto"/>
              <w:left w:val="nil"/>
              <w:bottom w:val="single" w:sz="4" w:space="0" w:color="auto"/>
              <w:right w:val="nil"/>
            </w:tcBorders>
            <w:shd w:val="clear" w:color="FFFFFF" w:fill="FFFFFF"/>
          </w:tcPr>
          <w:p w14:paraId="480E393E" w14:textId="77777777" w:rsidR="005C6008" w:rsidRPr="00E10730" w:rsidRDefault="005C6008" w:rsidP="00115FA3">
            <w:pPr>
              <w:autoSpaceDE w:val="0"/>
              <w:autoSpaceDN w:val="0"/>
              <w:adjustRightInd w:val="0"/>
              <w:spacing w:after="0" w:line="240" w:lineRule="auto"/>
              <w:rPr>
                <w:rFonts w:eastAsia="Calibri" w:cs="Arial"/>
                <w:sz w:val="18"/>
                <w:szCs w:val="18"/>
              </w:rPr>
            </w:pPr>
          </w:p>
        </w:tc>
        <w:tc>
          <w:tcPr>
            <w:tcW w:w="859" w:type="dxa"/>
            <w:tcBorders>
              <w:top w:val="single" w:sz="4" w:space="0" w:color="auto"/>
              <w:left w:val="nil"/>
              <w:bottom w:val="single" w:sz="4" w:space="0" w:color="auto"/>
              <w:right w:val="nil"/>
            </w:tcBorders>
            <w:shd w:val="clear" w:color="FFFFFF" w:fill="FFFFFF"/>
          </w:tcPr>
          <w:p w14:paraId="575B83D5" w14:textId="77777777" w:rsidR="005C6008" w:rsidRPr="00E10730" w:rsidRDefault="005C6008" w:rsidP="00115FA3">
            <w:pPr>
              <w:autoSpaceDE w:val="0"/>
              <w:autoSpaceDN w:val="0"/>
              <w:adjustRightInd w:val="0"/>
              <w:spacing w:after="0" w:line="240" w:lineRule="auto"/>
              <w:jc w:val="center"/>
              <w:rPr>
                <w:rFonts w:eastAsia="Calibri" w:cs="Arial"/>
                <w:sz w:val="18"/>
                <w:szCs w:val="18"/>
              </w:rPr>
            </w:pPr>
            <w:r w:rsidRPr="00E10730">
              <w:rPr>
                <w:rFonts w:eastAsia="Calibri" w:cs="Arial"/>
                <w:sz w:val="18"/>
                <w:szCs w:val="18"/>
              </w:rPr>
              <w:t>422</w:t>
            </w:r>
          </w:p>
        </w:tc>
      </w:tr>
    </w:tbl>
    <w:p w14:paraId="06243F9E" w14:textId="77777777" w:rsidR="005C6008" w:rsidRPr="00E10730" w:rsidRDefault="005C6008" w:rsidP="00A5015B">
      <w:pPr>
        <w:autoSpaceDE w:val="0"/>
        <w:autoSpaceDN w:val="0"/>
        <w:adjustRightInd w:val="0"/>
        <w:spacing w:before="120" w:after="0" w:line="240" w:lineRule="auto"/>
        <w:rPr>
          <w:rFonts w:eastAsia="Calibri" w:cs="Arial"/>
          <w:sz w:val="18"/>
          <w:szCs w:val="18"/>
        </w:rPr>
      </w:pPr>
      <w:r w:rsidRPr="00E10730">
        <w:rPr>
          <w:rFonts w:eastAsia="Calibri" w:cs="Arial"/>
          <w:sz w:val="18"/>
          <w:szCs w:val="18"/>
          <w:vertAlign w:val="superscript"/>
        </w:rPr>
        <w:t xml:space="preserve">1 </w:t>
      </w:r>
      <w:r w:rsidRPr="00E10730">
        <w:rPr>
          <w:rFonts w:eastAsia="Calibri" w:cs="Arial"/>
          <w:sz w:val="18"/>
          <w:szCs w:val="18"/>
        </w:rPr>
        <w:t>All payments in the table above are calculated on a cash rather than accrual basis and therefore may differ from any amounts reported in Note 3.2 and Appendix 7.2 of the annual report.</w:t>
      </w:r>
    </w:p>
    <w:p w14:paraId="37A953C3" w14:textId="77777777" w:rsidR="005C6008" w:rsidRPr="00E10730" w:rsidRDefault="005C6008" w:rsidP="000D22A1">
      <w:pPr>
        <w:autoSpaceDE w:val="0"/>
        <w:autoSpaceDN w:val="0"/>
        <w:adjustRightInd w:val="0"/>
        <w:spacing w:before="80" w:after="80" w:line="240" w:lineRule="auto"/>
        <w:rPr>
          <w:rFonts w:eastAsia="Calibri" w:cs="Arial"/>
          <w:sz w:val="18"/>
          <w:szCs w:val="18"/>
        </w:rPr>
      </w:pPr>
      <w:r w:rsidRPr="00E10730">
        <w:rPr>
          <w:rFonts w:eastAsia="Calibri" w:cs="Arial"/>
          <w:sz w:val="18"/>
          <w:szCs w:val="18"/>
        </w:rPr>
        <w:t>None of the above Key Management Personnel played any role in Agency decisions in relation to their related party transactions noted above.</w:t>
      </w:r>
    </w:p>
    <w:p w14:paraId="75FF1EA0"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br w:type="page"/>
      </w:r>
    </w:p>
    <w:p w14:paraId="5746E891" w14:textId="77777777" w:rsidR="005C6008" w:rsidRPr="00E8103A" w:rsidRDefault="005C6008" w:rsidP="00115FA3">
      <w:pPr>
        <w:autoSpaceDE w:val="0"/>
        <w:autoSpaceDN w:val="0"/>
        <w:adjustRightInd w:val="0"/>
        <w:spacing w:after="0" w:line="240" w:lineRule="auto"/>
        <w:rPr>
          <w:rStyle w:val="Strong"/>
        </w:rPr>
      </w:pPr>
      <w:r w:rsidRPr="00E8103A">
        <w:rPr>
          <w:rStyle w:val="Strong"/>
        </w:rPr>
        <w:t>National Disability Insurance Agency</w:t>
      </w:r>
    </w:p>
    <w:p w14:paraId="5654FA09"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150912AC" w14:textId="77777777" w:rsidR="005C6008" w:rsidRPr="00E10730" w:rsidRDefault="005C6008" w:rsidP="00115FA3">
      <w:pPr>
        <w:shd w:val="clear" w:color="auto" w:fill="800080"/>
        <w:autoSpaceDE w:val="0"/>
        <w:autoSpaceDN w:val="0"/>
        <w:adjustRightInd w:val="0"/>
        <w:spacing w:before="240" w:after="0" w:line="240" w:lineRule="auto"/>
        <w:ind w:left="360" w:hanging="360"/>
        <w:rPr>
          <w:rFonts w:eastAsia="Calibri" w:cs="Arial"/>
          <w:b/>
          <w:bCs/>
          <w:color w:val="FFFFFF"/>
        </w:rPr>
      </w:pPr>
      <w:r w:rsidRPr="00E10730">
        <w:rPr>
          <w:rFonts w:eastAsia="Calibri" w:cs="Arial"/>
          <w:b/>
          <w:bCs/>
        </w:rPr>
        <w:t>4.</w:t>
      </w:r>
      <w:r w:rsidRPr="00E10730">
        <w:rPr>
          <w:rFonts w:eastAsia="Calibri" w:cs="Arial"/>
          <w:b/>
          <w:bCs/>
        </w:rPr>
        <w:tab/>
      </w:r>
      <w:r w:rsidRPr="00E10730">
        <w:rPr>
          <w:rFonts w:eastAsia="Calibri" w:cs="Arial"/>
          <w:b/>
          <w:bCs/>
          <w:color w:val="FFFFFF"/>
        </w:rPr>
        <w:t>Managing Uncertainties</w:t>
      </w:r>
    </w:p>
    <w:p w14:paraId="181E1D70" w14:textId="77777777" w:rsidR="005C6008" w:rsidRPr="00E10730" w:rsidRDefault="005C6008" w:rsidP="00115FA3">
      <w:pPr>
        <w:shd w:val="clear" w:color="auto" w:fill="800080"/>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This section analyses how the Agency manages financial risks within its operating environment.</w:t>
      </w:r>
    </w:p>
    <w:p w14:paraId="565C1A11" w14:textId="77777777" w:rsidR="005C6008" w:rsidRPr="00E10730" w:rsidRDefault="005C6008" w:rsidP="00115FA3">
      <w:pPr>
        <w:shd w:val="clear" w:color="auto" w:fill="000000"/>
        <w:autoSpaceDE w:val="0"/>
        <w:autoSpaceDN w:val="0"/>
        <w:adjustRightInd w:val="0"/>
        <w:spacing w:after="0" w:line="240" w:lineRule="auto"/>
        <w:ind w:left="426" w:hanging="426"/>
        <w:rPr>
          <w:rFonts w:eastAsia="Calibri" w:cs="Arial"/>
          <w:b/>
          <w:bCs/>
          <w:color w:val="FFFFFF"/>
          <w:sz w:val="20"/>
          <w:szCs w:val="20"/>
        </w:rPr>
      </w:pPr>
      <w:r w:rsidRPr="00E10730">
        <w:rPr>
          <w:rFonts w:eastAsia="Calibri" w:cs="Arial"/>
          <w:b/>
          <w:bCs/>
          <w:color w:val="FFFFFF"/>
          <w:sz w:val="20"/>
          <w:szCs w:val="20"/>
        </w:rPr>
        <w:t>4.1.</w:t>
      </w:r>
      <w:r w:rsidRPr="00E10730">
        <w:rPr>
          <w:rFonts w:eastAsia="Calibri" w:cs="Arial"/>
          <w:b/>
          <w:bCs/>
          <w:color w:val="FFFFFF"/>
          <w:sz w:val="20"/>
          <w:szCs w:val="20"/>
        </w:rPr>
        <w:tab/>
        <w:t>Contingent Assets and Liabilities</w:t>
      </w:r>
    </w:p>
    <w:p w14:paraId="2660E9DA" w14:textId="77777777" w:rsidR="005C6008" w:rsidRPr="00E10730" w:rsidRDefault="005C6008" w:rsidP="00115FA3">
      <w:pPr>
        <w:autoSpaceDE w:val="0"/>
        <w:autoSpaceDN w:val="0"/>
        <w:adjustRightInd w:val="0"/>
        <w:spacing w:before="240" w:after="0" w:line="240" w:lineRule="auto"/>
        <w:rPr>
          <w:rFonts w:eastAsia="Calibri" w:cs="Arial"/>
          <w:b/>
          <w:bCs/>
          <w:sz w:val="18"/>
          <w:szCs w:val="18"/>
          <w:u w:val="single"/>
        </w:rPr>
      </w:pPr>
      <w:r w:rsidRPr="00E10730">
        <w:rPr>
          <w:rFonts w:eastAsia="Calibri" w:cs="Arial"/>
          <w:b/>
          <w:bCs/>
          <w:sz w:val="18"/>
          <w:szCs w:val="18"/>
          <w:u w:val="single"/>
        </w:rPr>
        <w:t>Quantifiable Contingencies</w:t>
      </w:r>
    </w:p>
    <w:p w14:paraId="3BCB8DFE" w14:textId="5F4F0631" w:rsidR="005C6008" w:rsidRPr="00E10730" w:rsidRDefault="005C6008" w:rsidP="00115FA3">
      <w:pPr>
        <w:autoSpaceDE w:val="0"/>
        <w:autoSpaceDN w:val="0"/>
        <w:adjustRightInd w:val="0"/>
        <w:spacing w:before="240" w:after="0" w:line="240" w:lineRule="auto"/>
        <w:rPr>
          <w:rFonts w:eastAsia="Calibri" w:cs="Arial"/>
          <w:sz w:val="18"/>
          <w:szCs w:val="18"/>
        </w:rPr>
      </w:pPr>
      <w:r w:rsidRPr="00E10730">
        <w:rPr>
          <w:rFonts w:eastAsia="Calibri" w:cs="Arial"/>
          <w:sz w:val="18"/>
          <w:szCs w:val="18"/>
        </w:rPr>
        <w:t xml:space="preserve">As at 30 June 2026, the Agency had a contract with a supplier with quantifiable contingent liabilities (2025: </w:t>
      </w:r>
      <w:r w:rsidR="00273F6F" w:rsidRPr="00E10730">
        <w:rPr>
          <w:rFonts w:eastAsia="Calibri" w:cs="Arial"/>
          <w:sz w:val="18"/>
          <w:szCs w:val="18"/>
        </w:rPr>
        <w:t>n</w:t>
      </w:r>
      <w:r w:rsidRPr="00E10730">
        <w:rPr>
          <w:rFonts w:eastAsia="Calibri" w:cs="Arial"/>
          <w:sz w:val="18"/>
          <w:szCs w:val="18"/>
        </w:rPr>
        <w:t>il).  These relate to potential third-party actions to recover expenses arising due to the loss or corruption of Agency data or from significant interruption to the Agency’s activities arising from the Agency’s use of the supplier’s product.  The Agency has assessed that it is unlikely that events crystallising these contingent liabilities will occur.  If the events did crystallise, the maximum impact to the Agency for each scenario is estimated to be $3m.</w:t>
      </w:r>
    </w:p>
    <w:p w14:paraId="0B132404" w14:textId="77777777" w:rsidR="005C6008" w:rsidRPr="00E10730" w:rsidRDefault="005C6008" w:rsidP="00115FA3">
      <w:pPr>
        <w:autoSpaceDE w:val="0"/>
        <w:autoSpaceDN w:val="0"/>
        <w:adjustRightInd w:val="0"/>
        <w:spacing w:before="240" w:after="0" w:line="240" w:lineRule="auto"/>
        <w:rPr>
          <w:rFonts w:eastAsia="Calibri" w:cs="Arial"/>
          <w:b/>
          <w:bCs/>
          <w:sz w:val="18"/>
          <w:szCs w:val="18"/>
          <w:u w:val="single"/>
        </w:rPr>
      </w:pPr>
      <w:r w:rsidRPr="00E10730">
        <w:rPr>
          <w:rFonts w:eastAsia="Calibri" w:cs="Arial"/>
          <w:b/>
          <w:bCs/>
          <w:sz w:val="18"/>
          <w:szCs w:val="18"/>
          <w:u w:val="single"/>
        </w:rPr>
        <w:t>Unquantifiable Contingencies</w:t>
      </w:r>
    </w:p>
    <w:p w14:paraId="78595FA7" w14:textId="77777777" w:rsidR="005C6008" w:rsidRPr="00E10730" w:rsidRDefault="005C6008" w:rsidP="00115FA3">
      <w:pPr>
        <w:autoSpaceDE w:val="0"/>
        <w:autoSpaceDN w:val="0"/>
        <w:adjustRightInd w:val="0"/>
        <w:spacing w:before="240" w:after="0" w:line="240" w:lineRule="auto"/>
        <w:rPr>
          <w:rFonts w:eastAsia="Calibri" w:cs="Arial"/>
          <w:b/>
          <w:bCs/>
          <w:sz w:val="22"/>
          <w:szCs w:val="22"/>
          <w:u w:val="single"/>
        </w:rPr>
      </w:pPr>
      <w:r w:rsidRPr="00E10730">
        <w:rPr>
          <w:rFonts w:eastAsia="Calibri" w:cs="Arial"/>
          <w:sz w:val="18"/>
          <w:szCs w:val="18"/>
          <w:u w:val="single"/>
        </w:rPr>
        <w:t>Contingent</w:t>
      </w:r>
      <w:r w:rsidRPr="00E10730">
        <w:rPr>
          <w:rFonts w:eastAsia="Calibri" w:cs="Arial"/>
          <w:b/>
          <w:bCs/>
          <w:sz w:val="22"/>
          <w:szCs w:val="22"/>
          <w:u w:val="single"/>
        </w:rPr>
        <w:t xml:space="preserve"> </w:t>
      </w:r>
      <w:r w:rsidRPr="00E10730">
        <w:rPr>
          <w:rFonts w:eastAsia="Calibri" w:cs="Arial"/>
          <w:sz w:val="18"/>
          <w:szCs w:val="18"/>
          <w:u w:val="single"/>
        </w:rPr>
        <w:t>asset</w:t>
      </w:r>
      <w:r w:rsidRPr="00E10730">
        <w:rPr>
          <w:rFonts w:eastAsia="Calibri" w:cs="Arial"/>
          <w:b/>
          <w:bCs/>
          <w:sz w:val="22"/>
          <w:szCs w:val="22"/>
          <w:u w:val="single"/>
        </w:rPr>
        <w:t xml:space="preserve"> </w:t>
      </w:r>
      <w:r w:rsidRPr="00E10730">
        <w:rPr>
          <w:rFonts w:eastAsia="Calibri" w:cs="Arial"/>
          <w:sz w:val="18"/>
          <w:szCs w:val="18"/>
          <w:u w:val="single"/>
        </w:rPr>
        <w:t>–</w:t>
      </w:r>
      <w:r w:rsidRPr="00E10730">
        <w:rPr>
          <w:rFonts w:eastAsia="Calibri" w:cs="Arial"/>
          <w:b/>
          <w:bCs/>
          <w:sz w:val="22"/>
          <w:szCs w:val="22"/>
          <w:u w:val="single"/>
        </w:rPr>
        <w:t xml:space="preserve"> </w:t>
      </w:r>
      <w:r w:rsidRPr="00E10730">
        <w:rPr>
          <w:rFonts w:eastAsia="Calibri" w:cs="Arial"/>
          <w:sz w:val="18"/>
          <w:szCs w:val="18"/>
          <w:u w:val="single"/>
        </w:rPr>
        <w:t>Compensation</w:t>
      </w:r>
      <w:r w:rsidRPr="00E10730">
        <w:rPr>
          <w:rFonts w:eastAsia="Calibri" w:cs="Arial"/>
          <w:b/>
          <w:bCs/>
          <w:sz w:val="22"/>
          <w:szCs w:val="22"/>
          <w:u w:val="single"/>
        </w:rPr>
        <w:t xml:space="preserve"> </w:t>
      </w:r>
      <w:r w:rsidRPr="00E10730">
        <w:rPr>
          <w:rFonts w:eastAsia="Calibri" w:cs="Arial"/>
          <w:sz w:val="18"/>
          <w:szCs w:val="18"/>
          <w:u w:val="single"/>
        </w:rPr>
        <w:t>recoveries</w:t>
      </w:r>
    </w:p>
    <w:p w14:paraId="17B77E56"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There</w:t>
      </w:r>
      <w:r w:rsidRPr="00E10730">
        <w:rPr>
          <w:rFonts w:eastAsia="Calibri" w:cs="Arial"/>
          <w:i/>
          <w:iCs/>
          <w:sz w:val="22"/>
          <w:szCs w:val="22"/>
        </w:rPr>
        <w:t xml:space="preserve"> </w:t>
      </w:r>
      <w:r w:rsidRPr="00E10730">
        <w:rPr>
          <w:rFonts w:eastAsia="Calibri" w:cs="Arial"/>
          <w:sz w:val="18"/>
          <w:szCs w:val="18"/>
        </w:rPr>
        <w:t>are provisions set out in the Act and the NDIS Compensation Rules that allow the Agency to recover amounts of compensation that have been paid to, or given up by, Scheme participants. These provisions apply to a number of Scheme participant plans, for which compensation recovery decisions have not yet been made at 30 June 2026. A number of potential compensation cases are in progress at 30 June 2026, which may result in future compensation recoveries by the Agency. Due to the unique circumstances of each case, the Agency is currently unable to estimate the amount that may be recoverable from these cases. These amounts will be recognised as income in future periods when the relevant recognition criteria are met. The accounting policy for compensation receipts is included in Note 1.2C.</w:t>
      </w:r>
    </w:p>
    <w:p w14:paraId="757655AC" w14:textId="77777777" w:rsidR="005C6008" w:rsidRPr="00E10730" w:rsidRDefault="005C6008" w:rsidP="00115FA3">
      <w:pPr>
        <w:autoSpaceDE w:val="0"/>
        <w:autoSpaceDN w:val="0"/>
        <w:adjustRightInd w:val="0"/>
        <w:spacing w:before="240" w:after="0" w:line="240" w:lineRule="auto"/>
        <w:rPr>
          <w:rFonts w:eastAsia="Calibri" w:cs="Arial"/>
          <w:sz w:val="18"/>
          <w:szCs w:val="18"/>
          <w:u w:val="single"/>
        </w:rPr>
      </w:pPr>
      <w:r w:rsidRPr="00E10730">
        <w:rPr>
          <w:rFonts w:eastAsia="Calibri" w:cs="Arial"/>
          <w:sz w:val="18"/>
          <w:szCs w:val="18"/>
          <w:u w:val="single"/>
        </w:rPr>
        <w:t>Contingent liabilities</w:t>
      </w:r>
    </w:p>
    <w:p w14:paraId="57C19CAC"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t>As at 30 June 2026, the Agency has a contract with a supplier which includes unquantifiable contingent liabilities. These relate to the indemnification of the supplier for expenses arising from alleged or actual violations of any third-party rights arising from the Agency’s data, alleged or actual use or misuse of the supplier’s intellectual property, software, and subscriptions. The Agency has assessed that it is unlikely that events crystallising these contingent liabilities will occur.</w:t>
      </w:r>
    </w:p>
    <w:p w14:paraId="39A44F9F" w14:textId="5BD8D666" w:rsidR="005C6008" w:rsidRPr="00E10730" w:rsidRDefault="005C6008" w:rsidP="00115FA3">
      <w:pPr>
        <w:autoSpaceDE w:val="0"/>
        <w:autoSpaceDN w:val="0"/>
        <w:adjustRightInd w:val="0"/>
        <w:spacing w:before="240" w:after="0" w:line="240" w:lineRule="auto"/>
        <w:rPr>
          <w:rFonts w:eastAsia="Calibri" w:cs="Arial"/>
          <w:sz w:val="18"/>
          <w:szCs w:val="18"/>
        </w:rPr>
      </w:pPr>
      <w:r w:rsidRPr="00E10730">
        <w:rPr>
          <w:rFonts w:eastAsia="Calibri" w:cs="Arial"/>
          <w:sz w:val="18"/>
          <w:szCs w:val="18"/>
        </w:rPr>
        <w:t>During 2025</w:t>
      </w:r>
      <w:r w:rsidR="001B4B1D" w:rsidRPr="00E10730">
        <w:rPr>
          <w:rFonts w:eastAsia="Calibri" w:cs="Arial"/>
          <w:sz w:val="18"/>
          <w:szCs w:val="18"/>
        </w:rPr>
        <w:t>–</w:t>
      </w:r>
      <w:r w:rsidRPr="00E10730">
        <w:rPr>
          <w:rFonts w:eastAsia="Calibri" w:cs="Arial"/>
          <w:sz w:val="18"/>
          <w:szCs w:val="18"/>
        </w:rPr>
        <w:t>26, the Agency was involved in a number of cases before the Administrative Review Tribunal. It is not possible to estimate the amounts of any eventual payments that may be required in relation to these claims.</w:t>
      </w:r>
    </w:p>
    <w:p w14:paraId="6F8F5822" w14:textId="481F1521"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before="240" w:line="240" w:lineRule="auto"/>
        <w:rPr>
          <w:rFonts w:eastAsia="Calibri" w:cs="Arial"/>
          <w:b/>
          <w:bCs/>
          <w:sz w:val="18"/>
          <w:szCs w:val="18"/>
        </w:rPr>
      </w:pPr>
      <w:r w:rsidRPr="00E10730">
        <w:rPr>
          <w:rFonts w:eastAsia="Calibri" w:cs="Arial"/>
          <w:b/>
          <w:bCs/>
          <w:sz w:val="18"/>
          <w:szCs w:val="18"/>
        </w:rPr>
        <w:t>Accounting Policy</w:t>
      </w:r>
    </w:p>
    <w:p w14:paraId="6934F43B"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Contingent liabilities and contingent assets are not recognised in the Statement of Financial Position but are reported in the notes. They may arise from uncertainty as to the existence of a liability or asset or represent an asset or liability in respect of which the amount cannot be reliably measured. Contingent assets are disclosed when settlement is probable but not virtually certain and contingent liabilities are disclosed when settlement is greater than remote.</w:t>
      </w:r>
    </w:p>
    <w:p w14:paraId="2F8A5A38" w14:textId="77777777" w:rsidR="005C6008" w:rsidRPr="00E10730" w:rsidRDefault="005C6008" w:rsidP="00115FA3">
      <w:pPr>
        <w:autoSpaceDE w:val="0"/>
        <w:autoSpaceDN w:val="0"/>
        <w:adjustRightInd w:val="0"/>
        <w:spacing w:after="0" w:line="240" w:lineRule="auto"/>
        <w:rPr>
          <w:rFonts w:eastAsia="Calibri" w:cs="Arial"/>
          <w:sz w:val="18"/>
          <w:szCs w:val="18"/>
        </w:rPr>
      </w:pPr>
      <w:r w:rsidRPr="00E10730">
        <w:rPr>
          <w:rFonts w:eastAsia="Calibri" w:cs="Arial"/>
          <w:sz w:val="18"/>
          <w:szCs w:val="18"/>
        </w:rPr>
        <w:br w:type="page"/>
      </w:r>
    </w:p>
    <w:p w14:paraId="69B3E790" w14:textId="77777777" w:rsidR="005C6008" w:rsidRPr="00E8103A" w:rsidRDefault="005C6008" w:rsidP="00115FA3">
      <w:pPr>
        <w:autoSpaceDE w:val="0"/>
        <w:autoSpaceDN w:val="0"/>
        <w:adjustRightInd w:val="0"/>
        <w:spacing w:after="0" w:line="240" w:lineRule="auto"/>
        <w:rPr>
          <w:rStyle w:val="Strong"/>
        </w:rPr>
      </w:pPr>
      <w:r w:rsidRPr="00E8103A">
        <w:rPr>
          <w:rStyle w:val="Strong"/>
        </w:rPr>
        <w:t>National Disability Insurance Agency</w:t>
      </w:r>
    </w:p>
    <w:p w14:paraId="35C77B9F"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40DE435A" w14:textId="77777777" w:rsidR="005C6008" w:rsidRPr="00E10730" w:rsidRDefault="005C6008" w:rsidP="00115FA3">
      <w:pPr>
        <w:shd w:val="clear" w:color="auto" w:fill="000000"/>
        <w:autoSpaceDE w:val="0"/>
        <w:autoSpaceDN w:val="0"/>
        <w:adjustRightInd w:val="0"/>
        <w:spacing w:before="240" w:after="0" w:line="240" w:lineRule="auto"/>
        <w:ind w:left="426" w:hanging="426"/>
        <w:rPr>
          <w:rFonts w:eastAsia="Calibri" w:cs="Arial"/>
          <w:b/>
          <w:bCs/>
          <w:color w:val="FFFFFF"/>
          <w:sz w:val="20"/>
          <w:szCs w:val="20"/>
        </w:rPr>
      </w:pPr>
      <w:r w:rsidRPr="00E10730">
        <w:rPr>
          <w:rFonts w:eastAsia="Calibri" w:cs="Arial"/>
          <w:b/>
          <w:bCs/>
          <w:color w:val="FFFFFF"/>
          <w:sz w:val="20"/>
          <w:szCs w:val="20"/>
        </w:rPr>
        <w:t>4.2.</w:t>
      </w:r>
      <w:r w:rsidRPr="00E10730">
        <w:rPr>
          <w:rFonts w:eastAsia="Calibri" w:cs="Arial"/>
          <w:b/>
          <w:bCs/>
          <w:color w:val="FFFFFF"/>
          <w:sz w:val="20"/>
          <w:szCs w:val="20"/>
        </w:rPr>
        <w:tab/>
        <w:t>Financial Instruments</w:t>
      </w:r>
    </w:p>
    <w:tbl>
      <w:tblPr>
        <w:tblW w:w="0" w:type="auto"/>
        <w:tblLayout w:type="fixed"/>
        <w:tblLook w:val="0000" w:firstRow="0" w:lastRow="0" w:firstColumn="0" w:lastColumn="0" w:noHBand="0" w:noVBand="0"/>
      </w:tblPr>
      <w:tblGrid>
        <w:gridCol w:w="6541"/>
        <w:gridCol w:w="1273"/>
        <w:gridCol w:w="1273"/>
      </w:tblGrid>
      <w:tr w:rsidR="005C6008" w:rsidRPr="00E10730" w14:paraId="23A45B13" w14:textId="77777777">
        <w:trPr>
          <w:trHeight w:val="250"/>
        </w:trPr>
        <w:tc>
          <w:tcPr>
            <w:tcW w:w="6541" w:type="dxa"/>
            <w:tcBorders>
              <w:top w:val="nil"/>
              <w:left w:val="nil"/>
              <w:bottom w:val="nil"/>
              <w:right w:val="nil"/>
            </w:tcBorders>
            <w:shd w:val="clear" w:color="FFFFFF" w:fill="FFFFFF"/>
            <w:vAlign w:val="bottom"/>
          </w:tcPr>
          <w:p w14:paraId="29CA9D34"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5CFD8EA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273" w:type="dxa"/>
            <w:tcBorders>
              <w:top w:val="nil"/>
              <w:left w:val="nil"/>
              <w:bottom w:val="nil"/>
              <w:right w:val="nil"/>
            </w:tcBorders>
            <w:shd w:val="clear" w:color="FFFFFF" w:fill="FFFFFF"/>
            <w:vAlign w:val="bottom"/>
          </w:tcPr>
          <w:p w14:paraId="0655C64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r>
      <w:tr w:rsidR="005C6008" w:rsidRPr="00E10730" w14:paraId="1D446F7C" w14:textId="77777777">
        <w:trPr>
          <w:trHeight w:val="250"/>
        </w:trPr>
        <w:tc>
          <w:tcPr>
            <w:tcW w:w="6541" w:type="dxa"/>
            <w:tcBorders>
              <w:top w:val="nil"/>
              <w:left w:val="nil"/>
              <w:bottom w:val="nil"/>
              <w:right w:val="nil"/>
            </w:tcBorders>
            <w:shd w:val="clear" w:color="FFFFFF" w:fill="FFFFFF"/>
            <w:vAlign w:val="bottom"/>
          </w:tcPr>
          <w:p w14:paraId="7346B41A"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7A783F3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273" w:type="dxa"/>
            <w:tcBorders>
              <w:top w:val="nil"/>
              <w:left w:val="nil"/>
              <w:bottom w:val="nil"/>
              <w:right w:val="nil"/>
            </w:tcBorders>
            <w:shd w:val="clear" w:color="FFFFFF" w:fill="FFFFFF"/>
            <w:vAlign w:val="bottom"/>
          </w:tcPr>
          <w:p w14:paraId="721EA8F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r>
      <w:tr w:rsidR="005C6008" w:rsidRPr="00E10730" w14:paraId="1E4FEBA3" w14:textId="77777777">
        <w:trPr>
          <w:trHeight w:val="260"/>
        </w:trPr>
        <w:tc>
          <w:tcPr>
            <w:tcW w:w="6541" w:type="dxa"/>
            <w:tcBorders>
              <w:top w:val="nil"/>
              <w:left w:val="nil"/>
              <w:bottom w:val="nil"/>
              <w:right w:val="nil"/>
            </w:tcBorders>
            <w:shd w:val="clear" w:color="FFFFFF" w:fill="FFFFFF"/>
            <w:vAlign w:val="bottom"/>
          </w:tcPr>
          <w:p w14:paraId="6575AF9A"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4.2A: Categories of financial instruments</w:t>
            </w:r>
          </w:p>
        </w:tc>
        <w:tc>
          <w:tcPr>
            <w:tcW w:w="1273" w:type="dxa"/>
            <w:tcBorders>
              <w:top w:val="nil"/>
              <w:left w:val="nil"/>
              <w:bottom w:val="nil"/>
              <w:right w:val="nil"/>
            </w:tcBorders>
            <w:shd w:val="clear" w:color="FFFFFF" w:fill="FFFFFF"/>
            <w:vAlign w:val="bottom"/>
          </w:tcPr>
          <w:p w14:paraId="6EDE92B1"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6BAE71C8"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4EEA785C" w14:textId="77777777">
        <w:trPr>
          <w:trHeight w:val="260"/>
        </w:trPr>
        <w:tc>
          <w:tcPr>
            <w:tcW w:w="6541" w:type="dxa"/>
            <w:tcBorders>
              <w:top w:val="nil"/>
              <w:left w:val="nil"/>
              <w:bottom w:val="nil"/>
              <w:right w:val="nil"/>
            </w:tcBorders>
            <w:shd w:val="clear" w:color="FFFFFF" w:fill="FFFFFF"/>
            <w:vAlign w:val="bottom"/>
          </w:tcPr>
          <w:p w14:paraId="7B0F87EE"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Financial assets at amortised cost</w:t>
            </w:r>
          </w:p>
        </w:tc>
        <w:tc>
          <w:tcPr>
            <w:tcW w:w="1273" w:type="dxa"/>
            <w:tcBorders>
              <w:top w:val="nil"/>
              <w:left w:val="nil"/>
              <w:bottom w:val="nil"/>
              <w:right w:val="nil"/>
            </w:tcBorders>
            <w:shd w:val="clear" w:color="FFFFFF" w:fill="FFFFFF"/>
            <w:vAlign w:val="bottom"/>
          </w:tcPr>
          <w:p w14:paraId="1DDEACC0"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0295FBD3"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6B4A8FE6" w14:textId="77777777">
        <w:trPr>
          <w:trHeight w:val="250"/>
        </w:trPr>
        <w:tc>
          <w:tcPr>
            <w:tcW w:w="6541" w:type="dxa"/>
            <w:tcBorders>
              <w:top w:val="nil"/>
              <w:left w:val="nil"/>
              <w:bottom w:val="nil"/>
              <w:right w:val="nil"/>
            </w:tcBorders>
            <w:shd w:val="clear" w:color="FFFFFF" w:fill="FFFFFF"/>
            <w:vAlign w:val="bottom"/>
          </w:tcPr>
          <w:p w14:paraId="14184FCC"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Cash and cash equivalents</w:t>
            </w:r>
          </w:p>
        </w:tc>
        <w:tc>
          <w:tcPr>
            <w:tcW w:w="1273" w:type="dxa"/>
            <w:tcBorders>
              <w:top w:val="nil"/>
              <w:left w:val="nil"/>
              <w:bottom w:val="nil"/>
              <w:right w:val="nil"/>
            </w:tcBorders>
            <w:shd w:val="clear" w:color="FFFFFF" w:fill="FFFFFF"/>
            <w:vAlign w:val="bottom"/>
          </w:tcPr>
          <w:p w14:paraId="03B9FE9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6,055,806</w:t>
            </w:r>
          </w:p>
        </w:tc>
        <w:tc>
          <w:tcPr>
            <w:tcW w:w="1273" w:type="dxa"/>
            <w:tcBorders>
              <w:top w:val="nil"/>
              <w:left w:val="nil"/>
              <w:bottom w:val="nil"/>
              <w:right w:val="nil"/>
            </w:tcBorders>
            <w:shd w:val="clear" w:color="FFFFFF" w:fill="FFFFFF"/>
            <w:vAlign w:val="bottom"/>
          </w:tcPr>
          <w:p w14:paraId="116859D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6,228,958</w:t>
            </w:r>
          </w:p>
        </w:tc>
      </w:tr>
      <w:tr w:rsidR="005C6008" w:rsidRPr="00E10730" w14:paraId="47603B66" w14:textId="77777777">
        <w:trPr>
          <w:trHeight w:val="250"/>
        </w:trPr>
        <w:tc>
          <w:tcPr>
            <w:tcW w:w="6541" w:type="dxa"/>
            <w:tcBorders>
              <w:top w:val="nil"/>
              <w:left w:val="nil"/>
              <w:bottom w:val="nil"/>
              <w:right w:val="nil"/>
            </w:tcBorders>
            <w:shd w:val="clear" w:color="FFFFFF" w:fill="FFFFFF"/>
            <w:vAlign w:val="bottom"/>
          </w:tcPr>
          <w:p w14:paraId="267F56C1"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Other receivables</w:t>
            </w:r>
          </w:p>
        </w:tc>
        <w:tc>
          <w:tcPr>
            <w:tcW w:w="1273" w:type="dxa"/>
            <w:tcBorders>
              <w:top w:val="nil"/>
              <w:left w:val="nil"/>
              <w:bottom w:val="nil"/>
              <w:right w:val="nil"/>
            </w:tcBorders>
            <w:shd w:val="clear" w:color="FFFFFF" w:fill="FFFFFF"/>
            <w:vAlign w:val="bottom"/>
          </w:tcPr>
          <w:p w14:paraId="7E2FE8A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40,339</w:t>
            </w:r>
          </w:p>
        </w:tc>
        <w:tc>
          <w:tcPr>
            <w:tcW w:w="1273" w:type="dxa"/>
            <w:tcBorders>
              <w:top w:val="nil"/>
              <w:left w:val="nil"/>
              <w:bottom w:val="nil"/>
              <w:right w:val="nil"/>
            </w:tcBorders>
            <w:shd w:val="clear" w:color="FFFFFF" w:fill="FFFFFF"/>
            <w:vAlign w:val="bottom"/>
          </w:tcPr>
          <w:p w14:paraId="0EFE286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42,331</w:t>
            </w:r>
          </w:p>
        </w:tc>
      </w:tr>
      <w:tr w:rsidR="005C6008" w:rsidRPr="00E10730" w14:paraId="0B3E2198" w14:textId="77777777">
        <w:trPr>
          <w:trHeight w:val="250"/>
        </w:trPr>
        <w:tc>
          <w:tcPr>
            <w:tcW w:w="6541" w:type="dxa"/>
            <w:tcBorders>
              <w:top w:val="nil"/>
              <w:left w:val="nil"/>
              <w:bottom w:val="nil"/>
              <w:right w:val="nil"/>
            </w:tcBorders>
            <w:shd w:val="clear" w:color="FFFFFF" w:fill="FFFFFF"/>
            <w:vAlign w:val="bottom"/>
          </w:tcPr>
          <w:p w14:paraId="51D3A54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financial assets at amortised cost</w:t>
            </w:r>
          </w:p>
        </w:tc>
        <w:tc>
          <w:tcPr>
            <w:tcW w:w="1273" w:type="dxa"/>
            <w:tcBorders>
              <w:top w:val="single" w:sz="4" w:space="0" w:color="auto"/>
              <w:left w:val="nil"/>
              <w:bottom w:val="single" w:sz="4" w:space="0" w:color="auto"/>
              <w:right w:val="nil"/>
            </w:tcBorders>
            <w:shd w:val="clear" w:color="FFFFFF" w:fill="FFFFFF"/>
            <w:vAlign w:val="bottom"/>
          </w:tcPr>
          <w:p w14:paraId="3F794E5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6,096,145</w:t>
            </w:r>
          </w:p>
        </w:tc>
        <w:tc>
          <w:tcPr>
            <w:tcW w:w="1273" w:type="dxa"/>
            <w:tcBorders>
              <w:top w:val="single" w:sz="4" w:space="0" w:color="auto"/>
              <w:left w:val="nil"/>
              <w:bottom w:val="single" w:sz="4" w:space="0" w:color="auto"/>
              <w:right w:val="nil"/>
            </w:tcBorders>
            <w:shd w:val="clear" w:color="FFFFFF" w:fill="FFFFFF"/>
            <w:vAlign w:val="bottom"/>
          </w:tcPr>
          <w:p w14:paraId="2BC04C5C"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6,271,289</w:t>
            </w:r>
          </w:p>
        </w:tc>
      </w:tr>
      <w:tr w:rsidR="005C6008" w:rsidRPr="00E10730" w14:paraId="6AACC346" w14:textId="77777777">
        <w:trPr>
          <w:trHeight w:val="170"/>
        </w:trPr>
        <w:tc>
          <w:tcPr>
            <w:tcW w:w="6541" w:type="dxa"/>
            <w:tcBorders>
              <w:top w:val="nil"/>
              <w:left w:val="nil"/>
              <w:bottom w:val="nil"/>
              <w:right w:val="nil"/>
            </w:tcBorders>
            <w:shd w:val="clear" w:color="FFFFFF" w:fill="FFFFFF"/>
            <w:vAlign w:val="bottom"/>
          </w:tcPr>
          <w:p w14:paraId="699B7239" w14:textId="77777777" w:rsidR="005C6008" w:rsidRPr="00E10730" w:rsidRDefault="005C6008" w:rsidP="00115FA3">
            <w:pPr>
              <w:autoSpaceDE w:val="0"/>
              <w:autoSpaceDN w:val="0"/>
              <w:adjustRightInd w:val="0"/>
              <w:spacing w:after="0" w:line="240" w:lineRule="auto"/>
              <w:rPr>
                <w:rFonts w:eastAsia="Calibri" w:cs="Arial"/>
                <w:b/>
                <w:bCs/>
                <w:color w:val="FFFFFF"/>
                <w:sz w:val="12"/>
                <w:szCs w:val="12"/>
              </w:rPr>
            </w:pPr>
            <w:r w:rsidRPr="00E10730">
              <w:rPr>
                <w:rFonts w:eastAsia="Calibri" w:cs="Arial"/>
                <w:b/>
                <w:bCs/>
                <w:color w:val="FFFFFF"/>
                <w:sz w:val="12"/>
                <w:szCs w:val="12"/>
              </w:rPr>
              <w:t>-</w:t>
            </w:r>
          </w:p>
        </w:tc>
        <w:tc>
          <w:tcPr>
            <w:tcW w:w="1273" w:type="dxa"/>
            <w:tcBorders>
              <w:top w:val="nil"/>
              <w:left w:val="nil"/>
              <w:bottom w:val="nil"/>
              <w:right w:val="nil"/>
            </w:tcBorders>
            <w:shd w:val="clear" w:color="FFFFFF" w:fill="FFFFFF"/>
            <w:vAlign w:val="bottom"/>
          </w:tcPr>
          <w:p w14:paraId="0B79E2C8" w14:textId="77777777" w:rsidR="005C6008" w:rsidRPr="00E10730" w:rsidRDefault="005C6008" w:rsidP="00115FA3">
            <w:pPr>
              <w:autoSpaceDE w:val="0"/>
              <w:autoSpaceDN w:val="0"/>
              <w:adjustRightInd w:val="0"/>
              <w:spacing w:after="0" w:line="240" w:lineRule="auto"/>
              <w:jc w:val="right"/>
              <w:rPr>
                <w:rFonts w:eastAsia="Calibri" w:cs="Arial"/>
                <w:b/>
                <w:bCs/>
                <w:color w:val="FFFFFF"/>
                <w:sz w:val="12"/>
                <w:szCs w:val="12"/>
              </w:rPr>
            </w:pPr>
            <w:r w:rsidRPr="00E10730">
              <w:rPr>
                <w:rFonts w:eastAsia="Calibri" w:cs="Arial"/>
                <w:b/>
                <w:bCs/>
                <w:color w:val="FFFFFF"/>
                <w:sz w:val="12"/>
                <w:szCs w:val="12"/>
              </w:rPr>
              <w:t>-</w:t>
            </w:r>
          </w:p>
        </w:tc>
        <w:tc>
          <w:tcPr>
            <w:tcW w:w="1273" w:type="dxa"/>
            <w:tcBorders>
              <w:top w:val="nil"/>
              <w:left w:val="nil"/>
              <w:bottom w:val="nil"/>
              <w:right w:val="nil"/>
            </w:tcBorders>
            <w:shd w:val="clear" w:color="FFFFFF" w:fill="FFFFFF"/>
            <w:vAlign w:val="bottom"/>
          </w:tcPr>
          <w:p w14:paraId="5DFDBF9D" w14:textId="77777777" w:rsidR="005C6008" w:rsidRPr="00E10730" w:rsidRDefault="005C6008" w:rsidP="00115FA3">
            <w:pPr>
              <w:autoSpaceDE w:val="0"/>
              <w:autoSpaceDN w:val="0"/>
              <w:adjustRightInd w:val="0"/>
              <w:spacing w:after="0" w:line="240" w:lineRule="auto"/>
              <w:jc w:val="right"/>
              <w:rPr>
                <w:rFonts w:eastAsia="Calibri" w:cs="Arial"/>
                <w:color w:val="FFFFFF"/>
                <w:sz w:val="12"/>
                <w:szCs w:val="12"/>
              </w:rPr>
            </w:pPr>
            <w:r w:rsidRPr="00E10730">
              <w:rPr>
                <w:rFonts w:eastAsia="Calibri" w:cs="Arial"/>
                <w:color w:val="FFFFFF"/>
                <w:sz w:val="12"/>
                <w:szCs w:val="12"/>
              </w:rPr>
              <w:t>-</w:t>
            </w:r>
          </w:p>
        </w:tc>
      </w:tr>
      <w:tr w:rsidR="005C6008" w:rsidRPr="00E10730" w14:paraId="7128A915" w14:textId="77777777">
        <w:trPr>
          <w:trHeight w:val="250"/>
        </w:trPr>
        <w:tc>
          <w:tcPr>
            <w:tcW w:w="6541" w:type="dxa"/>
            <w:tcBorders>
              <w:top w:val="nil"/>
              <w:left w:val="nil"/>
              <w:bottom w:val="nil"/>
              <w:right w:val="nil"/>
            </w:tcBorders>
            <w:shd w:val="clear" w:color="FFFFFF" w:fill="FFFFFF"/>
            <w:vAlign w:val="bottom"/>
          </w:tcPr>
          <w:p w14:paraId="00CC3B1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Financial liabilities measured at amortised cost</w:t>
            </w:r>
          </w:p>
        </w:tc>
        <w:tc>
          <w:tcPr>
            <w:tcW w:w="1273" w:type="dxa"/>
            <w:tcBorders>
              <w:top w:val="nil"/>
              <w:left w:val="nil"/>
              <w:bottom w:val="nil"/>
              <w:right w:val="nil"/>
            </w:tcBorders>
            <w:shd w:val="clear" w:color="FFFFFF" w:fill="FFFFFF"/>
            <w:vAlign w:val="bottom"/>
          </w:tcPr>
          <w:p w14:paraId="360368A0"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273" w:type="dxa"/>
            <w:tcBorders>
              <w:top w:val="nil"/>
              <w:left w:val="nil"/>
              <w:bottom w:val="nil"/>
              <w:right w:val="nil"/>
            </w:tcBorders>
            <w:shd w:val="clear" w:color="FFFFFF" w:fill="FFFFFF"/>
            <w:vAlign w:val="bottom"/>
          </w:tcPr>
          <w:p w14:paraId="3BD18D5B"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2456E744" w14:textId="77777777">
        <w:trPr>
          <w:trHeight w:val="250"/>
        </w:trPr>
        <w:tc>
          <w:tcPr>
            <w:tcW w:w="6541" w:type="dxa"/>
            <w:tcBorders>
              <w:top w:val="nil"/>
              <w:left w:val="nil"/>
              <w:bottom w:val="nil"/>
              <w:right w:val="nil"/>
            </w:tcBorders>
            <w:shd w:val="clear" w:color="FFFFFF" w:fill="FFFFFF"/>
            <w:vAlign w:val="bottom"/>
          </w:tcPr>
          <w:p w14:paraId="3FEB8057"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Supplier and other payables</w:t>
            </w:r>
          </w:p>
        </w:tc>
        <w:tc>
          <w:tcPr>
            <w:tcW w:w="1273" w:type="dxa"/>
            <w:tcBorders>
              <w:top w:val="nil"/>
              <w:left w:val="nil"/>
              <w:bottom w:val="nil"/>
              <w:right w:val="nil"/>
            </w:tcBorders>
            <w:shd w:val="clear" w:color="FFFFFF" w:fill="FFFFFF"/>
            <w:vAlign w:val="bottom"/>
          </w:tcPr>
          <w:p w14:paraId="48A7713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160,721</w:t>
            </w:r>
          </w:p>
        </w:tc>
        <w:tc>
          <w:tcPr>
            <w:tcW w:w="1273" w:type="dxa"/>
            <w:tcBorders>
              <w:top w:val="nil"/>
              <w:left w:val="nil"/>
              <w:bottom w:val="nil"/>
              <w:right w:val="nil"/>
            </w:tcBorders>
            <w:shd w:val="clear" w:color="FFFFFF" w:fill="FFFFFF"/>
            <w:vAlign w:val="bottom"/>
          </w:tcPr>
          <w:p w14:paraId="5AAFC64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150,491</w:t>
            </w:r>
          </w:p>
        </w:tc>
      </w:tr>
      <w:tr w:rsidR="005C6008" w:rsidRPr="00E10730" w14:paraId="3E1C7ACD" w14:textId="77777777">
        <w:trPr>
          <w:trHeight w:val="250"/>
        </w:trPr>
        <w:tc>
          <w:tcPr>
            <w:tcW w:w="6541" w:type="dxa"/>
            <w:tcBorders>
              <w:top w:val="nil"/>
              <w:left w:val="nil"/>
              <w:bottom w:val="nil"/>
              <w:right w:val="nil"/>
            </w:tcBorders>
            <w:shd w:val="clear" w:color="FFFFFF" w:fill="FFFFFF"/>
            <w:vAlign w:val="bottom"/>
          </w:tcPr>
          <w:p w14:paraId="34F2E223"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financial liabilities at amortised cost</w:t>
            </w:r>
          </w:p>
        </w:tc>
        <w:tc>
          <w:tcPr>
            <w:tcW w:w="1273" w:type="dxa"/>
            <w:tcBorders>
              <w:top w:val="single" w:sz="4" w:space="0" w:color="auto"/>
              <w:left w:val="nil"/>
              <w:bottom w:val="single" w:sz="4" w:space="0" w:color="auto"/>
              <w:right w:val="nil"/>
            </w:tcBorders>
            <w:shd w:val="clear" w:color="FFFFFF" w:fill="FFFFFF"/>
            <w:vAlign w:val="bottom"/>
          </w:tcPr>
          <w:p w14:paraId="64DA28A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160,721</w:t>
            </w:r>
          </w:p>
        </w:tc>
        <w:tc>
          <w:tcPr>
            <w:tcW w:w="1273" w:type="dxa"/>
            <w:tcBorders>
              <w:top w:val="single" w:sz="4" w:space="0" w:color="auto"/>
              <w:left w:val="nil"/>
              <w:bottom w:val="single" w:sz="4" w:space="0" w:color="auto"/>
              <w:right w:val="nil"/>
            </w:tcBorders>
            <w:shd w:val="clear" w:color="FFFFFF" w:fill="FFFFFF"/>
            <w:vAlign w:val="bottom"/>
          </w:tcPr>
          <w:p w14:paraId="2056D45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150,491</w:t>
            </w:r>
          </w:p>
        </w:tc>
      </w:tr>
    </w:tbl>
    <w:p w14:paraId="659FCD9B" w14:textId="77777777" w:rsidR="005C6008" w:rsidRPr="00E10730" w:rsidRDefault="005C6008" w:rsidP="00115FA3">
      <w:pPr>
        <w:autoSpaceDE w:val="0"/>
        <w:autoSpaceDN w:val="0"/>
        <w:adjustRightInd w:val="0"/>
        <w:spacing w:after="0" w:line="240" w:lineRule="auto"/>
        <w:rPr>
          <w:rFonts w:eastAsia="Calibri" w:cs="Arial"/>
          <w:sz w:val="18"/>
          <w:szCs w:val="18"/>
        </w:rPr>
      </w:pPr>
    </w:p>
    <w:tbl>
      <w:tblPr>
        <w:tblW w:w="0" w:type="auto"/>
        <w:tblLayout w:type="fixed"/>
        <w:tblLook w:val="0000" w:firstRow="0" w:lastRow="0" w:firstColumn="0" w:lastColumn="0" w:noHBand="0" w:noVBand="0"/>
      </w:tblPr>
      <w:tblGrid>
        <w:gridCol w:w="6541"/>
        <w:gridCol w:w="1273"/>
        <w:gridCol w:w="1273"/>
      </w:tblGrid>
      <w:tr w:rsidR="005C6008" w:rsidRPr="00E10730" w14:paraId="465AFB34" w14:textId="77777777">
        <w:trPr>
          <w:trHeight w:val="260"/>
        </w:trPr>
        <w:tc>
          <w:tcPr>
            <w:tcW w:w="6541" w:type="dxa"/>
            <w:tcBorders>
              <w:top w:val="nil"/>
              <w:left w:val="nil"/>
              <w:bottom w:val="nil"/>
              <w:right w:val="nil"/>
            </w:tcBorders>
            <w:shd w:val="clear" w:color="FFFFFF" w:fill="FFFFFF"/>
            <w:vAlign w:val="bottom"/>
          </w:tcPr>
          <w:p w14:paraId="3E9FA9EC"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4.2B: Net gains or losses on financial assets</w:t>
            </w:r>
          </w:p>
        </w:tc>
        <w:tc>
          <w:tcPr>
            <w:tcW w:w="1273" w:type="dxa"/>
            <w:tcBorders>
              <w:top w:val="nil"/>
              <w:left w:val="nil"/>
              <w:bottom w:val="nil"/>
              <w:right w:val="nil"/>
            </w:tcBorders>
            <w:shd w:val="clear" w:color="FFFFFF" w:fill="FFFFFF"/>
            <w:vAlign w:val="bottom"/>
          </w:tcPr>
          <w:p w14:paraId="0E468AD2"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273" w:type="dxa"/>
            <w:tcBorders>
              <w:top w:val="nil"/>
              <w:left w:val="nil"/>
              <w:bottom w:val="nil"/>
              <w:right w:val="nil"/>
            </w:tcBorders>
            <w:shd w:val="clear" w:color="FFFFFF" w:fill="FFFFFF"/>
            <w:vAlign w:val="bottom"/>
          </w:tcPr>
          <w:p w14:paraId="434843B9"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7A18DDFE" w14:textId="77777777">
        <w:trPr>
          <w:trHeight w:val="260"/>
        </w:trPr>
        <w:tc>
          <w:tcPr>
            <w:tcW w:w="6541" w:type="dxa"/>
            <w:tcBorders>
              <w:top w:val="nil"/>
              <w:left w:val="nil"/>
              <w:bottom w:val="nil"/>
              <w:right w:val="nil"/>
            </w:tcBorders>
            <w:shd w:val="clear" w:color="FFFFFF" w:fill="FFFFFF"/>
            <w:vAlign w:val="bottom"/>
          </w:tcPr>
          <w:p w14:paraId="2B63E26B"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Financial assets at amortised cost</w:t>
            </w:r>
          </w:p>
        </w:tc>
        <w:tc>
          <w:tcPr>
            <w:tcW w:w="1273" w:type="dxa"/>
            <w:tcBorders>
              <w:top w:val="nil"/>
              <w:left w:val="nil"/>
              <w:bottom w:val="nil"/>
              <w:right w:val="nil"/>
            </w:tcBorders>
            <w:shd w:val="clear" w:color="FFFFFF" w:fill="FFFFFF"/>
            <w:vAlign w:val="bottom"/>
          </w:tcPr>
          <w:p w14:paraId="31F1E542"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273" w:type="dxa"/>
            <w:tcBorders>
              <w:top w:val="nil"/>
              <w:left w:val="nil"/>
              <w:bottom w:val="nil"/>
              <w:right w:val="nil"/>
            </w:tcBorders>
            <w:shd w:val="clear" w:color="FFFFFF" w:fill="FFFFFF"/>
            <w:vAlign w:val="bottom"/>
          </w:tcPr>
          <w:p w14:paraId="27F4EC45"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6E3E0F90" w14:textId="77777777">
        <w:trPr>
          <w:trHeight w:val="250"/>
        </w:trPr>
        <w:tc>
          <w:tcPr>
            <w:tcW w:w="6541" w:type="dxa"/>
            <w:tcBorders>
              <w:top w:val="nil"/>
              <w:left w:val="nil"/>
              <w:bottom w:val="nil"/>
              <w:right w:val="nil"/>
            </w:tcBorders>
            <w:shd w:val="clear" w:color="FFFFFF" w:fill="FFFFFF"/>
            <w:vAlign w:val="bottom"/>
          </w:tcPr>
          <w:p w14:paraId="27094BB1"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Interest revenue</w:t>
            </w:r>
          </w:p>
        </w:tc>
        <w:tc>
          <w:tcPr>
            <w:tcW w:w="1273" w:type="dxa"/>
            <w:tcBorders>
              <w:top w:val="nil"/>
              <w:left w:val="nil"/>
              <w:bottom w:val="nil"/>
              <w:right w:val="nil"/>
            </w:tcBorders>
            <w:shd w:val="clear" w:color="FFFFFF" w:fill="FFFFFF"/>
            <w:vAlign w:val="bottom"/>
          </w:tcPr>
          <w:p w14:paraId="2AA986D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488,166</w:t>
            </w:r>
          </w:p>
        </w:tc>
        <w:tc>
          <w:tcPr>
            <w:tcW w:w="1273" w:type="dxa"/>
            <w:tcBorders>
              <w:top w:val="nil"/>
              <w:left w:val="nil"/>
              <w:bottom w:val="nil"/>
              <w:right w:val="nil"/>
            </w:tcBorders>
            <w:shd w:val="clear" w:color="FFFFFF" w:fill="FFFFFF"/>
            <w:vAlign w:val="bottom"/>
          </w:tcPr>
          <w:p w14:paraId="44A7A3A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503,159</w:t>
            </w:r>
          </w:p>
        </w:tc>
      </w:tr>
      <w:tr w:rsidR="005C6008" w:rsidRPr="00E10730" w14:paraId="3F21A0B8" w14:textId="77777777">
        <w:trPr>
          <w:trHeight w:val="250"/>
        </w:trPr>
        <w:tc>
          <w:tcPr>
            <w:tcW w:w="6541" w:type="dxa"/>
            <w:tcBorders>
              <w:top w:val="nil"/>
              <w:left w:val="nil"/>
              <w:bottom w:val="nil"/>
              <w:right w:val="nil"/>
            </w:tcBorders>
            <w:shd w:val="clear" w:color="FFFFFF" w:fill="FFFFFF"/>
            <w:vAlign w:val="bottom"/>
          </w:tcPr>
          <w:p w14:paraId="5DE7F59B"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Net gains/(losses) on financial assets at amortised cost</w:t>
            </w:r>
          </w:p>
        </w:tc>
        <w:tc>
          <w:tcPr>
            <w:tcW w:w="1273" w:type="dxa"/>
            <w:tcBorders>
              <w:top w:val="single" w:sz="4" w:space="0" w:color="auto"/>
              <w:left w:val="nil"/>
              <w:bottom w:val="single" w:sz="4" w:space="0" w:color="auto"/>
              <w:right w:val="nil"/>
            </w:tcBorders>
            <w:shd w:val="clear" w:color="FFFFFF" w:fill="FFFFFF"/>
            <w:vAlign w:val="bottom"/>
          </w:tcPr>
          <w:p w14:paraId="26C62389"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488,166</w:t>
            </w:r>
          </w:p>
        </w:tc>
        <w:tc>
          <w:tcPr>
            <w:tcW w:w="1273" w:type="dxa"/>
            <w:tcBorders>
              <w:top w:val="single" w:sz="4" w:space="0" w:color="auto"/>
              <w:left w:val="nil"/>
              <w:bottom w:val="single" w:sz="4" w:space="0" w:color="auto"/>
              <w:right w:val="nil"/>
            </w:tcBorders>
            <w:shd w:val="clear" w:color="FFFFFF" w:fill="FFFFFF"/>
            <w:vAlign w:val="bottom"/>
          </w:tcPr>
          <w:p w14:paraId="1A4E0BA6"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503,159</w:t>
            </w:r>
          </w:p>
        </w:tc>
      </w:tr>
      <w:tr w:rsidR="005C6008" w:rsidRPr="00E10730" w14:paraId="7AA8169C" w14:textId="77777777">
        <w:trPr>
          <w:trHeight w:val="250"/>
        </w:trPr>
        <w:tc>
          <w:tcPr>
            <w:tcW w:w="6541" w:type="dxa"/>
            <w:tcBorders>
              <w:top w:val="nil"/>
              <w:left w:val="nil"/>
              <w:bottom w:val="nil"/>
              <w:right w:val="nil"/>
            </w:tcBorders>
            <w:shd w:val="clear" w:color="FFFFFF" w:fill="FFFFFF"/>
            <w:vAlign w:val="bottom"/>
          </w:tcPr>
          <w:p w14:paraId="081F7C47"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Net gains/(losses) on financial assets</w:t>
            </w:r>
          </w:p>
        </w:tc>
        <w:tc>
          <w:tcPr>
            <w:tcW w:w="1273" w:type="dxa"/>
            <w:tcBorders>
              <w:top w:val="nil"/>
              <w:left w:val="nil"/>
              <w:bottom w:val="single" w:sz="4" w:space="0" w:color="auto"/>
              <w:right w:val="nil"/>
            </w:tcBorders>
            <w:shd w:val="clear" w:color="FFFFFF" w:fill="FFFFFF"/>
            <w:vAlign w:val="bottom"/>
          </w:tcPr>
          <w:p w14:paraId="3AEF6392"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488,166</w:t>
            </w:r>
          </w:p>
        </w:tc>
        <w:tc>
          <w:tcPr>
            <w:tcW w:w="1273" w:type="dxa"/>
            <w:tcBorders>
              <w:top w:val="nil"/>
              <w:left w:val="nil"/>
              <w:bottom w:val="single" w:sz="4" w:space="0" w:color="auto"/>
              <w:right w:val="nil"/>
            </w:tcBorders>
            <w:shd w:val="clear" w:color="FFFFFF" w:fill="FFFFFF"/>
            <w:vAlign w:val="bottom"/>
          </w:tcPr>
          <w:p w14:paraId="0CCB9F3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503,159</w:t>
            </w:r>
          </w:p>
        </w:tc>
      </w:tr>
    </w:tbl>
    <w:p w14:paraId="1D7854C3" w14:textId="77777777"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240" w:after="40" w:line="240" w:lineRule="auto"/>
        <w:rPr>
          <w:rFonts w:eastAsia="Calibri" w:cs="Arial"/>
          <w:b/>
          <w:bCs/>
          <w:sz w:val="18"/>
          <w:szCs w:val="18"/>
        </w:rPr>
      </w:pPr>
      <w:r w:rsidRPr="00E10730">
        <w:rPr>
          <w:rFonts w:eastAsia="Calibri" w:cs="Arial"/>
          <w:b/>
          <w:bCs/>
          <w:sz w:val="18"/>
          <w:szCs w:val="18"/>
        </w:rPr>
        <w:t>Accounting Policy</w:t>
      </w:r>
    </w:p>
    <w:p w14:paraId="2C587A82" w14:textId="77777777"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240" w:after="0" w:line="240" w:lineRule="auto"/>
        <w:rPr>
          <w:rFonts w:eastAsia="Calibri" w:cs="Arial"/>
          <w:sz w:val="18"/>
          <w:szCs w:val="18"/>
          <w:u w:val="single"/>
        </w:rPr>
      </w:pPr>
      <w:r w:rsidRPr="00E10730">
        <w:rPr>
          <w:rFonts w:eastAsia="Calibri" w:cs="Arial"/>
          <w:sz w:val="18"/>
          <w:szCs w:val="18"/>
          <w:u w:val="single"/>
        </w:rPr>
        <w:t>Financial Assets</w:t>
      </w:r>
    </w:p>
    <w:p w14:paraId="59609382" w14:textId="77777777"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120" w:after="40" w:line="240" w:lineRule="auto"/>
        <w:rPr>
          <w:rFonts w:eastAsia="Calibri" w:cs="Arial"/>
          <w:sz w:val="18"/>
          <w:szCs w:val="18"/>
        </w:rPr>
      </w:pPr>
      <w:r w:rsidRPr="00E10730">
        <w:rPr>
          <w:rFonts w:eastAsia="Calibri" w:cs="Arial"/>
          <w:sz w:val="18"/>
          <w:szCs w:val="18"/>
        </w:rPr>
        <w:t>All of the Agency’s financial assets have been classified as financial assets measured at amortised cost. Financial assets at amortised costs must be:</w:t>
      </w:r>
    </w:p>
    <w:p w14:paraId="6907CA99" w14:textId="77777777"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120" w:after="40" w:line="240" w:lineRule="auto"/>
        <w:rPr>
          <w:rFonts w:eastAsia="Calibri" w:cs="Arial"/>
          <w:sz w:val="18"/>
          <w:szCs w:val="18"/>
        </w:rPr>
      </w:pPr>
      <w:r w:rsidRPr="00E10730">
        <w:rPr>
          <w:rFonts w:eastAsia="Calibri" w:cs="Arial"/>
          <w:sz w:val="18"/>
          <w:szCs w:val="18"/>
        </w:rPr>
        <w:t>1. held in order to collect the contractual cash flows; and</w:t>
      </w:r>
    </w:p>
    <w:p w14:paraId="6AF450C2" w14:textId="77777777"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120" w:after="40" w:line="240" w:lineRule="auto"/>
        <w:rPr>
          <w:rFonts w:eastAsia="Calibri" w:cs="Arial"/>
          <w:sz w:val="18"/>
          <w:szCs w:val="18"/>
        </w:rPr>
      </w:pPr>
      <w:r w:rsidRPr="00E10730">
        <w:rPr>
          <w:rFonts w:eastAsia="Calibri" w:cs="Arial"/>
          <w:sz w:val="18"/>
          <w:szCs w:val="18"/>
        </w:rPr>
        <w:t>2. their cash flows must be solely payments of principal and interest (SPPI) on the principal outstanding amount.</w:t>
      </w:r>
    </w:p>
    <w:p w14:paraId="39CB0203" w14:textId="77777777"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120" w:after="40" w:line="240" w:lineRule="auto"/>
        <w:rPr>
          <w:rFonts w:eastAsia="Calibri" w:cs="Arial"/>
          <w:sz w:val="18"/>
          <w:szCs w:val="18"/>
        </w:rPr>
      </w:pPr>
      <w:r w:rsidRPr="00E10730">
        <w:rPr>
          <w:rFonts w:eastAsia="Calibri" w:cs="Arial"/>
          <w:sz w:val="18"/>
          <w:szCs w:val="18"/>
        </w:rPr>
        <w:t>Amortised cost is determined using the effective interest method.</w:t>
      </w:r>
    </w:p>
    <w:p w14:paraId="3C18F758" w14:textId="77777777"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120" w:after="40" w:line="240" w:lineRule="auto"/>
        <w:rPr>
          <w:rFonts w:eastAsia="Calibri" w:cs="Arial"/>
          <w:sz w:val="18"/>
          <w:szCs w:val="18"/>
        </w:rPr>
      </w:pPr>
      <w:r w:rsidRPr="00E10730">
        <w:rPr>
          <w:rFonts w:eastAsia="Calibri" w:cs="Arial"/>
          <w:sz w:val="18"/>
          <w:szCs w:val="18"/>
        </w:rPr>
        <w:t>Financial assets are recognised when the entity becomes a party to the contract and, as a consequence, has a legal right to receive cash or a legal obligation to pay cash and derecognised when the contractual rights to the cash flows from the financial asset expire or are transferred upon trade date.</w:t>
      </w:r>
    </w:p>
    <w:p w14:paraId="24D5C509" w14:textId="77777777"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120" w:after="40" w:line="240" w:lineRule="auto"/>
        <w:rPr>
          <w:rFonts w:eastAsia="Calibri" w:cs="Arial"/>
          <w:sz w:val="18"/>
          <w:szCs w:val="18"/>
        </w:rPr>
      </w:pPr>
      <w:r w:rsidRPr="00E10730">
        <w:rPr>
          <w:rFonts w:eastAsia="Calibri" w:cs="Arial"/>
          <w:sz w:val="18"/>
          <w:szCs w:val="18"/>
        </w:rPr>
        <w:t>Trade receivables and other receivables are recognised at the nominal amounts due less any impairment allowance amount. The collectability is assessed periodically with impairment allowances made when there is evidence that the Agency will not be able to collect the debt.</w:t>
      </w:r>
    </w:p>
    <w:p w14:paraId="37F4AA7C" w14:textId="77777777"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120" w:after="40" w:line="240" w:lineRule="auto"/>
        <w:rPr>
          <w:rFonts w:eastAsia="Calibri" w:cs="Arial"/>
          <w:sz w:val="18"/>
          <w:szCs w:val="18"/>
        </w:rPr>
      </w:pPr>
      <w:r w:rsidRPr="00E10730">
        <w:rPr>
          <w:rFonts w:eastAsia="Calibri" w:cs="Arial"/>
          <w:sz w:val="18"/>
          <w:szCs w:val="18"/>
        </w:rPr>
        <w:t>The accounting policy for financial assets is contained in Note 2.1 Financial Assets.</w:t>
      </w:r>
    </w:p>
    <w:p w14:paraId="403D2413" w14:textId="77777777"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240" w:after="0" w:line="240" w:lineRule="auto"/>
        <w:rPr>
          <w:rFonts w:eastAsia="Calibri" w:cs="Arial"/>
          <w:sz w:val="18"/>
          <w:szCs w:val="18"/>
          <w:u w:val="single"/>
        </w:rPr>
      </w:pPr>
      <w:r w:rsidRPr="00E10730">
        <w:rPr>
          <w:rFonts w:eastAsia="Calibri" w:cs="Arial"/>
          <w:sz w:val="18"/>
          <w:szCs w:val="18"/>
          <w:u w:val="single"/>
        </w:rPr>
        <w:t>Effective Interest Method</w:t>
      </w:r>
    </w:p>
    <w:p w14:paraId="049DBC41" w14:textId="77777777"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120" w:after="40" w:line="240" w:lineRule="auto"/>
        <w:rPr>
          <w:rFonts w:eastAsia="Calibri" w:cs="Arial"/>
          <w:sz w:val="18"/>
          <w:szCs w:val="18"/>
        </w:rPr>
      </w:pPr>
      <w:r w:rsidRPr="00E10730">
        <w:rPr>
          <w:rFonts w:eastAsia="Calibri" w:cs="Arial"/>
          <w:sz w:val="18"/>
          <w:szCs w:val="18"/>
        </w:rPr>
        <w:t>Income is recognised on an effective interest rate basis for financial assets that are recognised at amortised cost.</w:t>
      </w:r>
    </w:p>
    <w:p w14:paraId="324BCACD" w14:textId="77777777"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120" w:after="40" w:line="240" w:lineRule="auto"/>
        <w:rPr>
          <w:rFonts w:eastAsia="Calibri" w:cs="Arial"/>
          <w:i/>
          <w:iCs/>
          <w:sz w:val="18"/>
          <w:szCs w:val="18"/>
        </w:rPr>
      </w:pPr>
      <w:r w:rsidRPr="00E10730">
        <w:rPr>
          <w:rFonts w:eastAsia="Calibri" w:cs="Arial"/>
          <w:sz w:val="18"/>
          <w:szCs w:val="18"/>
        </w:rPr>
        <w:t>The effective interest method is a method of calculating the amortised cost of a financial instrument and allocating interest income over the relevant period. The effective interest rate is the rate that exactly discounts estimated future cash receipts through the expected life of the financial instrument, or, where appropriate, a shorter period.</w:t>
      </w:r>
    </w:p>
    <w:p w14:paraId="20AFF55D" w14:textId="77777777"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240" w:after="0" w:line="240" w:lineRule="auto"/>
        <w:rPr>
          <w:rFonts w:eastAsia="Calibri" w:cs="Arial"/>
          <w:sz w:val="18"/>
          <w:szCs w:val="18"/>
          <w:u w:val="single"/>
        </w:rPr>
      </w:pPr>
      <w:r w:rsidRPr="00E10730">
        <w:rPr>
          <w:rFonts w:eastAsia="Calibri" w:cs="Arial"/>
          <w:sz w:val="18"/>
          <w:szCs w:val="18"/>
          <w:u w:val="single"/>
        </w:rPr>
        <w:t>Impairment of financial assets</w:t>
      </w:r>
    </w:p>
    <w:p w14:paraId="1964B0ED" w14:textId="6B2E4DA3"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120" w:after="40" w:line="240" w:lineRule="auto"/>
        <w:rPr>
          <w:rFonts w:eastAsia="Calibri" w:cs="Arial"/>
          <w:sz w:val="18"/>
          <w:szCs w:val="18"/>
        </w:rPr>
      </w:pPr>
      <w:r w:rsidRPr="00E10730">
        <w:rPr>
          <w:rFonts w:eastAsia="Calibri" w:cs="Arial"/>
          <w:sz w:val="18"/>
          <w:szCs w:val="18"/>
        </w:rPr>
        <w:t xml:space="preserve">Financial assets are assessed for impairment at the end of each reporting period based on expected credit losses, using the simplified approach for goods and services receivable and other receivables. Based on the Agency’s standard credit terms of 28 days, an expected credit loss allowance is recognised for all goods and services and other receivables outstanding for more than 120 days. Consistent with this policy, an impairment allowance has been recognised for the disputed portion of a contribution from states </w:t>
      </w:r>
      <w:r w:rsidR="00083268" w:rsidRPr="00E10730">
        <w:rPr>
          <w:rFonts w:eastAsia="Calibri" w:cs="Arial"/>
          <w:sz w:val="18"/>
          <w:szCs w:val="18"/>
        </w:rPr>
        <w:t>and</w:t>
      </w:r>
      <w:r w:rsidRPr="00E10730">
        <w:rPr>
          <w:rFonts w:eastAsia="Calibri" w:cs="Arial"/>
          <w:sz w:val="18"/>
          <w:szCs w:val="18"/>
        </w:rPr>
        <w:t xml:space="preserve"> territories. The Agency continues to pursue full recovery of this amount and all other impaired debts in accordance with the Agency’s debt recovery policy.</w:t>
      </w:r>
    </w:p>
    <w:p w14:paraId="3C97E400" w14:textId="3E7DD1B3" w:rsidR="005C6008" w:rsidRPr="00E10730" w:rsidRDefault="005C6008" w:rsidP="000D22A1">
      <w:pPr>
        <w:pBdr>
          <w:top w:val="single" w:sz="4" w:space="2" w:color="6B2976" w:themeColor="text1"/>
          <w:left w:val="single" w:sz="4" w:space="2" w:color="6B2976" w:themeColor="text1"/>
          <w:bottom w:val="single" w:sz="4" w:space="2" w:color="6B2976" w:themeColor="text1"/>
          <w:right w:val="single" w:sz="4" w:space="2" w:color="6B2976" w:themeColor="text1"/>
        </w:pBdr>
        <w:autoSpaceDE w:val="0"/>
        <w:autoSpaceDN w:val="0"/>
        <w:adjustRightInd w:val="0"/>
        <w:spacing w:before="120" w:after="40" w:line="240" w:lineRule="auto"/>
        <w:rPr>
          <w:rFonts w:eastAsia="Calibri" w:cs="Arial"/>
          <w:b/>
          <w:bCs/>
        </w:rPr>
      </w:pPr>
      <w:r w:rsidRPr="00E10730">
        <w:rPr>
          <w:rFonts w:eastAsia="Calibri" w:cs="Arial"/>
          <w:sz w:val="18"/>
          <w:szCs w:val="18"/>
        </w:rPr>
        <w:t>Due to their nature the Agency used the general approach to assess pandemic plan provider receivables for impairment. The Agency recognises an expected credit loss allowance for the pandemic plan receivables where providers had debts that had not been offset against claims at an agreed rate unless there was an agreed debt repayment plan in place.</w:t>
      </w:r>
      <w:r w:rsidRPr="00E10730">
        <w:rPr>
          <w:rFonts w:eastAsia="Calibri" w:cs="Arial"/>
          <w:b/>
          <w:bCs/>
        </w:rPr>
        <w:br w:type="page"/>
      </w:r>
    </w:p>
    <w:p w14:paraId="2A12BB2E" w14:textId="77777777" w:rsidR="005C6008" w:rsidRPr="00E8103A" w:rsidRDefault="005C6008" w:rsidP="00115FA3">
      <w:pPr>
        <w:autoSpaceDE w:val="0"/>
        <w:autoSpaceDN w:val="0"/>
        <w:adjustRightInd w:val="0"/>
        <w:spacing w:after="0" w:line="240" w:lineRule="auto"/>
        <w:rPr>
          <w:rStyle w:val="Strong"/>
        </w:rPr>
      </w:pPr>
      <w:r w:rsidRPr="00E8103A">
        <w:rPr>
          <w:rStyle w:val="Strong"/>
        </w:rPr>
        <w:t>National Disability Insurance Agency</w:t>
      </w:r>
    </w:p>
    <w:p w14:paraId="2BA38BC2"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3C356639" w14:textId="77777777" w:rsidR="005C6008" w:rsidRPr="00E10730" w:rsidRDefault="005C6008" w:rsidP="00115FA3">
      <w:pPr>
        <w:autoSpaceDE w:val="0"/>
        <w:autoSpaceDN w:val="0"/>
        <w:adjustRightInd w:val="0"/>
        <w:spacing w:after="0" w:line="240" w:lineRule="auto"/>
        <w:rPr>
          <w:rFonts w:eastAsia="Calibri" w:cs="Arial"/>
          <w:sz w:val="22"/>
          <w:szCs w:val="22"/>
        </w:rPr>
      </w:pPr>
    </w:p>
    <w:p w14:paraId="679F5CE4"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The simplified impairment approach always measures the loss allowance as the amount equal to the lifetime expected credit losses. The general approach measures the loss allowance based on an amount equal to lifetime expected credit losses where risk has significantly increased, or an amount equal to 12</w:t>
      </w:r>
      <w:r w:rsidRPr="00E10730">
        <w:rPr>
          <w:rFonts w:ascii="Cambria Math" w:eastAsia="Calibri" w:hAnsi="Cambria Math" w:cs="Cambria Math"/>
          <w:sz w:val="18"/>
          <w:szCs w:val="18"/>
        </w:rPr>
        <w:t>‐</w:t>
      </w:r>
      <w:r w:rsidRPr="00E10730">
        <w:rPr>
          <w:rFonts w:eastAsia="Calibri" w:cs="Arial"/>
          <w:sz w:val="18"/>
          <w:szCs w:val="18"/>
        </w:rPr>
        <w:t>month expected credit losses if risk has not increased.</w:t>
      </w:r>
    </w:p>
    <w:p w14:paraId="67BB7BE7"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Both the simplified and general impairment approaches always measure the loss allowance as the amount equal to the lifetime expected credit losses.</w:t>
      </w:r>
    </w:p>
    <w:p w14:paraId="1E8D4E65" w14:textId="77777777" w:rsidR="005C6008" w:rsidRPr="00E10730" w:rsidRDefault="005C6008" w:rsidP="00817BE2">
      <w:pPr>
        <w:pBdr>
          <w:top w:val="single" w:sz="4" w:space="2" w:color="800080"/>
          <w:left w:val="single" w:sz="4" w:space="2" w:color="800080"/>
          <w:bottom w:val="single" w:sz="4" w:space="2" w:color="800080"/>
          <w:right w:val="single" w:sz="4" w:space="2" w:color="800080"/>
        </w:pBdr>
        <w:autoSpaceDE w:val="0"/>
        <w:autoSpaceDN w:val="0"/>
        <w:adjustRightInd w:val="0"/>
        <w:spacing w:before="240" w:line="240" w:lineRule="auto"/>
        <w:rPr>
          <w:rFonts w:eastAsia="Calibri" w:cs="Arial"/>
          <w:sz w:val="18"/>
          <w:szCs w:val="18"/>
          <w:u w:val="single"/>
        </w:rPr>
      </w:pPr>
      <w:r w:rsidRPr="00E10730">
        <w:rPr>
          <w:rFonts w:eastAsia="Calibri" w:cs="Arial"/>
          <w:sz w:val="18"/>
          <w:szCs w:val="18"/>
          <w:u w:val="single"/>
        </w:rPr>
        <w:t>Financial Liabilities</w:t>
      </w:r>
    </w:p>
    <w:p w14:paraId="2E054DBD" w14:textId="77777777" w:rsidR="005C6008" w:rsidRPr="00E10730" w:rsidRDefault="005C6008" w:rsidP="00115FA3">
      <w:pPr>
        <w:pBdr>
          <w:top w:val="single" w:sz="4" w:space="2" w:color="800080"/>
          <w:left w:val="single" w:sz="4" w:space="2" w:color="800080"/>
          <w:bottom w:val="single" w:sz="4" w:space="2" w:color="800080"/>
          <w:right w:val="single" w:sz="4" w:space="2" w:color="800080"/>
        </w:pBdr>
        <w:autoSpaceDE w:val="0"/>
        <w:autoSpaceDN w:val="0"/>
        <w:adjustRightInd w:val="0"/>
        <w:spacing w:line="240" w:lineRule="auto"/>
        <w:rPr>
          <w:rFonts w:eastAsia="Calibri" w:cs="Arial"/>
          <w:sz w:val="18"/>
          <w:szCs w:val="18"/>
        </w:rPr>
      </w:pPr>
      <w:r w:rsidRPr="00E10730">
        <w:rPr>
          <w:rFonts w:eastAsia="Calibri" w:cs="Arial"/>
          <w:sz w:val="18"/>
          <w:szCs w:val="18"/>
        </w:rPr>
        <w:t>All of the Agency’s financial liabilities have been classified as financial liabilities measured at amortised cost. These liabilities are subsequently measured at amortised cost using the effective interest method, with interest expense recognised on an effective interest basis. Supplier and other payables are recognised at amortised cost. Liabilities are recognised to the extent that the goods or services have been received (and irrespective of having been invoiced).</w:t>
      </w:r>
    </w:p>
    <w:p w14:paraId="1C84055C" w14:textId="77777777" w:rsidR="005C6008" w:rsidRPr="00E10730" w:rsidRDefault="005C6008" w:rsidP="00115FA3">
      <w:pPr>
        <w:autoSpaceDE w:val="0"/>
        <w:autoSpaceDN w:val="0"/>
        <w:adjustRightInd w:val="0"/>
        <w:spacing w:after="0" w:line="240" w:lineRule="auto"/>
        <w:rPr>
          <w:rFonts w:eastAsia="Calibri" w:cs="Arial"/>
          <w:b/>
          <w:bCs/>
          <w:sz w:val="20"/>
          <w:szCs w:val="20"/>
        </w:rPr>
      </w:pPr>
      <w:r w:rsidRPr="00E10730">
        <w:rPr>
          <w:rFonts w:eastAsia="Calibri" w:cs="Arial"/>
          <w:sz w:val="22"/>
          <w:szCs w:val="22"/>
        </w:rPr>
        <w:br w:type="page"/>
      </w:r>
    </w:p>
    <w:p w14:paraId="0FCE48A8" w14:textId="77777777" w:rsidR="005C6008" w:rsidRPr="00E8103A" w:rsidRDefault="005C6008" w:rsidP="00115FA3">
      <w:pPr>
        <w:autoSpaceDE w:val="0"/>
        <w:autoSpaceDN w:val="0"/>
        <w:adjustRightInd w:val="0"/>
        <w:spacing w:after="0" w:line="240" w:lineRule="auto"/>
        <w:rPr>
          <w:rStyle w:val="Strong"/>
        </w:rPr>
      </w:pPr>
      <w:r w:rsidRPr="00E8103A">
        <w:rPr>
          <w:rStyle w:val="Strong"/>
        </w:rPr>
        <w:t>National Disability Insurance Agency</w:t>
      </w:r>
    </w:p>
    <w:p w14:paraId="77C60B47" w14:textId="77777777" w:rsidR="005C6008" w:rsidRPr="00E8103A" w:rsidRDefault="005C6008" w:rsidP="00115FA3">
      <w:pPr>
        <w:pBdr>
          <w:bottom w:val="single" w:sz="4" w:space="1" w:color="auto"/>
        </w:pBdr>
        <w:autoSpaceDE w:val="0"/>
        <w:autoSpaceDN w:val="0"/>
        <w:adjustRightInd w:val="0"/>
        <w:spacing w:after="0" w:line="240" w:lineRule="auto"/>
        <w:rPr>
          <w:rStyle w:val="Strong"/>
        </w:rPr>
      </w:pPr>
      <w:r w:rsidRPr="00E8103A">
        <w:rPr>
          <w:rStyle w:val="Strong"/>
        </w:rPr>
        <w:t>NOTES TO AND FORMING PART OF THE FINANCIAL STATEMENTS</w:t>
      </w:r>
    </w:p>
    <w:p w14:paraId="03AB901E" w14:textId="77777777" w:rsidR="005C6008" w:rsidRPr="00E10730" w:rsidRDefault="005C6008" w:rsidP="00115FA3">
      <w:pPr>
        <w:shd w:val="clear" w:color="auto" w:fill="800080"/>
        <w:autoSpaceDE w:val="0"/>
        <w:autoSpaceDN w:val="0"/>
        <w:adjustRightInd w:val="0"/>
        <w:spacing w:before="240" w:after="0" w:line="240" w:lineRule="auto"/>
        <w:ind w:left="360" w:hanging="360"/>
        <w:rPr>
          <w:rFonts w:eastAsia="Calibri" w:cs="Arial"/>
          <w:b/>
          <w:bCs/>
          <w:color w:val="FFFFFF"/>
        </w:rPr>
      </w:pPr>
      <w:r w:rsidRPr="00E10730">
        <w:rPr>
          <w:rFonts w:eastAsia="Calibri" w:cs="Arial"/>
          <w:b/>
          <w:bCs/>
        </w:rPr>
        <w:t>5.</w:t>
      </w:r>
      <w:r w:rsidRPr="00E10730">
        <w:rPr>
          <w:rFonts w:eastAsia="Calibri" w:cs="Arial"/>
          <w:b/>
          <w:bCs/>
        </w:rPr>
        <w:tab/>
      </w:r>
      <w:r w:rsidRPr="00E10730">
        <w:rPr>
          <w:rFonts w:eastAsia="Calibri" w:cs="Arial"/>
          <w:b/>
          <w:bCs/>
          <w:color w:val="FFFFFF"/>
        </w:rPr>
        <w:t>Other Information</w:t>
      </w:r>
    </w:p>
    <w:p w14:paraId="67C482F9" w14:textId="77777777" w:rsidR="005C6008" w:rsidRPr="00E10730" w:rsidRDefault="005C6008" w:rsidP="00115FA3">
      <w:pPr>
        <w:shd w:val="clear" w:color="auto" w:fill="000000"/>
        <w:autoSpaceDE w:val="0"/>
        <w:autoSpaceDN w:val="0"/>
        <w:adjustRightInd w:val="0"/>
        <w:spacing w:after="0" w:line="240" w:lineRule="auto"/>
        <w:ind w:left="426" w:hanging="426"/>
        <w:rPr>
          <w:rFonts w:eastAsia="Calibri" w:cs="Arial"/>
          <w:b/>
          <w:bCs/>
          <w:color w:val="FFFFFF"/>
          <w:sz w:val="20"/>
          <w:szCs w:val="20"/>
        </w:rPr>
      </w:pPr>
      <w:r w:rsidRPr="00E10730">
        <w:rPr>
          <w:rFonts w:eastAsia="Calibri" w:cs="Arial"/>
          <w:b/>
          <w:bCs/>
          <w:color w:val="FFFFFF"/>
          <w:sz w:val="20"/>
          <w:szCs w:val="20"/>
        </w:rPr>
        <w:t>5.1.</w:t>
      </w:r>
      <w:r w:rsidRPr="00E10730">
        <w:rPr>
          <w:rFonts w:eastAsia="Calibri" w:cs="Arial"/>
          <w:b/>
          <w:bCs/>
          <w:color w:val="FFFFFF"/>
          <w:sz w:val="20"/>
          <w:szCs w:val="20"/>
        </w:rPr>
        <w:tab/>
        <w:t>Current/Non-current Distinction for Assets and Liabilities</w:t>
      </w:r>
    </w:p>
    <w:tbl>
      <w:tblPr>
        <w:tblW w:w="0" w:type="auto"/>
        <w:tblLayout w:type="fixed"/>
        <w:tblLook w:val="0000" w:firstRow="0" w:lastRow="0" w:firstColumn="0" w:lastColumn="0" w:noHBand="0" w:noVBand="0"/>
      </w:tblPr>
      <w:tblGrid>
        <w:gridCol w:w="6553"/>
        <w:gridCol w:w="1417"/>
        <w:gridCol w:w="1117"/>
      </w:tblGrid>
      <w:tr w:rsidR="005C6008" w:rsidRPr="00E10730" w14:paraId="1940F9F9" w14:textId="77777777">
        <w:trPr>
          <w:trHeight w:val="253"/>
        </w:trPr>
        <w:tc>
          <w:tcPr>
            <w:tcW w:w="6553" w:type="dxa"/>
            <w:tcBorders>
              <w:top w:val="nil"/>
              <w:left w:val="nil"/>
              <w:bottom w:val="nil"/>
              <w:right w:val="nil"/>
            </w:tcBorders>
            <w:shd w:val="clear" w:color="FFFFFF" w:fill="FFFFFF"/>
            <w:vAlign w:val="bottom"/>
          </w:tcPr>
          <w:p w14:paraId="78E16D82"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417" w:type="dxa"/>
            <w:tcBorders>
              <w:top w:val="nil"/>
              <w:left w:val="nil"/>
              <w:bottom w:val="nil"/>
              <w:right w:val="nil"/>
            </w:tcBorders>
            <w:shd w:val="clear" w:color="FFFFFF" w:fill="FFFFFF"/>
            <w:vAlign w:val="bottom"/>
          </w:tcPr>
          <w:p w14:paraId="7B33195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2026</w:t>
            </w:r>
          </w:p>
        </w:tc>
        <w:tc>
          <w:tcPr>
            <w:tcW w:w="1117" w:type="dxa"/>
            <w:tcBorders>
              <w:top w:val="nil"/>
              <w:left w:val="nil"/>
              <w:bottom w:val="nil"/>
              <w:right w:val="nil"/>
            </w:tcBorders>
            <w:shd w:val="clear" w:color="FFFFFF" w:fill="FFFFFF"/>
            <w:vAlign w:val="bottom"/>
          </w:tcPr>
          <w:p w14:paraId="7261492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2025</w:t>
            </w:r>
          </w:p>
        </w:tc>
      </w:tr>
      <w:tr w:rsidR="005C6008" w:rsidRPr="00E10730" w14:paraId="073C5BBD" w14:textId="77777777">
        <w:trPr>
          <w:trHeight w:val="253"/>
        </w:trPr>
        <w:tc>
          <w:tcPr>
            <w:tcW w:w="6553" w:type="dxa"/>
            <w:tcBorders>
              <w:top w:val="nil"/>
              <w:left w:val="nil"/>
              <w:bottom w:val="nil"/>
              <w:right w:val="nil"/>
            </w:tcBorders>
            <w:shd w:val="clear" w:color="FFFFFF" w:fill="FFFFFF"/>
            <w:vAlign w:val="bottom"/>
          </w:tcPr>
          <w:p w14:paraId="6CC288F7"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417" w:type="dxa"/>
            <w:tcBorders>
              <w:top w:val="nil"/>
              <w:left w:val="nil"/>
              <w:bottom w:val="nil"/>
              <w:right w:val="nil"/>
            </w:tcBorders>
            <w:shd w:val="clear" w:color="FFFFFF" w:fill="FFFFFF"/>
            <w:vAlign w:val="bottom"/>
          </w:tcPr>
          <w:p w14:paraId="7E0D5ED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$'000</w:t>
            </w:r>
          </w:p>
        </w:tc>
        <w:tc>
          <w:tcPr>
            <w:tcW w:w="1117" w:type="dxa"/>
            <w:tcBorders>
              <w:top w:val="nil"/>
              <w:left w:val="nil"/>
              <w:bottom w:val="nil"/>
              <w:right w:val="nil"/>
            </w:tcBorders>
            <w:shd w:val="clear" w:color="FFFFFF" w:fill="FFFFFF"/>
            <w:vAlign w:val="bottom"/>
          </w:tcPr>
          <w:p w14:paraId="61FB782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$'000</w:t>
            </w:r>
          </w:p>
        </w:tc>
      </w:tr>
      <w:tr w:rsidR="005C6008" w:rsidRPr="00E10730" w14:paraId="4D713EED" w14:textId="77777777">
        <w:trPr>
          <w:trHeight w:val="253"/>
        </w:trPr>
        <w:tc>
          <w:tcPr>
            <w:tcW w:w="6553" w:type="dxa"/>
            <w:tcBorders>
              <w:top w:val="nil"/>
              <w:left w:val="nil"/>
              <w:bottom w:val="nil"/>
              <w:right w:val="nil"/>
            </w:tcBorders>
            <w:shd w:val="clear" w:color="FFFFFF" w:fill="FFFFFF"/>
            <w:vAlign w:val="bottom"/>
          </w:tcPr>
          <w:p w14:paraId="31981BA8" w14:textId="77777777" w:rsidR="005C6008" w:rsidRPr="00E10730" w:rsidRDefault="005C6008" w:rsidP="00115FA3">
            <w:pPr>
              <w:autoSpaceDE w:val="0"/>
              <w:autoSpaceDN w:val="0"/>
              <w:adjustRightInd w:val="0"/>
              <w:spacing w:after="0" w:line="240" w:lineRule="auto"/>
              <w:rPr>
                <w:rFonts w:eastAsia="Calibri" w:cs="Arial"/>
                <w:b/>
                <w:bCs/>
                <w:sz w:val="18"/>
                <w:szCs w:val="18"/>
                <w:u w:val="single"/>
              </w:rPr>
            </w:pPr>
            <w:r w:rsidRPr="00E10730">
              <w:rPr>
                <w:rFonts w:eastAsia="Calibri" w:cs="Arial"/>
                <w:b/>
                <w:bCs/>
                <w:sz w:val="18"/>
                <w:szCs w:val="18"/>
                <w:u w:val="single"/>
              </w:rPr>
              <w:t>Note 5.1: Current/non-current distinction for assets and liabilities</w:t>
            </w:r>
          </w:p>
        </w:tc>
        <w:tc>
          <w:tcPr>
            <w:tcW w:w="1417" w:type="dxa"/>
            <w:tcBorders>
              <w:top w:val="nil"/>
              <w:left w:val="nil"/>
              <w:bottom w:val="nil"/>
              <w:right w:val="nil"/>
            </w:tcBorders>
            <w:shd w:val="clear" w:color="FFFFFF" w:fill="FFFFFF"/>
            <w:vAlign w:val="bottom"/>
          </w:tcPr>
          <w:p w14:paraId="3369C623"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17" w:type="dxa"/>
            <w:tcBorders>
              <w:top w:val="nil"/>
              <w:left w:val="nil"/>
              <w:bottom w:val="nil"/>
              <w:right w:val="nil"/>
            </w:tcBorders>
            <w:shd w:val="clear" w:color="FFFFFF" w:fill="FFFFFF"/>
            <w:vAlign w:val="bottom"/>
          </w:tcPr>
          <w:p w14:paraId="7BE2F8D7"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0C0FCACB" w14:textId="77777777">
        <w:trPr>
          <w:trHeight w:val="253"/>
        </w:trPr>
        <w:tc>
          <w:tcPr>
            <w:tcW w:w="6553" w:type="dxa"/>
            <w:tcBorders>
              <w:top w:val="nil"/>
              <w:left w:val="nil"/>
              <w:bottom w:val="nil"/>
              <w:right w:val="nil"/>
            </w:tcBorders>
            <w:shd w:val="clear" w:color="FFFFFF" w:fill="FFFFFF"/>
            <w:vAlign w:val="bottom"/>
          </w:tcPr>
          <w:p w14:paraId="0C87D674"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417" w:type="dxa"/>
            <w:tcBorders>
              <w:top w:val="nil"/>
              <w:left w:val="nil"/>
              <w:bottom w:val="nil"/>
              <w:right w:val="nil"/>
            </w:tcBorders>
            <w:shd w:val="clear" w:color="FFFFFF" w:fill="FFFFFF"/>
            <w:vAlign w:val="bottom"/>
          </w:tcPr>
          <w:p w14:paraId="523AD723"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17" w:type="dxa"/>
            <w:tcBorders>
              <w:top w:val="nil"/>
              <w:left w:val="nil"/>
              <w:bottom w:val="nil"/>
              <w:right w:val="nil"/>
            </w:tcBorders>
            <w:shd w:val="clear" w:color="FFFFFF" w:fill="FFFFFF"/>
            <w:vAlign w:val="bottom"/>
          </w:tcPr>
          <w:p w14:paraId="365C3FFE"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716759EF" w14:textId="77777777">
        <w:trPr>
          <w:trHeight w:val="253"/>
        </w:trPr>
        <w:tc>
          <w:tcPr>
            <w:tcW w:w="6553" w:type="dxa"/>
            <w:tcBorders>
              <w:top w:val="nil"/>
              <w:left w:val="nil"/>
              <w:bottom w:val="nil"/>
              <w:right w:val="nil"/>
            </w:tcBorders>
            <w:shd w:val="clear" w:color="FFFFFF" w:fill="FFFFFF"/>
            <w:vAlign w:val="bottom"/>
          </w:tcPr>
          <w:p w14:paraId="54E38737"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Assets expected to be recovered in:</w:t>
            </w:r>
          </w:p>
        </w:tc>
        <w:tc>
          <w:tcPr>
            <w:tcW w:w="1417" w:type="dxa"/>
            <w:tcBorders>
              <w:top w:val="nil"/>
              <w:left w:val="nil"/>
              <w:bottom w:val="nil"/>
              <w:right w:val="nil"/>
            </w:tcBorders>
            <w:shd w:val="clear" w:color="FFFFFF" w:fill="FFFFFF"/>
            <w:vAlign w:val="bottom"/>
          </w:tcPr>
          <w:p w14:paraId="37C72F09"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17" w:type="dxa"/>
            <w:tcBorders>
              <w:top w:val="nil"/>
              <w:left w:val="nil"/>
              <w:bottom w:val="nil"/>
              <w:right w:val="nil"/>
            </w:tcBorders>
            <w:shd w:val="clear" w:color="FFFFFF" w:fill="FFFFFF"/>
            <w:vAlign w:val="bottom"/>
          </w:tcPr>
          <w:p w14:paraId="6F642EE1"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2626D1F9" w14:textId="77777777">
        <w:trPr>
          <w:trHeight w:val="253"/>
        </w:trPr>
        <w:tc>
          <w:tcPr>
            <w:tcW w:w="6553" w:type="dxa"/>
            <w:tcBorders>
              <w:top w:val="nil"/>
              <w:left w:val="nil"/>
              <w:bottom w:val="nil"/>
              <w:right w:val="nil"/>
            </w:tcBorders>
            <w:shd w:val="clear" w:color="FFFFFF" w:fill="FFFFFF"/>
            <w:vAlign w:val="bottom"/>
          </w:tcPr>
          <w:p w14:paraId="24F20AC1"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No more than 12 months</w:t>
            </w:r>
          </w:p>
        </w:tc>
        <w:tc>
          <w:tcPr>
            <w:tcW w:w="1417" w:type="dxa"/>
            <w:tcBorders>
              <w:top w:val="nil"/>
              <w:left w:val="nil"/>
              <w:bottom w:val="nil"/>
              <w:right w:val="nil"/>
            </w:tcBorders>
            <w:shd w:val="clear" w:color="FFFFFF" w:fill="FFFFFF"/>
            <w:vAlign w:val="bottom"/>
          </w:tcPr>
          <w:p w14:paraId="74935B5D"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17" w:type="dxa"/>
            <w:tcBorders>
              <w:top w:val="nil"/>
              <w:left w:val="nil"/>
              <w:bottom w:val="nil"/>
              <w:right w:val="nil"/>
            </w:tcBorders>
            <w:shd w:val="clear" w:color="FFFFFF" w:fill="FFFFFF"/>
            <w:vAlign w:val="bottom"/>
          </w:tcPr>
          <w:p w14:paraId="5424E30A"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0C1603DE" w14:textId="77777777">
        <w:trPr>
          <w:trHeight w:val="253"/>
        </w:trPr>
        <w:tc>
          <w:tcPr>
            <w:tcW w:w="6553" w:type="dxa"/>
            <w:tcBorders>
              <w:top w:val="nil"/>
              <w:left w:val="nil"/>
              <w:bottom w:val="nil"/>
              <w:right w:val="nil"/>
            </w:tcBorders>
            <w:shd w:val="clear" w:color="FFFFFF" w:fill="FFFFFF"/>
            <w:vAlign w:val="bottom"/>
          </w:tcPr>
          <w:p w14:paraId="3A52010B"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Cash and cash equivalents</w:t>
            </w:r>
          </w:p>
        </w:tc>
        <w:tc>
          <w:tcPr>
            <w:tcW w:w="1417" w:type="dxa"/>
            <w:tcBorders>
              <w:top w:val="nil"/>
              <w:left w:val="nil"/>
              <w:bottom w:val="nil"/>
              <w:right w:val="nil"/>
            </w:tcBorders>
            <w:shd w:val="clear" w:color="FFFFFF" w:fill="FFFFFF"/>
            <w:vAlign w:val="bottom"/>
          </w:tcPr>
          <w:p w14:paraId="76FED6B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6,055,806</w:t>
            </w:r>
          </w:p>
        </w:tc>
        <w:tc>
          <w:tcPr>
            <w:tcW w:w="1117" w:type="dxa"/>
            <w:tcBorders>
              <w:top w:val="nil"/>
              <w:left w:val="nil"/>
              <w:bottom w:val="nil"/>
              <w:right w:val="nil"/>
            </w:tcBorders>
            <w:shd w:val="clear" w:color="FFFFFF" w:fill="FFFFFF"/>
            <w:vAlign w:val="bottom"/>
          </w:tcPr>
          <w:p w14:paraId="297F1A05"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6,228,958</w:t>
            </w:r>
          </w:p>
        </w:tc>
      </w:tr>
      <w:tr w:rsidR="005C6008" w:rsidRPr="00E10730" w14:paraId="34ACEC7B" w14:textId="77777777">
        <w:trPr>
          <w:trHeight w:val="253"/>
        </w:trPr>
        <w:tc>
          <w:tcPr>
            <w:tcW w:w="6553" w:type="dxa"/>
            <w:tcBorders>
              <w:top w:val="nil"/>
              <w:left w:val="nil"/>
              <w:bottom w:val="nil"/>
              <w:right w:val="nil"/>
            </w:tcBorders>
            <w:shd w:val="clear" w:color="FFFFFF" w:fill="FFFFFF"/>
            <w:vAlign w:val="bottom"/>
          </w:tcPr>
          <w:p w14:paraId="439F0B27"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Trade and other receivables</w:t>
            </w:r>
          </w:p>
        </w:tc>
        <w:tc>
          <w:tcPr>
            <w:tcW w:w="1417" w:type="dxa"/>
            <w:tcBorders>
              <w:top w:val="nil"/>
              <w:left w:val="nil"/>
              <w:bottom w:val="nil"/>
              <w:right w:val="nil"/>
            </w:tcBorders>
            <w:shd w:val="clear" w:color="FFFFFF" w:fill="FFFFFF"/>
            <w:vAlign w:val="bottom"/>
          </w:tcPr>
          <w:p w14:paraId="477BB72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86,336</w:t>
            </w:r>
          </w:p>
        </w:tc>
        <w:tc>
          <w:tcPr>
            <w:tcW w:w="1117" w:type="dxa"/>
            <w:tcBorders>
              <w:top w:val="nil"/>
              <w:left w:val="nil"/>
              <w:bottom w:val="nil"/>
              <w:right w:val="nil"/>
            </w:tcBorders>
            <w:shd w:val="clear" w:color="FFFFFF" w:fill="FFFFFF"/>
            <w:vAlign w:val="bottom"/>
          </w:tcPr>
          <w:p w14:paraId="702E20C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108,527</w:t>
            </w:r>
          </w:p>
        </w:tc>
      </w:tr>
      <w:tr w:rsidR="005C6008" w:rsidRPr="00E10730" w14:paraId="24B4CE50" w14:textId="77777777">
        <w:trPr>
          <w:trHeight w:val="253"/>
        </w:trPr>
        <w:tc>
          <w:tcPr>
            <w:tcW w:w="6553" w:type="dxa"/>
            <w:tcBorders>
              <w:top w:val="nil"/>
              <w:left w:val="nil"/>
              <w:bottom w:val="nil"/>
              <w:right w:val="nil"/>
            </w:tcBorders>
            <w:shd w:val="clear" w:color="FFFFFF" w:fill="FFFFFF"/>
            <w:vAlign w:val="bottom"/>
          </w:tcPr>
          <w:p w14:paraId="68F8F157"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Other non-financial assets</w:t>
            </w:r>
          </w:p>
        </w:tc>
        <w:tc>
          <w:tcPr>
            <w:tcW w:w="1417" w:type="dxa"/>
            <w:tcBorders>
              <w:top w:val="nil"/>
              <w:left w:val="nil"/>
              <w:bottom w:val="nil"/>
              <w:right w:val="nil"/>
            </w:tcBorders>
            <w:shd w:val="clear" w:color="FFFFFF" w:fill="FFFFFF"/>
            <w:vAlign w:val="bottom"/>
          </w:tcPr>
          <w:p w14:paraId="314F7B7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51,216</w:t>
            </w:r>
          </w:p>
        </w:tc>
        <w:tc>
          <w:tcPr>
            <w:tcW w:w="1117" w:type="dxa"/>
            <w:tcBorders>
              <w:top w:val="nil"/>
              <w:left w:val="nil"/>
              <w:bottom w:val="nil"/>
              <w:right w:val="nil"/>
            </w:tcBorders>
            <w:shd w:val="clear" w:color="FFFFFF" w:fill="FFFFFF"/>
            <w:vAlign w:val="bottom"/>
          </w:tcPr>
          <w:p w14:paraId="5140241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36,235</w:t>
            </w:r>
          </w:p>
        </w:tc>
      </w:tr>
      <w:tr w:rsidR="005C6008" w:rsidRPr="00E10730" w14:paraId="7815FA15" w14:textId="77777777">
        <w:trPr>
          <w:trHeight w:val="253"/>
        </w:trPr>
        <w:tc>
          <w:tcPr>
            <w:tcW w:w="6553" w:type="dxa"/>
            <w:tcBorders>
              <w:top w:val="nil"/>
              <w:left w:val="nil"/>
              <w:bottom w:val="nil"/>
              <w:right w:val="nil"/>
            </w:tcBorders>
            <w:shd w:val="clear" w:color="FFFFFF" w:fill="FFFFFF"/>
            <w:vAlign w:val="bottom"/>
          </w:tcPr>
          <w:p w14:paraId="475B8BA2"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no more than 12 months</w:t>
            </w:r>
          </w:p>
        </w:tc>
        <w:tc>
          <w:tcPr>
            <w:tcW w:w="1417" w:type="dxa"/>
            <w:tcBorders>
              <w:top w:val="single" w:sz="4" w:space="0" w:color="auto"/>
              <w:left w:val="nil"/>
              <w:bottom w:val="single" w:sz="4" w:space="0" w:color="auto"/>
              <w:right w:val="nil"/>
            </w:tcBorders>
            <w:shd w:val="clear" w:color="FFFFFF" w:fill="FFFFFF"/>
            <w:vAlign w:val="bottom"/>
          </w:tcPr>
          <w:p w14:paraId="1E08A50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6,193,358</w:t>
            </w:r>
          </w:p>
        </w:tc>
        <w:tc>
          <w:tcPr>
            <w:tcW w:w="1117" w:type="dxa"/>
            <w:tcBorders>
              <w:top w:val="single" w:sz="4" w:space="0" w:color="auto"/>
              <w:left w:val="nil"/>
              <w:bottom w:val="single" w:sz="4" w:space="0" w:color="auto"/>
              <w:right w:val="nil"/>
            </w:tcBorders>
            <w:shd w:val="clear" w:color="FFFFFF" w:fill="FFFFFF"/>
            <w:vAlign w:val="bottom"/>
          </w:tcPr>
          <w:p w14:paraId="4CAF31C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6,373,720</w:t>
            </w:r>
          </w:p>
        </w:tc>
      </w:tr>
      <w:tr w:rsidR="005C6008" w:rsidRPr="00E10730" w14:paraId="306A0543" w14:textId="77777777">
        <w:trPr>
          <w:trHeight w:val="253"/>
        </w:trPr>
        <w:tc>
          <w:tcPr>
            <w:tcW w:w="6553" w:type="dxa"/>
            <w:tcBorders>
              <w:top w:val="nil"/>
              <w:left w:val="nil"/>
              <w:bottom w:val="nil"/>
              <w:right w:val="nil"/>
            </w:tcBorders>
            <w:shd w:val="clear" w:color="FFFFFF" w:fill="FFFFFF"/>
            <w:vAlign w:val="bottom"/>
          </w:tcPr>
          <w:p w14:paraId="7E27E073"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417" w:type="dxa"/>
            <w:tcBorders>
              <w:top w:val="nil"/>
              <w:left w:val="nil"/>
              <w:bottom w:val="nil"/>
              <w:right w:val="nil"/>
            </w:tcBorders>
            <w:shd w:val="clear" w:color="FFFFFF" w:fill="FFFFFF"/>
            <w:vAlign w:val="bottom"/>
          </w:tcPr>
          <w:p w14:paraId="5ADAA079"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17" w:type="dxa"/>
            <w:tcBorders>
              <w:top w:val="nil"/>
              <w:left w:val="nil"/>
              <w:bottom w:val="nil"/>
              <w:right w:val="nil"/>
            </w:tcBorders>
            <w:shd w:val="clear" w:color="FFFFFF" w:fill="FFFFFF"/>
            <w:vAlign w:val="bottom"/>
          </w:tcPr>
          <w:p w14:paraId="104B362D"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58927FEE" w14:textId="77777777">
        <w:trPr>
          <w:trHeight w:val="253"/>
        </w:trPr>
        <w:tc>
          <w:tcPr>
            <w:tcW w:w="6553" w:type="dxa"/>
            <w:tcBorders>
              <w:top w:val="nil"/>
              <w:left w:val="nil"/>
              <w:bottom w:val="nil"/>
              <w:right w:val="nil"/>
            </w:tcBorders>
            <w:shd w:val="clear" w:color="FFFFFF" w:fill="FFFFFF"/>
            <w:vAlign w:val="bottom"/>
          </w:tcPr>
          <w:p w14:paraId="6E58958E"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More than 12 months</w:t>
            </w:r>
          </w:p>
        </w:tc>
        <w:tc>
          <w:tcPr>
            <w:tcW w:w="1417" w:type="dxa"/>
            <w:tcBorders>
              <w:top w:val="nil"/>
              <w:left w:val="nil"/>
              <w:bottom w:val="nil"/>
              <w:right w:val="nil"/>
            </w:tcBorders>
            <w:shd w:val="clear" w:color="FFFFFF" w:fill="FFFFFF"/>
            <w:vAlign w:val="bottom"/>
          </w:tcPr>
          <w:p w14:paraId="576E6DF5"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17" w:type="dxa"/>
            <w:tcBorders>
              <w:top w:val="nil"/>
              <w:left w:val="nil"/>
              <w:bottom w:val="nil"/>
              <w:right w:val="nil"/>
            </w:tcBorders>
            <w:shd w:val="clear" w:color="FFFFFF" w:fill="FFFFFF"/>
            <w:vAlign w:val="bottom"/>
          </w:tcPr>
          <w:p w14:paraId="427D3622"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00492EA2" w14:textId="77777777">
        <w:trPr>
          <w:trHeight w:val="253"/>
        </w:trPr>
        <w:tc>
          <w:tcPr>
            <w:tcW w:w="6553" w:type="dxa"/>
            <w:tcBorders>
              <w:top w:val="nil"/>
              <w:left w:val="nil"/>
              <w:bottom w:val="nil"/>
              <w:right w:val="nil"/>
            </w:tcBorders>
            <w:shd w:val="clear" w:color="FFFFFF" w:fill="FFFFFF"/>
            <w:vAlign w:val="bottom"/>
          </w:tcPr>
          <w:p w14:paraId="0742B58A"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Buildings</w:t>
            </w:r>
          </w:p>
        </w:tc>
        <w:tc>
          <w:tcPr>
            <w:tcW w:w="1417" w:type="dxa"/>
            <w:tcBorders>
              <w:top w:val="nil"/>
              <w:left w:val="nil"/>
              <w:bottom w:val="nil"/>
              <w:right w:val="nil"/>
            </w:tcBorders>
            <w:shd w:val="clear" w:color="FFFFFF" w:fill="FFFFFF"/>
            <w:vAlign w:val="bottom"/>
          </w:tcPr>
          <w:p w14:paraId="253B2E1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281,398</w:t>
            </w:r>
          </w:p>
        </w:tc>
        <w:tc>
          <w:tcPr>
            <w:tcW w:w="1117" w:type="dxa"/>
            <w:tcBorders>
              <w:top w:val="nil"/>
              <w:left w:val="nil"/>
              <w:bottom w:val="nil"/>
              <w:right w:val="nil"/>
            </w:tcBorders>
            <w:shd w:val="clear" w:color="FFFFFF" w:fill="FFFFFF"/>
            <w:vAlign w:val="bottom"/>
          </w:tcPr>
          <w:p w14:paraId="6A63588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211,949</w:t>
            </w:r>
          </w:p>
        </w:tc>
      </w:tr>
      <w:tr w:rsidR="005C6008" w:rsidRPr="00E10730" w14:paraId="37523051" w14:textId="77777777">
        <w:trPr>
          <w:trHeight w:val="253"/>
        </w:trPr>
        <w:tc>
          <w:tcPr>
            <w:tcW w:w="6553" w:type="dxa"/>
            <w:tcBorders>
              <w:top w:val="nil"/>
              <w:left w:val="nil"/>
              <w:bottom w:val="nil"/>
              <w:right w:val="nil"/>
            </w:tcBorders>
            <w:shd w:val="clear" w:color="FFFFFF" w:fill="FFFFFF"/>
            <w:vAlign w:val="bottom"/>
          </w:tcPr>
          <w:p w14:paraId="128EB7AC"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Plant and equipment</w:t>
            </w:r>
          </w:p>
        </w:tc>
        <w:tc>
          <w:tcPr>
            <w:tcW w:w="1417" w:type="dxa"/>
            <w:tcBorders>
              <w:top w:val="nil"/>
              <w:left w:val="nil"/>
              <w:bottom w:val="nil"/>
              <w:right w:val="nil"/>
            </w:tcBorders>
            <w:shd w:val="clear" w:color="FFFFFF" w:fill="FFFFFF"/>
            <w:vAlign w:val="bottom"/>
          </w:tcPr>
          <w:p w14:paraId="08290B8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14,766</w:t>
            </w:r>
          </w:p>
        </w:tc>
        <w:tc>
          <w:tcPr>
            <w:tcW w:w="1117" w:type="dxa"/>
            <w:tcBorders>
              <w:top w:val="nil"/>
              <w:left w:val="nil"/>
              <w:bottom w:val="nil"/>
              <w:right w:val="nil"/>
            </w:tcBorders>
            <w:shd w:val="clear" w:color="FFFFFF" w:fill="FFFFFF"/>
            <w:vAlign w:val="bottom"/>
          </w:tcPr>
          <w:p w14:paraId="29AB9A7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16,452</w:t>
            </w:r>
          </w:p>
        </w:tc>
      </w:tr>
      <w:tr w:rsidR="005C6008" w:rsidRPr="00E10730" w14:paraId="5D7A741F" w14:textId="77777777">
        <w:trPr>
          <w:trHeight w:val="253"/>
        </w:trPr>
        <w:tc>
          <w:tcPr>
            <w:tcW w:w="6553" w:type="dxa"/>
            <w:tcBorders>
              <w:top w:val="nil"/>
              <w:left w:val="nil"/>
              <w:bottom w:val="nil"/>
              <w:right w:val="nil"/>
            </w:tcBorders>
            <w:shd w:val="clear" w:color="FFFFFF" w:fill="FFFFFF"/>
            <w:vAlign w:val="bottom"/>
          </w:tcPr>
          <w:p w14:paraId="671451FD"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Computer software</w:t>
            </w:r>
          </w:p>
        </w:tc>
        <w:tc>
          <w:tcPr>
            <w:tcW w:w="1417" w:type="dxa"/>
            <w:tcBorders>
              <w:top w:val="nil"/>
              <w:left w:val="nil"/>
              <w:bottom w:val="nil"/>
              <w:right w:val="nil"/>
            </w:tcBorders>
            <w:shd w:val="clear" w:color="FFFFFF" w:fill="FFFFFF"/>
            <w:vAlign w:val="bottom"/>
          </w:tcPr>
          <w:p w14:paraId="119A4A74" w14:textId="77777777" w:rsidR="005C6008" w:rsidRPr="00E10730" w:rsidRDefault="005C6008" w:rsidP="00115FA3">
            <w:pPr>
              <w:autoSpaceDE w:val="0"/>
              <w:autoSpaceDN w:val="0"/>
              <w:adjustRightInd w:val="0"/>
              <w:spacing w:after="0" w:line="240" w:lineRule="auto"/>
              <w:jc w:val="right"/>
              <w:rPr>
                <w:rFonts w:eastAsia="Calibri" w:cs="Arial"/>
                <w:b/>
                <w:bCs/>
                <w:color w:val="000000"/>
                <w:sz w:val="18"/>
                <w:szCs w:val="18"/>
              </w:rPr>
            </w:pPr>
            <w:r w:rsidRPr="00E10730">
              <w:rPr>
                <w:rFonts w:eastAsia="Calibri" w:cs="Arial"/>
                <w:b/>
                <w:bCs/>
                <w:color w:val="000000"/>
                <w:sz w:val="18"/>
                <w:szCs w:val="18"/>
              </w:rPr>
              <w:t>10,702</w:t>
            </w:r>
          </w:p>
        </w:tc>
        <w:tc>
          <w:tcPr>
            <w:tcW w:w="1117" w:type="dxa"/>
            <w:tcBorders>
              <w:top w:val="nil"/>
              <w:left w:val="nil"/>
              <w:bottom w:val="nil"/>
              <w:right w:val="nil"/>
            </w:tcBorders>
            <w:shd w:val="clear" w:color="FFFFFF" w:fill="FFFFFF"/>
            <w:vAlign w:val="bottom"/>
          </w:tcPr>
          <w:p w14:paraId="6726FB10" w14:textId="77777777" w:rsidR="005C6008" w:rsidRPr="00E10730" w:rsidRDefault="005C6008" w:rsidP="00115FA3">
            <w:pPr>
              <w:autoSpaceDE w:val="0"/>
              <w:autoSpaceDN w:val="0"/>
              <w:adjustRightInd w:val="0"/>
              <w:spacing w:after="0" w:line="240" w:lineRule="auto"/>
              <w:jc w:val="right"/>
              <w:rPr>
                <w:rFonts w:eastAsia="Calibri" w:cs="Arial"/>
                <w:color w:val="FFFFFF"/>
                <w:sz w:val="18"/>
                <w:szCs w:val="18"/>
              </w:rPr>
            </w:pPr>
            <w:r w:rsidRPr="00E10730">
              <w:rPr>
                <w:rFonts w:eastAsia="Calibri" w:cs="Arial"/>
                <w:sz w:val="18"/>
                <w:szCs w:val="18"/>
              </w:rPr>
              <w:t>-</w:t>
            </w:r>
          </w:p>
        </w:tc>
      </w:tr>
      <w:tr w:rsidR="005C6008" w:rsidRPr="00E10730" w14:paraId="680B3FF9" w14:textId="77777777">
        <w:trPr>
          <w:trHeight w:val="253"/>
        </w:trPr>
        <w:tc>
          <w:tcPr>
            <w:tcW w:w="6553" w:type="dxa"/>
            <w:tcBorders>
              <w:top w:val="nil"/>
              <w:left w:val="nil"/>
              <w:bottom w:val="nil"/>
              <w:right w:val="nil"/>
            </w:tcBorders>
            <w:shd w:val="clear" w:color="FFFFFF" w:fill="FFFFFF"/>
            <w:vAlign w:val="bottom"/>
          </w:tcPr>
          <w:p w14:paraId="3DC5A4E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more than 12 months</w:t>
            </w:r>
          </w:p>
        </w:tc>
        <w:tc>
          <w:tcPr>
            <w:tcW w:w="1417" w:type="dxa"/>
            <w:tcBorders>
              <w:top w:val="single" w:sz="4" w:space="0" w:color="auto"/>
              <w:left w:val="nil"/>
              <w:bottom w:val="single" w:sz="4" w:space="0" w:color="auto"/>
              <w:right w:val="nil"/>
            </w:tcBorders>
            <w:shd w:val="clear" w:color="FFFFFF" w:fill="FFFFFF"/>
            <w:vAlign w:val="bottom"/>
          </w:tcPr>
          <w:p w14:paraId="6253EB0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306,866</w:t>
            </w:r>
          </w:p>
        </w:tc>
        <w:tc>
          <w:tcPr>
            <w:tcW w:w="1117" w:type="dxa"/>
            <w:tcBorders>
              <w:top w:val="single" w:sz="4" w:space="0" w:color="auto"/>
              <w:left w:val="nil"/>
              <w:bottom w:val="single" w:sz="4" w:space="0" w:color="auto"/>
              <w:right w:val="nil"/>
            </w:tcBorders>
            <w:shd w:val="clear" w:color="FFFFFF" w:fill="FFFFFF"/>
            <w:vAlign w:val="bottom"/>
          </w:tcPr>
          <w:p w14:paraId="486BBBA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228,401</w:t>
            </w:r>
          </w:p>
        </w:tc>
      </w:tr>
      <w:tr w:rsidR="005C6008" w:rsidRPr="00E10730" w14:paraId="28F3CAC5" w14:textId="77777777">
        <w:trPr>
          <w:trHeight w:val="253"/>
        </w:trPr>
        <w:tc>
          <w:tcPr>
            <w:tcW w:w="6553" w:type="dxa"/>
            <w:tcBorders>
              <w:top w:val="nil"/>
              <w:left w:val="nil"/>
              <w:bottom w:val="nil"/>
              <w:right w:val="nil"/>
            </w:tcBorders>
            <w:shd w:val="clear" w:color="FFFFFF" w:fill="FFFFFF"/>
            <w:vAlign w:val="bottom"/>
          </w:tcPr>
          <w:p w14:paraId="12A21DC9"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assets</w:t>
            </w:r>
          </w:p>
        </w:tc>
        <w:tc>
          <w:tcPr>
            <w:tcW w:w="1417" w:type="dxa"/>
            <w:tcBorders>
              <w:top w:val="nil"/>
              <w:left w:val="nil"/>
              <w:bottom w:val="single" w:sz="4" w:space="0" w:color="auto"/>
              <w:right w:val="nil"/>
            </w:tcBorders>
            <w:shd w:val="clear" w:color="FFFFFF" w:fill="FFFFFF"/>
            <w:vAlign w:val="bottom"/>
          </w:tcPr>
          <w:p w14:paraId="705D51D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6,500,224</w:t>
            </w:r>
          </w:p>
        </w:tc>
        <w:tc>
          <w:tcPr>
            <w:tcW w:w="1117" w:type="dxa"/>
            <w:tcBorders>
              <w:top w:val="nil"/>
              <w:left w:val="nil"/>
              <w:bottom w:val="single" w:sz="4" w:space="0" w:color="auto"/>
              <w:right w:val="nil"/>
            </w:tcBorders>
            <w:shd w:val="clear" w:color="FFFFFF" w:fill="FFFFFF"/>
            <w:vAlign w:val="bottom"/>
          </w:tcPr>
          <w:p w14:paraId="4719197E"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6,602,121</w:t>
            </w:r>
          </w:p>
        </w:tc>
      </w:tr>
      <w:tr w:rsidR="005C6008" w:rsidRPr="00E10730" w14:paraId="3D6F2B18" w14:textId="77777777">
        <w:trPr>
          <w:trHeight w:val="240"/>
        </w:trPr>
        <w:tc>
          <w:tcPr>
            <w:tcW w:w="6553" w:type="dxa"/>
            <w:tcBorders>
              <w:top w:val="nil"/>
              <w:left w:val="nil"/>
              <w:bottom w:val="nil"/>
              <w:right w:val="nil"/>
            </w:tcBorders>
            <w:shd w:val="clear" w:color="FFFFFF" w:fill="FFFFFF"/>
            <w:vAlign w:val="bottom"/>
          </w:tcPr>
          <w:p w14:paraId="2BB6B2CC"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417" w:type="dxa"/>
            <w:tcBorders>
              <w:top w:val="nil"/>
              <w:left w:val="nil"/>
              <w:bottom w:val="nil"/>
              <w:right w:val="nil"/>
            </w:tcBorders>
            <w:shd w:val="clear" w:color="FFFFFF" w:fill="FFFFFF"/>
            <w:vAlign w:val="bottom"/>
          </w:tcPr>
          <w:p w14:paraId="1AF5FDAD"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17" w:type="dxa"/>
            <w:tcBorders>
              <w:top w:val="nil"/>
              <w:left w:val="nil"/>
              <w:bottom w:val="nil"/>
              <w:right w:val="nil"/>
            </w:tcBorders>
            <w:shd w:val="clear" w:color="FFFFFF" w:fill="FFFFFF"/>
            <w:vAlign w:val="bottom"/>
          </w:tcPr>
          <w:p w14:paraId="6A1186D9"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04AF4ACE" w14:textId="77777777">
        <w:trPr>
          <w:trHeight w:val="253"/>
        </w:trPr>
        <w:tc>
          <w:tcPr>
            <w:tcW w:w="6553" w:type="dxa"/>
            <w:tcBorders>
              <w:top w:val="nil"/>
              <w:left w:val="nil"/>
              <w:bottom w:val="nil"/>
              <w:right w:val="nil"/>
            </w:tcBorders>
            <w:shd w:val="clear" w:color="FFFFFF" w:fill="FFFFFF"/>
            <w:vAlign w:val="bottom"/>
          </w:tcPr>
          <w:p w14:paraId="6CD4FFA6"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Liabilities expected to be settled in:</w:t>
            </w:r>
          </w:p>
        </w:tc>
        <w:tc>
          <w:tcPr>
            <w:tcW w:w="1417" w:type="dxa"/>
            <w:tcBorders>
              <w:top w:val="nil"/>
              <w:left w:val="nil"/>
              <w:bottom w:val="nil"/>
              <w:right w:val="nil"/>
            </w:tcBorders>
            <w:shd w:val="clear" w:color="FFFFFF" w:fill="FFFFFF"/>
            <w:vAlign w:val="bottom"/>
          </w:tcPr>
          <w:p w14:paraId="42606B88"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17" w:type="dxa"/>
            <w:tcBorders>
              <w:top w:val="nil"/>
              <w:left w:val="nil"/>
              <w:bottom w:val="nil"/>
              <w:right w:val="nil"/>
            </w:tcBorders>
            <w:shd w:val="clear" w:color="FFFFFF" w:fill="FFFFFF"/>
            <w:vAlign w:val="bottom"/>
          </w:tcPr>
          <w:p w14:paraId="080A0D5D"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6B19916B" w14:textId="77777777">
        <w:trPr>
          <w:trHeight w:val="253"/>
        </w:trPr>
        <w:tc>
          <w:tcPr>
            <w:tcW w:w="6553" w:type="dxa"/>
            <w:tcBorders>
              <w:top w:val="nil"/>
              <w:left w:val="nil"/>
              <w:bottom w:val="nil"/>
              <w:right w:val="nil"/>
            </w:tcBorders>
            <w:shd w:val="clear" w:color="FFFFFF" w:fill="FFFFFF"/>
            <w:vAlign w:val="bottom"/>
          </w:tcPr>
          <w:p w14:paraId="53D58625"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No more than 12 months</w:t>
            </w:r>
          </w:p>
        </w:tc>
        <w:tc>
          <w:tcPr>
            <w:tcW w:w="1417" w:type="dxa"/>
            <w:tcBorders>
              <w:top w:val="nil"/>
              <w:left w:val="nil"/>
              <w:bottom w:val="nil"/>
              <w:right w:val="nil"/>
            </w:tcBorders>
            <w:shd w:val="clear" w:color="FFFFFF" w:fill="FFFFFF"/>
            <w:vAlign w:val="bottom"/>
          </w:tcPr>
          <w:p w14:paraId="418813F4"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c>
          <w:tcPr>
            <w:tcW w:w="1117" w:type="dxa"/>
            <w:tcBorders>
              <w:top w:val="nil"/>
              <w:left w:val="nil"/>
              <w:bottom w:val="nil"/>
              <w:right w:val="nil"/>
            </w:tcBorders>
            <w:shd w:val="clear" w:color="FFFFFF" w:fill="FFFFFF"/>
            <w:vAlign w:val="bottom"/>
          </w:tcPr>
          <w:p w14:paraId="1C7261AB" w14:textId="77777777" w:rsidR="005C6008" w:rsidRPr="00E10730" w:rsidRDefault="005C6008" w:rsidP="00115FA3">
            <w:pPr>
              <w:autoSpaceDE w:val="0"/>
              <w:autoSpaceDN w:val="0"/>
              <w:adjustRightInd w:val="0"/>
              <w:spacing w:after="0" w:line="240" w:lineRule="auto"/>
              <w:rPr>
                <w:rFonts w:eastAsia="Calibri" w:cs="Arial"/>
                <w:color w:val="FFFFFF"/>
                <w:sz w:val="18"/>
                <w:szCs w:val="18"/>
              </w:rPr>
            </w:pPr>
            <w:r w:rsidRPr="00E10730">
              <w:rPr>
                <w:rFonts w:eastAsia="Calibri" w:cs="Arial"/>
                <w:color w:val="FFFFFF"/>
                <w:sz w:val="18"/>
                <w:szCs w:val="18"/>
              </w:rPr>
              <w:t>-</w:t>
            </w:r>
          </w:p>
        </w:tc>
      </w:tr>
      <w:tr w:rsidR="005C6008" w:rsidRPr="00E10730" w14:paraId="4830958F" w14:textId="77777777">
        <w:trPr>
          <w:trHeight w:val="253"/>
        </w:trPr>
        <w:tc>
          <w:tcPr>
            <w:tcW w:w="6553" w:type="dxa"/>
            <w:tcBorders>
              <w:top w:val="nil"/>
              <w:left w:val="nil"/>
              <w:bottom w:val="nil"/>
              <w:right w:val="nil"/>
            </w:tcBorders>
            <w:shd w:val="clear" w:color="FFFFFF" w:fill="FFFFFF"/>
            <w:vAlign w:val="bottom"/>
          </w:tcPr>
          <w:p w14:paraId="4EECADD5"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Suppliers</w:t>
            </w:r>
          </w:p>
        </w:tc>
        <w:tc>
          <w:tcPr>
            <w:tcW w:w="1417" w:type="dxa"/>
            <w:tcBorders>
              <w:top w:val="nil"/>
              <w:left w:val="nil"/>
              <w:bottom w:val="nil"/>
              <w:right w:val="nil"/>
            </w:tcBorders>
            <w:shd w:val="clear" w:color="FFFFFF" w:fill="FFFFFF"/>
            <w:vAlign w:val="bottom"/>
          </w:tcPr>
          <w:p w14:paraId="68D596DF"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834,261</w:t>
            </w:r>
          </w:p>
        </w:tc>
        <w:tc>
          <w:tcPr>
            <w:tcW w:w="1117" w:type="dxa"/>
            <w:tcBorders>
              <w:top w:val="nil"/>
              <w:left w:val="nil"/>
              <w:bottom w:val="nil"/>
              <w:right w:val="nil"/>
            </w:tcBorders>
            <w:shd w:val="clear" w:color="FFFFFF" w:fill="FFFFFF"/>
            <w:vAlign w:val="bottom"/>
          </w:tcPr>
          <w:p w14:paraId="6509E8B0"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1,281,462</w:t>
            </w:r>
          </w:p>
        </w:tc>
      </w:tr>
      <w:tr w:rsidR="005C6008" w:rsidRPr="00E10730" w14:paraId="2E636C94" w14:textId="77777777">
        <w:trPr>
          <w:trHeight w:val="253"/>
        </w:trPr>
        <w:tc>
          <w:tcPr>
            <w:tcW w:w="6553" w:type="dxa"/>
            <w:tcBorders>
              <w:top w:val="nil"/>
              <w:left w:val="nil"/>
              <w:bottom w:val="nil"/>
              <w:right w:val="nil"/>
            </w:tcBorders>
            <w:shd w:val="clear" w:color="FFFFFF" w:fill="FFFFFF"/>
            <w:vAlign w:val="bottom"/>
          </w:tcPr>
          <w:p w14:paraId="0AE65ED4"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Other payables</w:t>
            </w:r>
          </w:p>
        </w:tc>
        <w:tc>
          <w:tcPr>
            <w:tcW w:w="1417" w:type="dxa"/>
            <w:tcBorders>
              <w:top w:val="nil"/>
              <w:left w:val="nil"/>
              <w:bottom w:val="nil"/>
              <w:right w:val="nil"/>
            </w:tcBorders>
            <w:shd w:val="clear" w:color="FFFFFF" w:fill="FFFFFF"/>
            <w:vAlign w:val="bottom"/>
          </w:tcPr>
          <w:p w14:paraId="42D0904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44,841</w:t>
            </w:r>
          </w:p>
        </w:tc>
        <w:tc>
          <w:tcPr>
            <w:tcW w:w="1117" w:type="dxa"/>
            <w:tcBorders>
              <w:top w:val="nil"/>
              <w:left w:val="nil"/>
              <w:bottom w:val="nil"/>
              <w:right w:val="nil"/>
            </w:tcBorders>
            <w:shd w:val="clear" w:color="FFFFFF" w:fill="FFFFFF"/>
            <w:vAlign w:val="bottom"/>
          </w:tcPr>
          <w:p w14:paraId="563AF204"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34,062</w:t>
            </w:r>
          </w:p>
        </w:tc>
      </w:tr>
      <w:tr w:rsidR="005C6008" w:rsidRPr="00E10730" w14:paraId="19084535" w14:textId="77777777">
        <w:trPr>
          <w:trHeight w:val="253"/>
        </w:trPr>
        <w:tc>
          <w:tcPr>
            <w:tcW w:w="6553" w:type="dxa"/>
            <w:tcBorders>
              <w:top w:val="nil"/>
              <w:left w:val="nil"/>
              <w:bottom w:val="nil"/>
              <w:right w:val="nil"/>
            </w:tcBorders>
            <w:shd w:val="clear" w:color="FFFFFF" w:fill="FFFFFF"/>
            <w:vAlign w:val="bottom"/>
          </w:tcPr>
          <w:p w14:paraId="37493D89"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Unearned revenue</w:t>
            </w:r>
          </w:p>
        </w:tc>
        <w:tc>
          <w:tcPr>
            <w:tcW w:w="1417" w:type="dxa"/>
            <w:tcBorders>
              <w:top w:val="nil"/>
              <w:left w:val="nil"/>
              <w:bottom w:val="nil"/>
              <w:right w:val="nil"/>
            </w:tcBorders>
            <w:shd w:val="clear" w:color="FFFFFF" w:fill="FFFFFF"/>
            <w:vAlign w:val="bottom"/>
          </w:tcPr>
          <w:p w14:paraId="0FCA8D76"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485,618</w:t>
            </w:r>
          </w:p>
        </w:tc>
        <w:tc>
          <w:tcPr>
            <w:tcW w:w="1117" w:type="dxa"/>
            <w:tcBorders>
              <w:top w:val="nil"/>
              <w:left w:val="nil"/>
              <w:bottom w:val="nil"/>
              <w:right w:val="nil"/>
            </w:tcBorders>
            <w:shd w:val="clear" w:color="FFFFFF" w:fill="FFFFFF"/>
            <w:vAlign w:val="bottom"/>
          </w:tcPr>
          <w:p w14:paraId="68A18F6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454,784</w:t>
            </w:r>
          </w:p>
        </w:tc>
      </w:tr>
      <w:tr w:rsidR="005C6008" w:rsidRPr="00E10730" w14:paraId="5F5CB738" w14:textId="77777777">
        <w:trPr>
          <w:trHeight w:val="253"/>
        </w:trPr>
        <w:tc>
          <w:tcPr>
            <w:tcW w:w="6553" w:type="dxa"/>
            <w:tcBorders>
              <w:top w:val="nil"/>
              <w:left w:val="nil"/>
              <w:bottom w:val="nil"/>
              <w:right w:val="nil"/>
            </w:tcBorders>
            <w:shd w:val="clear" w:color="FFFFFF" w:fill="FFFFFF"/>
            <w:vAlign w:val="bottom"/>
          </w:tcPr>
          <w:p w14:paraId="6D53B85A"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Leases</w:t>
            </w:r>
          </w:p>
        </w:tc>
        <w:tc>
          <w:tcPr>
            <w:tcW w:w="1417" w:type="dxa"/>
            <w:tcBorders>
              <w:top w:val="nil"/>
              <w:left w:val="nil"/>
              <w:bottom w:val="nil"/>
              <w:right w:val="nil"/>
            </w:tcBorders>
            <w:shd w:val="clear" w:color="FFFFFF" w:fill="FFFFFF"/>
            <w:vAlign w:val="bottom"/>
          </w:tcPr>
          <w:p w14:paraId="3FD4341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30,913</w:t>
            </w:r>
          </w:p>
        </w:tc>
        <w:tc>
          <w:tcPr>
            <w:tcW w:w="1117" w:type="dxa"/>
            <w:tcBorders>
              <w:top w:val="nil"/>
              <w:left w:val="nil"/>
              <w:bottom w:val="nil"/>
              <w:right w:val="nil"/>
            </w:tcBorders>
            <w:shd w:val="clear" w:color="FFFFFF" w:fill="FFFFFF"/>
            <w:vAlign w:val="bottom"/>
          </w:tcPr>
          <w:p w14:paraId="4ADEC5F2"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31,471</w:t>
            </w:r>
          </w:p>
        </w:tc>
      </w:tr>
      <w:tr w:rsidR="005C6008" w:rsidRPr="00E10730" w14:paraId="02EDC8F8" w14:textId="77777777">
        <w:trPr>
          <w:trHeight w:val="253"/>
        </w:trPr>
        <w:tc>
          <w:tcPr>
            <w:tcW w:w="6553" w:type="dxa"/>
            <w:tcBorders>
              <w:top w:val="nil"/>
              <w:left w:val="nil"/>
              <w:bottom w:val="nil"/>
              <w:right w:val="nil"/>
            </w:tcBorders>
            <w:shd w:val="clear" w:color="FFFFFF" w:fill="FFFFFF"/>
            <w:vAlign w:val="bottom"/>
          </w:tcPr>
          <w:p w14:paraId="02EDC52D"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Employee provisions</w:t>
            </w:r>
          </w:p>
        </w:tc>
        <w:tc>
          <w:tcPr>
            <w:tcW w:w="1417" w:type="dxa"/>
            <w:tcBorders>
              <w:top w:val="nil"/>
              <w:left w:val="nil"/>
              <w:bottom w:val="nil"/>
              <w:right w:val="nil"/>
            </w:tcBorders>
            <w:shd w:val="clear" w:color="FFFFFF" w:fill="FFFFFF"/>
            <w:vAlign w:val="bottom"/>
          </w:tcPr>
          <w:p w14:paraId="76B1FD0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80,830</w:t>
            </w:r>
          </w:p>
        </w:tc>
        <w:tc>
          <w:tcPr>
            <w:tcW w:w="1117" w:type="dxa"/>
            <w:tcBorders>
              <w:top w:val="nil"/>
              <w:left w:val="nil"/>
              <w:bottom w:val="nil"/>
              <w:right w:val="nil"/>
            </w:tcBorders>
            <w:shd w:val="clear" w:color="FFFFFF" w:fill="FFFFFF"/>
            <w:vAlign w:val="bottom"/>
          </w:tcPr>
          <w:p w14:paraId="2545D44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67,809</w:t>
            </w:r>
          </w:p>
        </w:tc>
      </w:tr>
      <w:tr w:rsidR="005C6008" w:rsidRPr="00E10730" w14:paraId="7236B19C" w14:textId="77777777">
        <w:trPr>
          <w:trHeight w:val="253"/>
        </w:trPr>
        <w:tc>
          <w:tcPr>
            <w:tcW w:w="6553" w:type="dxa"/>
            <w:tcBorders>
              <w:top w:val="nil"/>
              <w:left w:val="nil"/>
              <w:bottom w:val="nil"/>
              <w:right w:val="nil"/>
            </w:tcBorders>
            <w:shd w:val="clear" w:color="FFFFFF" w:fill="FFFFFF"/>
            <w:vAlign w:val="bottom"/>
          </w:tcPr>
          <w:p w14:paraId="77437A67"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Participant plan provisions</w:t>
            </w:r>
          </w:p>
        </w:tc>
        <w:tc>
          <w:tcPr>
            <w:tcW w:w="1417" w:type="dxa"/>
            <w:tcBorders>
              <w:top w:val="nil"/>
              <w:left w:val="nil"/>
              <w:bottom w:val="nil"/>
              <w:right w:val="nil"/>
            </w:tcBorders>
            <w:shd w:val="clear" w:color="FFFFFF" w:fill="FFFFFF"/>
            <w:vAlign w:val="bottom"/>
          </w:tcPr>
          <w:p w14:paraId="72BBB6FB"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2,079,690</w:t>
            </w:r>
          </w:p>
        </w:tc>
        <w:tc>
          <w:tcPr>
            <w:tcW w:w="1117" w:type="dxa"/>
            <w:tcBorders>
              <w:top w:val="nil"/>
              <w:left w:val="nil"/>
              <w:bottom w:val="nil"/>
              <w:right w:val="nil"/>
            </w:tcBorders>
            <w:shd w:val="clear" w:color="FFFFFF" w:fill="FFFFFF"/>
            <w:vAlign w:val="bottom"/>
          </w:tcPr>
          <w:p w14:paraId="2667ABCD"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2,008,821</w:t>
            </w:r>
          </w:p>
        </w:tc>
      </w:tr>
      <w:tr w:rsidR="005C6008" w:rsidRPr="00E10730" w14:paraId="2962726B" w14:textId="77777777">
        <w:trPr>
          <w:trHeight w:val="253"/>
        </w:trPr>
        <w:tc>
          <w:tcPr>
            <w:tcW w:w="6553" w:type="dxa"/>
            <w:tcBorders>
              <w:top w:val="nil"/>
              <w:left w:val="nil"/>
              <w:bottom w:val="nil"/>
              <w:right w:val="nil"/>
            </w:tcBorders>
            <w:shd w:val="clear" w:color="FFFFFF" w:fill="FFFFFF"/>
            <w:vAlign w:val="bottom"/>
          </w:tcPr>
          <w:p w14:paraId="37489B38"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Provision for restoration obligations</w:t>
            </w:r>
          </w:p>
        </w:tc>
        <w:tc>
          <w:tcPr>
            <w:tcW w:w="1417" w:type="dxa"/>
            <w:tcBorders>
              <w:top w:val="nil"/>
              <w:left w:val="nil"/>
              <w:bottom w:val="nil"/>
              <w:right w:val="nil"/>
            </w:tcBorders>
            <w:shd w:val="clear" w:color="FFFFFF" w:fill="FFFFFF"/>
            <w:vAlign w:val="bottom"/>
          </w:tcPr>
          <w:p w14:paraId="77777C65"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1,090</w:t>
            </w:r>
          </w:p>
        </w:tc>
        <w:tc>
          <w:tcPr>
            <w:tcW w:w="1117" w:type="dxa"/>
            <w:tcBorders>
              <w:top w:val="nil"/>
              <w:left w:val="nil"/>
              <w:bottom w:val="nil"/>
              <w:right w:val="nil"/>
            </w:tcBorders>
            <w:shd w:val="clear" w:color="FFFFFF" w:fill="FFFFFF"/>
            <w:vAlign w:val="bottom"/>
          </w:tcPr>
          <w:p w14:paraId="3DEC32B7"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3,487</w:t>
            </w:r>
          </w:p>
        </w:tc>
      </w:tr>
      <w:tr w:rsidR="005C6008" w:rsidRPr="00E10730" w14:paraId="21BA8DFA" w14:textId="77777777">
        <w:trPr>
          <w:trHeight w:val="253"/>
        </w:trPr>
        <w:tc>
          <w:tcPr>
            <w:tcW w:w="6553" w:type="dxa"/>
            <w:tcBorders>
              <w:top w:val="nil"/>
              <w:left w:val="nil"/>
              <w:bottom w:val="nil"/>
              <w:right w:val="nil"/>
            </w:tcBorders>
            <w:shd w:val="clear" w:color="FFFFFF" w:fill="FFFFFF"/>
            <w:vAlign w:val="bottom"/>
          </w:tcPr>
          <w:p w14:paraId="40CC47D7"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Provision for historical Scheme debt</w:t>
            </w:r>
          </w:p>
        </w:tc>
        <w:tc>
          <w:tcPr>
            <w:tcW w:w="1417" w:type="dxa"/>
            <w:tcBorders>
              <w:top w:val="nil"/>
              <w:left w:val="nil"/>
              <w:bottom w:val="nil"/>
              <w:right w:val="nil"/>
            </w:tcBorders>
            <w:shd w:val="clear" w:color="FFFFFF" w:fill="FFFFFF"/>
            <w:vAlign w:val="bottom"/>
          </w:tcPr>
          <w:p w14:paraId="77ECDC31"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842</w:t>
            </w:r>
          </w:p>
        </w:tc>
        <w:tc>
          <w:tcPr>
            <w:tcW w:w="1117" w:type="dxa"/>
            <w:tcBorders>
              <w:top w:val="nil"/>
              <w:left w:val="nil"/>
              <w:bottom w:val="nil"/>
              <w:right w:val="nil"/>
            </w:tcBorders>
            <w:shd w:val="clear" w:color="FFFFFF" w:fill="FFFFFF"/>
            <w:vAlign w:val="bottom"/>
          </w:tcPr>
          <w:p w14:paraId="54C842E1"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6,295</w:t>
            </w:r>
          </w:p>
        </w:tc>
      </w:tr>
      <w:tr w:rsidR="005C6008" w:rsidRPr="00E10730" w14:paraId="2863BA56" w14:textId="77777777">
        <w:trPr>
          <w:trHeight w:val="253"/>
        </w:trPr>
        <w:tc>
          <w:tcPr>
            <w:tcW w:w="6553" w:type="dxa"/>
            <w:tcBorders>
              <w:top w:val="nil"/>
              <w:left w:val="nil"/>
              <w:bottom w:val="nil"/>
              <w:right w:val="nil"/>
            </w:tcBorders>
            <w:shd w:val="clear" w:color="FFFFFF" w:fill="FFFFFF"/>
            <w:vAlign w:val="bottom"/>
          </w:tcPr>
          <w:p w14:paraId="0CE57A4D"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no more than 12 months</w:t>
            </w:r>
          </w:p>
        </w:tc>
        <w:tc>
          <w:tcPr>
            <w:tcW w:w="1417" w:type="dxa"/>
            <w:tcBorders>
              <w:top w:val="single" w:sz="4" w:space="0" w:color="auto"/>
              <w:left w:val="nil"/>
              <w:bottom w:val="single" w:sz="4" w:space="0" w:color="auto"/>
              <w:right w:val="nil"/>
            </w:tcBorders>
            <w:shd w:val="clear" w:color="FFFFFF" w:fill="FFFFFF"/>
            <w:vAlign w:val="bottom"/>
          </w:tcPr>
          <w:p w14:paraId="5A91A494"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3,558,085</w:t>
            </w:r>
          </w:p>
        </w:tc>
        <w:tc>
          <w:tcPr>
            <w:tcW w:w="1117" w:type="dxa"/>
            <w:tcBorders>
              <w:top w:val="single" w:sz="4" w:space="0" w:color="auto"/>
              <w:left w:val="nil"/>
              <w:bottom w:val="single" w:sz="4" w:space="0" w:color="auto"/>
              <w:right w:val="nil"/>
            </w:tcBorders>
            <w:shd w:val="clear" w:color="FFFFFF" w:fill="FFFFFF"/>
            <w:vAlign w:val="bottom"/>
          </w:tcPr>
          <w:p w14:paraId="20639BFB"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3,888,191</w:t>
            </w:r>
          </w:p>
        </w:tc>
      </w:tr>
      <w:tr w:rsidR="005C6008" w:rsidRPr="00E10730" w14:paraId="08322609" w14:textId="77777777">
        <w:trPr>
          <w:trHeight w:val="253"/>
        </w:trPr>
        <w:tc>
          <w:tcPr>
            <w:tcW w:w="6553" w:type="dxa"/>
            <w:tcBorders>
              <w:top w:val="nil"/>
              <w:left w:val="nil"/>
              <w:bottom w:val="nil"/>
              <w:right w:val="nil"/>
            </w:tcBorders>
            <w:shd w:val="clear" w:color="FFFFFF" w:fill="FFFFFF"/>
            <w:vAlign w:val="bottom"/>
          </w:tcPr>
          <w:p w14:paraId="14F03A08"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417" w:type="dxa"/>
            <w:tcBorders>
              <w:top w:val="nil"/>
              <w:left w:val="nil"/>
              <w:bottom w:val="nil"/>
              <w:right w:val="nil"/>
            </w:tcBorders>
            <w:shd w:val="clear" w:color="FFFFFF" w:fill="FFFFFF"/>
            <w:vAlign w:val="bottom"/>
          </w:tcPr>
          <w:p w14:paraId="5EEEEEA4"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117" w:type="dxa"/>
            <w:tcBorders>
              <w:top w:val="nil"/>
              <w:left w:val="nil"/>
              <w:bottom w:val="nil"/>
              <w:right w:val="nil"/>
            </w:tcBorders>
            <w:shd w:val="clear" w:color="FFFFFF" w:fill="FFFFFF"/>
            <w:vAlign w:val="bottom"/>
          </w:tcPr>
          <w:p w14:paraId="0F45EA17"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r>
      <w:tr w:rsidR="005C6008" w:rsidRPr="00E10730" w14:paraId="3D5955BD" w14:textId="77777777">
        <w:trPr>
          <w:trHeight w:val="253"/>
        </w:trPr>
        <w:tc>
          <w:tcPr>
            <w:tcW w:w="6553" w:type="dxa"/>
            <w:tcBorders>
              <w:top w:val="nil"/>
              <w:left w:val="nil"/>
              <w:bottom w:val="nil"/>
              <w:right w:val="nil"/>
            </w:tcBorders>
            <w:shd w:val="clear" w:color="FFFFFF" w:fill="FFFFFF"/>
            <w:vAlign w:val="bottom"/>
          </w:tcPr>
          <w:p w14:paraId="06E9EB29"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More than 12 months</w:t>
            </w:r>
          </w:p>
        </w:tc>
        <w:tc>
          <w:tcPr>
            <w:tcW w:w="1417" w:type="dxa"/>
            <w:tcBorders>
              <w:top w:val="nil"/>
              <w:left w:val="nil"/>
              <w:bottom w:val="nil"/>
              <w:right w:val="nil"/>
            </w:tcBorders>
            <w:shd w:val="clear" w:color="FFFFFF" w:fill="FFFFFF"/>
            <w:vAlign w:val="bottom"/>
          </w:tcPr>
          <w:p w14:paraId="56EF26BC"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c>
          <w:tcPr>
            <w:tcW w:w="1117" w:type="dxa"/>
            <w:tcBorders>
              <w:top w:val="nil"/>
              <w:left w:val="nil"/>
              <w:bottom w:val="nil"/>
              <w:right w:val="nil"/>
            </w:tcBorders>
            <w:shd w:val="clear" w:color="FFFFFF" w:fill="FFFFFF"/>
            <w:vAlign w:val="bottom"/>
          </w:tcPr>
          <w:p w14:paraId="2FADE5E5" w14:textId="77777777" w:rsidR="005C6008" w:rsidRPr="00E10730" w:rsidRDefault="005C6008" w:rsidP="00115FA3">
            <w:pPr>
              <w:autoSpaceDE w:val="0"/>
              <w:autoSpaceDN w:val="0"/>
              <w:adjustRightInd w:val="0"/>
              <w:spacing w:after="0" w:line="240" w:lineRule="auto"/>
              <w:rPr>
                <w:rFonts w:eastAsia="Calibri" w:cs="Arial"/>
                <w:b/>
                <w:bCs/>
                <w:color w:val="FFFFFF"/>
                <w:sz w:val="18"/>
                <w:szCs w:val="18"/>
              </w:rPr>
            </w:pPr>
            <w:r w:rsidRPr="00E10730">
              <w:rPr>
                <w:rFonts w:eastAsia="Calibri" w:cs="Arial"/>
                <w:b/>
                <w:bCs/>
                <w:color w:val="FFFFFF"/>
                <w:sz w:val="18"/>
                <w:szCs w:val="18"/>
              </w:rPr>
              <w:t>-</w:t>
            </w:r>
          </w:p>
        </w:tc>
      </w:tr>
      <w:tr w:rsidR="005C6008" w:rsidRPr="00E10730" w14:paraId="4288FE3C" w14:textId="77777777">
        <w:trPr>
          <w:trHeight w:val="253"/>
        </w:trPr>
        <w:tc>
          <w:tcPr>
            <w:tcW w:w="6553" w:type="dxa"/>
            <w:tcBorders>
              <w:top w:val="nil"/>
              <w:left w:val="nil"/>
              <w:bottom w:val="nil"/>
              <w:right w:val="nil"/>
            </w:tcBorders>
            <w:shd w:val="clear" w:color="FFFFFF" w:fill="FFFFFF"/>
            <w:vAlign w:val="bottom"/>
          </w:tcPr>
          <w:p w14:paraId="273AFB71"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Leases</w:t>
            </w:r>
          </w:p>
        </w:tc>
        <w:tc>
          <w:tcPr>
            <w:tcW w:w="1417" w:type="dxa"/>
            <w:tcBorders>
              <w:top w:val="nil"/>
              <w:left w:val="nil"/>
              <w:bottom w:val="nil"/>
              <w:right w:val="nil"/>
            </w:tcBorders>
            <w:shd w:val="clear" w:color="FFFFFF" w:fill="FFFFFF"/>
            <w:vAlign w:val="bottom"/>
          </w:tcPr>
          <w:p w14:paraId="1CCCF858"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118,603</w:t>
            </w:r>
          </w:p>
        </w:tc>
        <w:tc>
          <w:tcPr>
            <w:tcW w:w="1117" w:type="dxa"/>
            <w:tcBorders>
              <w:top w:val="nil"/>
              <w:left w:val="nil"/>
              <w:bottom w:val="nil"/>
              <w:right w:val="nil"/>
            </w:tcBorders>
            <w:shd w:val="clear" w:color="FFFFFF" w:fill="FFFFFF"/>
            <w:vAlign w:val="bottom"/>
          </w:tcPr>
          <w:p w14:paraId="7E5FF6B8"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119,107</w:t>
            </w:r>
          </w:p>
        </w:tc>
      </w:tr>
      <w:tr w:rsidR="005C6008" w:rsidRPr="00E10730" w14:paraId="647D4EA4" w14:textId="77777777">
        <w:trPr>
          <w:trHeight w:val="253"/>
        </w:trPr>
        <w:tc>
          <w:tcPr>
            <w:tcW w:w="6553" w:type="dxa"/>
            <w:tcBorders>
              <w:top w:val="nil"/>
              <w:left w:val="nil"/>
              <w:bottom w:val="nil"/>
              <w:right w:val="nil"/>
            </w:tcBorders>
            <w:shd w:val="clear" w:color="FFFFFF" w:fill="FFFFFF"/>
            <w:vAlign w:val="bottom"/>
          </w:tcPr>
          <w:p w14:paraId="1C8E1459"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Employee provisions</w:t>
            </w:r>
          </w:p>
        </w:tc>
        <w:tc>
          <w:tcPr>
            <w:tcW w:w="1417" w:type="dxa"/>
            <w:tcBorders>
              <w:top w:val="nil"/>
              <w:left w:val="nil"/>
              <w:bottom w:val="nil"/>
              <w:right w:val="nil"/>
            </w:tcBorders>
            <w:shd w:val="clear" w:color="FFFFFF" w:fill="FFFFFF"/>
            <w:vAlign w:val="bottom"/>
          </w:tcPr>
          <w:p w14:paraId="11AF57ED"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166,294</w:t>
            </w:r>
          </w:p>
        </w:tc>
        <w:tc>
          <w:tcPr>
            <w:tcW w:w="1117" w:type="dxa"/>
            <w:tcBorders>
              <w:top w:val="nil"/>
              <w:left w:val="nil"/>
              <w:bottom w:val="nil"/>
              <w:right w:val="nil"/>
            </w:tcBorders>
            <w:shd w:val="clear" w:color="FFFFFF" w:fill="FFFFFF"/>
            <w:vAlign w:val="bottom"/>
          </w:tcPr>
          <w:p w14:paraId="0ECCDE6A"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126,462</w:t>
            </w:r>
          </w:p>
        </w:tc>
      </w:tr>
      <w:tr w:rsidR="005C6008" w:rsidRPr="00E10730" w14:paraId="1DA62651" w14:textId="77777777">
        <w:trPr>
          <w:trHeight w:val="253"/>
        </w:trPr>
        <w:tc>
          <w:tcPr>
            <w:tcW w:w="6553" w:type="dxa"/>
            <w:tcBorders>
              <w:top w:val="nil"/>
              <w:left w:val="nil"/>
              <w:bottom w:val="nil"/>
              <w:right w:val="nil"/>
            </w:tcBorders>
            <w:shd w:val="clear" w:color="FFFFFF" w:fill="FFFFFF"/>
            <w:vAlign w:val="bottom"/>
          </w:tcPr>
          <w:p w14:paraId="363EC404"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Participant plan provisions</w:t>
            </w:r>
          </w:p>
        </w:tc>
        <w:tc>
          <w:tcPr>
            <w:tcW w:w="1417" w:type="dxa"/>
            <w:tcBorders>
              <w:top w:val="nil"/>
              <w:left w:val="nil"/>
              <w:bottom w:val="nil"/>
              <w:right w:val="nil"/>
            </w:tcBorders>
            <w:shd w:val="clear" w:color="FFFFFF" w:fill="FFFFFF"/>
            <w:vAlign w:val="bottom"/>
          </w:tcPr>
          <w:p w14:paraId="20F2B083"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45,472</w:t>
            </w:r>
          </w:p>
        </w:tc>
        <w:tc>
          <w:tcPr>
            <w:tcW w:w="1117" w:type="dxa"/>
            <w:tcBorders>
              <w:top w:val="nil"/>
              <w:left w:val="nil"/>
              <w:bottom w:val="nil"/>
              <w:right w:val="nil"/>
            </w:tcBorders>
            <w:shd w:val="clear" w:color="FFFFFF" w:fill="FFFFFF"/>
            <w:vAlign w:val="bottom"/>
          </w:tcPr>
          <w:p w14:paraId="196A4A03"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64,567</w:t>
            </w:r>
          </w:p>
        </w:tc>
      </w:tr>
      <w:tr w:rsidR="005C6008" w:rsidRPr="00E10730" w14:paraId="5C61A1A4" w14:textId="77777777">
        <w:trPr>
          <w:trHeight w:val="253"/>
        </w:trPr>
        <w:tc>
          <w:tcPr>
            <w:tcW w:w="6553" w:type="dxa"/>
            <w:tcBorders>
              <w:top w:val="nil"/>
              <w:left w:val="nil"/>
              <w:bottom w:val="nil"/>
              <w:right w:val="nil"/>
            </w:tcBorders>
            <w:shd w:val="clear" w:color="FFFFFF" w:fill="FFFFFF"/>
            <w:vAlign w:val="bottom"/>
          </w:tcPr>
          <w:p w14:paraId="0A18A102" w14:textId="77777777" w:rsidR="005C6008" w:rsidRPr="00E10730" w:rsidRDefault="005C6008" w:rsidP="00115FA3">
            <w:pPr>
              <w:autoSpaceDE w:val="0"/>
              <w:autoSpaceDN w:val="0"/>
              <w:adjustRightInd w:val="0"/>
              <w:spacing w:after="0" w:line="240" w:lineRule="auto"/>
              <w:ind w:firstLine="180"/>
              <w:rPr>
                <w:rFonts w:eastAsia="Calibri" w:cs="Arial"/>
                <w:sz w:val="18"/>
                <w:szCs w:val="18"/>
              </w:rPr>
            </w:pPr>
            <w:r w:rsidRPr="00E10730">
              <w:rPr>
                <w:rFonts w:eastAsia="Calibri" w:cs="Arial"/>
                <w:sz w:val="18"/>
                <w:szCs w:val="18"/>
              </w:rPr>
              <w:t>Provision for restoration obligations</w:t>
            </w:r>
          </w:p>
        </w:tc>
        <w:tc>
          <w:tcPr>
            <w:tcW w:w="1417" w:type="dxa"/>
            <w:tcBorders>
              <w:top w:val="nil"/>
              <w:left w:val="nil"/>
              <w:bottom w:val="nil"/>
              <w:right w:val="nil"/>
            </w:tcBorders>
            <w:shd w:val="clear" w:color="FFFFFF" w:fill="FFFFFF"/>
            <w:vAlign w:val="bottom"/>
          </w:tcPr>
          <w:p w14:paraId="6DE58A50"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6,042</w:t>
            </w:r>
          </w:p>
        </w:tc>
        <w:tc>
          <w:tcPr>
            <w:tcW w:w="1117" w:type="dxa"/>
            <w:tcBorders>
              <w:top w:val="nil"/>
              <w:left w:val="nil"/>
              <w:bottom w:val="nil"/>
              <w:right w:val="nil"/>
            </w:tcBorders>
            <w:shd w:val="clear" w:color="FFFFFF" w:fill="FFFFFF"/>
            <w:vAlign w:val="bottom"/>
          </w:tcPr>
          <w:p w14:paraId="19F80EEF"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3,697</w:t>
            </w:r>
          </w:p>
        </w:tc>
      </w:tr>
      <w:tr w:rsidR="005C6008" w:rsidRPr="00E10730" w14:paraId="02CAB4BA" w14:textId="77777777">
        <w:trPr>
          <w:trHeight w:val="253"/>
        </w:trPr>
        <w:tc>
          <w:tcPr>
            <w:tcW w:w="6553" w:type="dxa"/>
            <w:tcBorders>
              <w:top w:val="nil"/>
              <w:left w:val="nil"/>
              <w:bottom w:val="nil"/>
              <w:right w:val="nil"/>
            </w:tcBorders>
            <w:shd w:val="clear" w:color="FFFFFF" w:fill="FFFFFF"/>
            <w:vAlign w:val="bottom"/>
          </w:tcPr>
          <w:p w14:paraId="288300F9"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more than 12 months</w:t>
            </w:r>
          </w:p>
        </w:tc>
        <w:tc>
          <w:tcPr>
            <w:tcW w:w="1417" w:type="dxa"/>
            <w:tcBorders>
              <w:top w:val="single" w:sz="4" w:space="0" w:color="auto"/>
              <w:left w:val="nil"/>
              <w:bottom w:val="single" w:sz="4" w:space="0" w:color="auto"/>
              <w:right w:val="nil"/>
            </w:tcBorders>
            <w:shd w:val="clear" w:color="FFFFFF" w:fill="FFFFFF"/>
            <w:vAlign w:val="bottom"/>
          </w:tcPr>
          <w:p w14:paraId="44C9159E"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336,411</w:t>
            </w:r>
          </w:p>
        </w:tc>
        <w:tc>
          <w:tcPr>
            <w:tcW w:w="1117" w:type="dxa"/>
            <w:tcBorders>
              <w:top w:val="single" w:sz="4" w:space="0" w:color="auto"/>
              <w:left w:val="nil"/>
              <w:bottom w:val="single" w:sz="4" w:space="0" w:color="auto"/>
              <w:right w:val="nil"/>
            </w:tcBorders>
            <w:shd w:val="clear" w:color="FFFFFF" w:fill="FFFFFF"/>
            <w:vAlign w:val="bottom"/>
          </w:tcPr>
          <w:p w14:paraId="714F1AF9" w14:textId="77777777" w:rsidR="005C6008" w:rsidRPr="00E10730"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313,833</w:t>
            </w:r>
          </w:p>
        </w:tc>
      </w:tr>
      <w:tr w:rsidR="005C6008" w:rsidRPr="0064191C" w14:paraId="33B1878A" w14:textId="77777777">
        <w:trPr>
          <w:trHeight w:val="253"/>
        </w:trPr>
        <w:tc>
          <w:tcPr>
            <w:tcW w:w="6553" w:type="dxa"/>
            <w:tcBorders>
              <w:top w:val="nil"/>
              <w:left w:val="nil"/>
              <w:bottom w:val="nil"/>
              <w:right w:val="nil"/>
            </w:tcBorders>
            <w:shd w:val="clear" w:color="FFFFFF" w:fill="FFFFFF"/>
            <w:vAlign w:val="bottom"/>
          </w:tcPr>
          <w:p w14:paraId="3583F732" w14:textId="77777777" w:rsidR="005C6008" w:rsidRPr="00E10730" w:rsidRDefault="005C6008" w:rsidP="00115FA3">
            <w:pPr>
              <w:autoSpaceDE w:val="0"/>
              <w:autoSpaceDN w:val="0"/>
              <w:adjustRightInd w:val="0"/>
              <w:spacing w:after="0" w:line="240" w:lineRule="auto"/>
              <w:rPr>
                <w:rFonts w:eastAsia="Calibri" w:cs="Arial"/>
                <w:b/>
                <w:bCs/>
                <w:sz w:val="18"/>
                <w:szCs w:val="18"/>
              </w:rPr>
            </w:pPr>
            <w:r w:rsidRPr="00E10730">
              <w:rPr>
                <w:rFonts w:eastAsia="Calibri" w:cs="Arial"/>
                <w:b/>
                <w:bCs/>
                <w:sz w:val="18"/>
                <w:szCs w:val="18"/>
              </w:rPr>
              <w:t>Total liabilities</w:t>
            </w:r>
          </w:p>
        </w:tc>
        <w:tc>
          <w:tcPr>
            <w:tcW w:w="1417" w:type="dxa"/>
            <w:tcBorders>
              <w:top w:val="nil"/>
              <w:left w:val="nil"/>
              <w:bottom w:val="single" w:sz="4" w:space="0" w:color="auto"/>
              <w:right w:val="nil"/>
            </w:tcBorders>
            <w:shd w:val="clear" w:color="FFFFFF" w:fill="FFFFFF"/>
            <w:vAlign w:val="bottom"/>
          </w:tcPr>
          <w:p w14:paraId="22AF18C7" w14:textId="77777777" w:rsidR="005C6008" w:rsidRPr="00E10730" w:rsidRDefault="005C6008" w:rsidP="00115FA3">
            <w:pPr>
              <w:autoSpaceDE w:val="0"/>
              <w:autoSpaceDN w:val="0"/>
              <w:adjustRightInd w:val="0"/>
              <w:spacing w:after="0" w:line="240" w:lineRule="auto"/>
              <w:jc w:val="right"/>
              <w:rPr>
                <w:rFonts w:eastAsia="Calibri" w:cs="Arial"/>
                <w:b/>
                <w:bCs/>
                <w:sz w:val="18"/>
                <w:szCs w:val="18"/>
              </w:rPr>
            </w:pPr>
            <w:r w:rsidRPr="00E10730">
              <w:rPr>
                <w:rFonts w:eastAsia="Calibri" w:cs="Arial"/>
                <w:b/>
                <w:bCs/>
                <w:sz w:val="18"/>
                <w:szCs w:val="18"/>
              </w:rPr>
              <w:t>3,894,496</w:t>
            </w:r>
          </w:p>
        </w:tc>
        <w:tc>
          <w:tcPr>
            <w:tcW w:w="1117" w:type="dxa"/>
            <w:tcBorders>
              <w:top w:val="nil"/>
              <w:left w:val="nil"/>
              <w:bottom w:val="single" w:sz="4" w:space="0" w:color="auto"/>
              <w:right w:val="nil"/>
            </w:tcBorders>
            <w:shd w:val="clear" w:color="FFFFFF" w:fill="FFFFFF"/>
            <w:vAlign w:val="bottom"/>
          </w:tcPr>
          <w:p w14:paraId="32564C15" w14:textId="77777777" w:rsidR="005C6008" w:rsidRPr="0064191C" w:rsidRDefault="005C6008" w:rsidP="00115FA3">
            <w:pPr>
              <w:autoSpaceDE w:val="0"/>
              <w:autoSpaceDN w:val="0"/>
              <w:adjustRightInd w:val="0"/>
              <w:spacing w:after="0" w:line="240" w:lineRule="auto"/>
              <w:jc w:val="right"/>
              <w:rPr>
                <w:rFonts w:eastAsia="Calibri" w:cs="Arial"/>
                <w:sz w:val="18"/>
                <w:szCs w:val="18"/>
              </w:rPr>
            </w:pPr>
            <w:r w:rsidRPr="00E10730">
              <w:rPr>
                <w:rFonts w:eastAsia="Calibri" w:cs="Arial"/>
                <w:sz w:val="18"/>
                <w:szCs w:val="18"/>
              </w:rPr>
              <w:t>4,202,024</w:t>
            </w:r>
          </w:p>
        </w:tc>
      </w:tr>
    </w:tbl>
    <w:p w14:paraId="3CA97EAB" w14:textId="13F6441F" w:rsidR="005C6008" w:rsidRPr="0064191C" w:rsidRDefault="005C6008" w:rsidP="00115FA3">
      <w:pPr>
        <w:spacing w:before="120" w:line="240" w:lineRule="auto"/>
        <w:rPr>
          <w:rFonts w:cs="Arial"/>
        </w:rPr>
      </w:pPr>
    </w:p>
    <w:p w14:paraId="4D6D2F2D" w14:textId="77777777" w:rsidR="005C6008" w:rsidRPr="0064191C" w:rsidRDefault="005C6008" w:rsidP="00115FA3">
      <w:pPr>
        <w:pStyle w:val="Heading2"/>
        <w:spacing w:line="240" w:lineRule="auto"/>
        <w:rPr>
          <w:rFonts w:cs="Arial"/>
        </w:rPr>
        <w:sectPr w:rsidR="005C6008" w:rsidRPr="0064191C" w:rsidSect="00EB1047">
          <w:headerReference w:type="default" r:id="rId72"/>
          <w:footerReference w:type="default" r:id="rId73"/>
          <w:pgSz w:w="11906" w:h="16838" w:code="9"/>
          <w:pgMar w:top="1247" w:right="1701" w:bottom="1247" w:left="1134" w:header="567" w:footer="369" w:gutter="0"/>
          <w:cols w:space="708"/>
          <w:docGrid w:linePitch="360"/>
        </w:sectPr>
      </w:pPr>
    </w:p>
    <w:p w14:paraId="3C5B0BAF" w14:textId="77777777" w:rsidR="00B36E39" w:rsidRDefault="00BE5226" w:rsidP="009829B7">
      <w:pPr>
        <w:pStyle w:val="Heading2"/>
      </w:pPr>
      <w:bookmarkStart w:id="84" w:name="_Toc226723931"/>
      <w:bookmarkStart w:id="85" w:name="_Toc241826742"/>
      <w:r w:rsidRPr="00BE5226">
        <w:t>Section 7: Appendices</w:t>
      </w:r>
      <w:bookmarkEnd w:id="84"/>
      <w:bookmarkEnd w:id="85"/>
    </w:p>
    <w:p w14:paraId="77418D07" w14:textId="77777777" w:rsidR="001F7270" w:rsidRPr="001F7270" w:rsidRDefault="001F7270" w:rsidP="001F7270"/>
    <w:p w14:paraId="0BDC13B1" w14:textId="77777777" w:rsidR="00217513" w:rsidRDefault="00217513" w:rsidP="009829B7">
      <w:pPr>
        <w:pStyle w:val="Heading2"/>
        <w:sectPr w:rsidR="00217513" w:rsidSect="00EB1047">
          <w:headerReference w:type="default" r:id="rId74"/>
          <w:footerReference w:type="default" r:id="rId75"/>
          <w:pgSz w:w="11906" w:h="16838" w:code="9"/>
          <w:pgMar w:top="1247" w:right="1440" w:bottom="1247" w:left="1440" w:header="567" w:footer="454" w:gutter="0"/>
          <w:cols w:space="708"/>
          <w:docGrid w:linePitch="360"/>
        </w:sectPr>
      </w:pPr>
    </w:p>
    <w:p w14:paraId="14EC1BFC" w14:textId="77777777" w:rsidR="00BE5226" w:rsidRPr="00F110F6" w:rsidRDefault="007D583D" w:rsidP="007D583D">
      <w:pPr>
        <w:pStyle w:val="Heading3"/>
      </w:pPr>
      <w:bookmarkStart w:id="86" w:name="_Toc226723932"/>
      <w:bookmarkStart w:id="87" w:name="_Toc241826743"/>
      <w:r w:rsidRPr="00F110F6">
        <w:t>7.1 Workforce demographics</w:t>
      </w:r>
      <w:bookmarkEnd w:id="86"/>
      <w:bookmarkEnd w:id="87"/>
    </w:p>
    <w:p w14:paraId="40FA4C3E" w14:textId="39C65CCC" w:rsidR="00920D7D" w:rsidRPr="00F110F6" w:rsidRDefault="00300BE2" w:rsidP="00300BE2">
      <w:pPr>
        <w:pStyle w:val="Caption"/>
      </w:pPr>
      <w:r>
        <w:t xml:space="preserve">Table </w:t>
      </w:r>
      <w:r w:rsidR="0007555E">
        <w:t>2</w:t>
      </w:r>
      <w:r w:rsidR="0068179C">
        <w:t>3</w:t>
      </w:r>
      <w:r>
        <w:t xml:space="preserve">. </w:t>
      </w:r>
      <w:r w:rsidR="00920D7D" w:rsidRPr="00F110F6">
        <w:t>All ongoing employees – current reporting period (2025–26)</w:t>
      </w:r>
    </w:p>
    <w:tbl>
      <w:tblPr>
        <w:tblStyle w:val="NDISTable1"/>
        <w:tblW w:w="14213" w:type="dxa"/>
        <w:tblLayout w:type="fixed"/>
        <w:tblCellMar>
          <w:left w:w="57" w:type="dxa"/>
          <w:right w:w="28" w:type="dxa"/>
        </w:tblCellMar>
        <w:tblLook w:val="0420" w:firstRow="1" w:lastRow="0" w:firstColumn="0" w:lastColumn="0" w:noHBand="0" w:noVBand="1"/>
        <w:tblDescription w:val="[Insert table description] with columns for [Insert column headings]. The table has [insert number] columns and [insert number] rows."/>
      </w:tblPr>
      <w:tblGrid>
        <w:gridCol w:w="1194"/>
        <w:gridCol w:w="844"/>
        <w:gridCol w:w="844"/>
        <w:gridCol w:w="844"/>
        <w:gridCol w:w="844"/>
        <w:gridCol w:w="844"/>
        <w:gridCol w:w="844"/>
        <w:gridCol w:w="737"/>
        <w:gridCol w:w="737"/>
        <w:gridCol w:w="567"/>
        <w:gridCol w:w="844"/>
        <w:gridCol w:w="844"/>
        <w:gridCol w:w="844"/>
        <w:gridCol w:w="844"/>
        <w:gridCol w:w="850"/>
        <w:gridCol w:w="850"/>
        <w:gridCol w:w="838"/>
      </w:tblGrid>
      <w:tr w:rsidR="00797C7D" w:rsidRPr="00D92DA6" w14:paraId="79AC158A" w14:textId="77777777" w:rsidTr="005A4788">
        <w:trPr>
          <w:cnfStyle w:val="100000000000" w:firstRow="1" w:lastRow="0" w:firstColumn="0" w:lastColumn="0" w:oddVBand="0" w:evenVBand="0" w:oddHBand="0" w:evenHBand="0" w:firstRowFirstColumn="0" w:firstRowLastColumn="0" w:lastRowFirstColumn="0" w:lastRowLastColumn="0"/>
          <w:trHeight w:val="1928"/>
        </w:trPr>
        <w:tc>
          <w:tcPr>
            <w:tcW w:w="1194" w:type="dxa"/>
            <w:textDirection w:val="tbRl"/>
            <w:vAlign w:val="bottom"/>
          </w:tcPr>
          <w:p w14:paraId="490B0CF5" w14:textId="77777777" w:rsidR="00797C7D" w:rsidRPr="00D92DA6" w:rsidRDefault="00797C7D" w:rsidP="0039474A">
            <w:pPr>
              <w:pStyle w:val="TableBody0"/>
              <w:spacing w:line="288" w:lineRule="auto"/>
              <w:ind w:left="113" w:right="113"/>
            </w:pPr>
            <w:r w:rsidRPr="004D5FC7">
              <w:t>State or territory</w:t>
            </w:r>
          </w:p>
        </w:tc>
        <w:tc>
          <w:tcPr>
            <w:tcW w:w="844" w:type="dxa"/>
            <w:textDirection w:val="tbRl"/>
            <w:vAlign w:val="center"/>
          </w:tcPr>
          <w:p w14:paraId="47FCF4EF" w14:textId="566EB9D5" w:rsidR="00797C7D" w:rsidRPr="00D92DA6" w:rsidRDefault="00797C7D" w:rsidP="00023146">
            <w:pPr>
              <w:pStyle w:val="TableBody0"/>
              <w:spacing w:line="288" w:lineRule="auto"/>
              <w:ind w:left="113" w:right="113"/>
            </w:pPr>
            <w:r w:rsidRPr="00D92DA6">
              <w:t>Man/</w:t>
            </w:r>
            <w:r w:rsidR="00BE74C1" w:rsidRPr="00D92DA6">
              <w:t>m</w:t>
            </w:r>
            <w:r w:rsidRPr="00D92DA6">
              <w:t>ale full time</w:t>
            </w:r>
          </w:p>
        </w:tc>
        <w:tc>
          <w:tcPr>
            <w:tcW w:w="844" w:type="dxa"/>
            <w:textDirection w:val="tbRl"/>
            <w:vAlign w:val="center"/>
          </w:tcPr>
          <w:p w14:paraId="4E4D5E2C" w14:textId="70DC0E39" w:rsidR="00797C7D" w:rsidRPr="00D92DA6" w:rsidRDefault="00797C7D" w:rsidP="00023146">
            <w:pPr>
              <w:pStyle w:val="TableBody0"/>
              <w:spacing w:line="288" w:lineRule="auto"/>
              <w:ind w:left="113" w:right="113"/>
            </w:pPr>
            <w:r w:rsidRPr="00D92DA6">
              <w:t>Man/</w:t>
            </w:r>
            <w:r w:rsidR="00BE74C1" w:rsidRPr="00D92DA6">
              <w:t>m</w:t>
            </w:r>
            <w:r w:rsidRPr="00D92DA6">
              <w:t>ale part time</w:t>
            </w:r>
          </w:p>
        </w:tc>
        <w:tc>
          <w:tcPr>
            <w:tcW w:w="844" w:type="dxa"/>
            <w:textDirection w:val="tbRl"/>
            <w:vAlign w:val="center"/>
          </w:tcPr>
          <w:p w14:paraId="0922A6AA" w14:textId="451A857C" w:rsidR="00797C7D" w:rsidRPr="00D92DA6" w:rsidRDefault="00797C7D" w:rsidP="00023146">
            <w:pPr>
              <w:pStyle w:val="TableBody0"/>
              <w:spacing w:line="288" w:lineRule="auto"/>
              <w:ind w:left="113" w:right="113"/>
            </w:pPr>
            <w:r w:rsidRPr="00D92DA6">
              <w:t>Man/</w:t>
            </w:r>
            <w:r w:rsidR="00BE74C1" w:rsidRPr="00D92DA6">
              <w:t>m</w:t>
            </w:r>
            <w:r w:rsidRPr="00D92DA6">
              <w:t>ale total</w:t>
            </w:r>
          </w:p>
        </w:tc>
        <w:tc>
          <w:tcPr>
            <w:tcW w:w="844" w:type="dxa"/>
            <w:textDirection w:val="tbRl"/>
            <w:vAlign w:val="center"/>
          </w:tcPr>
          <w:p w14:paraId="116071B9" w14:textId="257FCBBA" w:rsidR="00797C7D" w:rsidRPr="00D92DA6" w:rsidRDefault="00797C7D" w:rsidP="00023146">
            <w:pPr>
              <w:pStyle w:val="TableBody0"/>
              <w:spacing w:line="288" w:lineRule="auto"/>
              <w:ind w:left="113" w:right="113"/>
            </w:pPr>
            <w:r w:rsidRPr="00D92DA6">
              <w:t>Woman/</w:t>
            </w:r>
            <w:r w:rsidR="00BE74C1" w:rsidRPr="00D92DA6">
              <w:t>f</w:t>
            </w:r>
            <w:r w:rsidRPr="00D92DA6">
              <w:t>emale full time</w:t>
            </w:r>
          </w:p>
        </w:tc>
        <w:tc>
          <w:tcPr>
            <w:tcW w:w="844" w:type="dxa"/>
            <w:textDirection w:val="tbRl"/>
            <w:vAlign w:val="center"/>
          </w:tcPr>
          <w:p w14:paraId="3BF76EE5" w14:textId="32B764B4" w:rsidR="00797C7D" w:rsidRPr="00D92DA6" w:rsidRDefault="00797C7D" w:rsidP="00023146">
            <w:pPr>
              <w:pStyle w:val="TableBody0"/>
              <w:spacing w:line="288" w:lineRule="auto"/>
              <w:ind w:left="113" w:right="113"/>
            </w:pPr>
            <w:r w:rsidRPr="00D92DA6">
              <w:t>Woman/</w:t>
            </w:r>
            <w:r w:rsidR="00BE74C1" w:rsidRPr="00D92DA6">
              <w:t>f</w:t>
            </w:r>
            <w:r w:rsidRPr="00D92DA6">
              <w:t>emale part time</w:t>
            </w:r>
          </w:p>
        </w:tc>
        <w:tc>
          <w:tcPr>
            <w:tcW w:w="844" w:type="dxa"/>
            <w:textDirection w:val="tbRl"/>
            <w:vAlign w:val="center"/>
          </w:tcPr>
          <w:p w14:paraId="1E6612DF" w14:textId="409F27D4" w:rsidR="00797C7D" w:rsidRPr="00D92DA6" w:rsidRDefault="00797C7D" w:rsidP="00023146">
            <w:pPr>
              <w:pStyle w:val="TableBody0"/>
              <w:spacing w:line="288" w:lineRule="auto"/>
              <w:ind w:left="113" w:right="113"/>
            </w:pPr>
            <w:r w:rsidRPr="00D92DA6">
              <w:t>Woman/</w:t>
            </w:r>
            <w:r w:rsidR="00BE74C1" w:rsidRPr="00D92DA6">
              <w:t>f</w:t>
            </w:r>
            <w:r w:rsidRPr="00D92DA6">
              <w:t>emale total</w:t>
            </w:r>
          </w:p>
        </w:tc>
        <w:tc>
          <w:tcPr>
            <w:tcW w:w="737" w:type="dxa"/>
            <w:textDirection w:val="tbRl"/>
            <w:vAlign w:val="center"/>
          </w:tcPr>
          <w:p w14:paraId="4CEEBA05" w14:textId="77777777" w:rsidR="00797C7D" w:rsidRPr="00D92DA6" w:rsidRDefault="00797C7D" w:rsidP="00023146">
            <w:pPr>
              <w:pStyle w:val="TableBody0"/>
              <w:spacing w:line="288" w:lineRule="auto"/>
              <w:ind w:left="113" w:right="113"/>
            </w:pPr>
            <w:r w:rsidRPr="00D92DA6">
              <w:t>Non-binary full time</w:t>
            </w:r>
          </w:p>
        </w:tc>
        <w:tc>
          <w:tcPr>
            <w:tcW w:w="737" w:type="dxa"/>
            <w:textDirection w:val="tbRl"/>
            <w:vAlign w:val="center"/>
          </w:tcPr>
          <w:p w14:paraId="7D6336D1" w14:textId="77777777" w:rsidR="00797C7D" w:rsidRPr="00D92DA6" w:rsidRDefault="00797C7D" w:rsidP="00023146">
            <w:pPr>
              <w:pStyle w:val="TableBody0"/>
              <w:spacing w:line="288" w:lineRule="auto"/>
              <w:ind w:left="113" w:right="113"/>
            </w:pPr>
            <w:r w:rsidRPr="00D92DA6">
              <w:t>Non-binary part time</w:t>
            </w:r>
          </w:p>
        </w:tc>
        <w:tc>
          <w:tcPr>
            <w:tcW w:w="567" w:type="dxa"/>
            <w:textDirection w:val="tbRl"/>
            <w:vAlign w:val="center"/>
          </w:tcPr>
          <w:p w14:paraId="623AEA6F" w14:textId="77777777" w:rsidR="00797C7D" w:rsidRPr="00D92DA6" w:rsidRDefault="00797C7D" w:rsidP="00023146">
            <w:pPr>
              <w:pStyle w:val="TableBody0"/>
              <w:spacing w:line="288" w:lineRule="auto"/>
              <w:ind w:left="113" w:right="113"/>
            </w:pPr>
            <w:r w:rsidRPr="00D92DA6">
              <w:t>Non-binary total</w:t>
            </w:r>
          </w:p>
        </w:tc>
        <w:tc>
          <w:tcPr>
            <w:tcW w:w="844" w:type="dxa"/>
            <w:textDirection w:val="tbRl"/>
            <w:vAlign w:val="center"/>
          </w:tcPr>
          <w:p w14:paraId="09407D91" w14:textId="77777777" w:rsidR="00797C7D" w:rsidRPr="00D92DA6" w:rsidRDefault="00797C7D" w:rsidP="00023146">
            <w:pPr>
              <w:pStyle w:val="TableBody0"/>
              <w:spacing w:line="288" w:lineRule="auto"/>
              <w:ind w:left="113" w:right="113"/>
            </w:pPr>
            <w:r w:rsidRPr="00D92DA6">
              <w:t>Prefers not to answer full time</w:t>
            </w:r>
          </w:p>
        </w:tc>
        <w:tc>
          <w:tcPr>
            <w:tcW w:w="844" w:type="dxa"/>
            <w:textDirection w:val="tbRl"/>
            <w:vAlign w:val="center"/>
          </w:tcPr>
          <w:p w14:paraId="0A1DE3F8" w14:textId="77777777" w:rsidR="00797C7D" w:rsidRPr="00D92DA6" w:rsidRDefault="00797C7D" w:rsidP="00023146">
            <w:pPr>
              <w:pStyle w:val="TableBody0"/>
              <w:spacing w:line="288" w:lineRule="auto"/>
              <w:ind w:left="113" w:right="113"/>
            </w:pPr>
            <w:r w:rsidRPr="00D92DA6">
              <w:t>Prefers not to answer part time</w:t>
            </w:r>
          </w:p>
        </w:tc>
        <w:tc>
          <w:tcPr>
            <w:tcW w:w="844" w:type="dxa"/>
            <w:textDirection w:val="tbRl"/>
            <w:vAlign w:val="center"/>
          </w:tcPr>
          <w:p w14:paraId="37BF4EBA" w14:textId="77777777" w:rsidR="00797C7D" w:rsidRPr="00D92DA6" w:rsidRDefault="00797C7D" w:rsidP="00023146">
            <w:pPr>
              <w:pStyle w:val="TableBody0"/>
              <w:spacing w:line="288" w:lineRule="auto"/>
              <w:ind w:left="113" w:right="113"/>
            </w:pPr>
            <w:r w:rsidRPr="00D92DA6">
              <w:t>Prefers not to answer total</w:t>
            </w:r>
          </w:p>
        </w:tc>
        <w:tc>
          <w:tcPr>
            <w:tcW w:w="844" w:type="dxa"/>
            <w:textDirection w:val="tbRl"/>
            <w:vAlign w:val="center"/>
          </w:tcPr>
          <w:p w14:paraId="413C00CC" w14:textId="77777777" w:rsidR="00797C7D" w:rsidRPr="00D92DA6" w:rsidRDefault="00797C7D" w:rsidP="00023146">
            <w:pPr>
              <w:pStyle w:val="TableBody0"/>
              <w:spacing w:line="288" w:lineRule="auto"/>
              <w:ind w:left="113" w:right="113"/>
            </w:pPr>
            <w:r w:rsidRPr="00D92DA6">
              <w:t>Uses a different term full time</w:t>
            </w:r>
          </w:p>
        </w:tc>
        <w:tc>
          <w:tcPr>
            <w:tcW w:w="850" w:type="dxa"/>
            <w:textDirection w:val="tbRl"/>
            <w:vAlign w:val="center"/>
          </w:tcPr>
          <w:p w14:paraId="35F77A09" w14:textId="77777777" w:rsidR="00797C7D" w:rsidRPr="00D92DA6" w:rsidRDefault="00797C7D" w:rsidP="00023146">
            <w:pPr>
              <w:pStyle w:val="TableBody0"/>
              <w:spacing w:line="288" w:lineRule="auto"/>
              <w:ind w:left="113" w:right="113"/>
            </w:pPr>
            <w:r w:rsidRPr="00D92DA6">
              <w:t>Uses a different term part time</w:t>
            </w:r>
          </w:p>
        </w:tc>
        <w:tc>
          <w:tcPr>
            <w:tcW w:w="850" w:type="dxa"/>
            <w:textDirection w:val="tbRl"/>
            <w:vAlign w:val="center"/>
          </w:tcPr>
          <w:p w14:paraId="721182A2" w14:textId="77777777" w:rsidR="00797C7D" w:rsidRPr="00D92DA6" w:rsidRDefault="00797C7D" w:rsidP="00023146">
            <w:pPr>
              <w:pStyle w:val="TableBody0"/>
              <w:spacing w:line="288" w:lineRule="auto"/>
              <w:ind w:left="113" w:right="113"/>
            </w:pPr>
            <w:r w:rsidRPr="00D92DA6">
              <w:t>Uses a different term total</w:t>
            </w:r>
          </w:p>
        </w:tc>
        <w:tc>
          <w:tcPr>
            <w:tcW w:w="838" w:type="dxa"/>
            <w:textDirection w:val="tbRl"/>
            <w:vAlign w:val="center"/>
          </w:tcPr>
          <w:p w14:paraId="24CD791D" w14:textId="77777777" w:rsidR="00797C7D" w:rsidRPr="00D92DA6" w:rsidRDefault="00797C7D" w:rsidP="00023146">
            <w:pPr>
              <w:pStyle w:val="TableBody0"/>
              <w:spacing w:line="288" w:lineRule="auto"/>
              <w:ind w:left="113" w:right="113"/>
            </w:pPr>
            <w:r w:rsidRPr="00D92DA6">
              <w:t>Total</w:t>
            </w:r>
          </w:p>
        </w:tc>
      </w:tr>
      <w:tr w:rsidR="00797C7D" w:rsidRPr="00F110F6" w14:paraId="7D5C60A1" w14:textId="77777777" w:rsidTr="005A4788">
        <w:trPr>
          <w:cnfStyle w:val="000000100000" w:firstRow="0" w:lastRow="0" w:firstColumn="0" w:lastColumn="0" w:oddVBand="0" w:evenVBand="0" w:oddHBand="1" w:evenHBand="0" w:firstRowFirstColumn="0" w:firstRowLastColumn="0" w:lastRowFirstColumn="0" w:lastRowLastColumn="0"/>
        </w:trPr>
        <w:tc>
          <w:tcPr>
            <w:tcW w:w="1194" w:type="dxa"/>
          </w:tcPr>
          <w:p w14:paraId="59C33E53" w14:textId="77777777" w:rsidR="00797C7D" w:rsidRPr="00F110F6" w:rsidRDefault="00797C7D" w:rsidP="002D3A0D">
            <w:pPr>
              <w:pStyle w:val="TableBody0"/>
              <w:spacing w:before="80" w:after="80" w:line="288" w:lineRule="auto"/>
            </w:pPr>
            <w:r w:rsidRPr="00F110F6">
              <w:t>NSW</w:t>
            </w:r>
          </w:p>
        </w:tc>
        <w:tc>
          <w:tcPr>
            <w:tcW w:w="844" w:type="dxa"/>
            <w:vAlign w:val="bottom"/>
          </w:tcPr>
          <w:p w14:paraId="323AE546" w14:textId="34C7D312" w:rsidR="00797C7D" w:rsidRPr="00F110F6" w:rsidRDefault="00797C7D" w:rsidP="002D3A0D">
            <w:pPr>
              <w:pStyle w:val="TableBody0"/>
              <w:spacing w:before="80" w:after="80" w:line="288" w:lineRule="auto"/>
              <w:jc w:val="right"/>
            </w:pPr>
            <w:r w:rsidRPr="00F110F6">
              <w:rPr>
                <w:rStyle w:val="normaltextrun"/>
              </w:rPr>
              <w:t>512</w:t>
            </w:r>
          </w:p>
        </w:tc>
        <w:tc>
          <w:tcPr>
            <w:tcW w:w="844" w:type="dxa"/>
            <w:vAlign w:val="bottom"/>
          </w:tcPr>
          <w:p w14:paraId="187A7038" w14:textId="7C9978D4" w:rsidR="00797C7D" w:rsidRPr="00F110F6" w:rsidRDefault="00797C7D" w:rsidP="002D3A0D">
            <w:pPr>
              <w:pStyle w:val="TableBody0"/>
              <w:spacing w:before="80" w:after="80" w:line="288" w:lineRule="auto"/>
              <w:jc w:val="right"/>
            </w:pPr>
            <w:r w:rsidRPr="00F110F6">
              <w:rPr>
                <w:rStyle w:val="normaltextrun"/>
              </w:rPr>
              <w:t>29</w:t>
            </w:r>
          </w:p>
        </w:tc>
        <w:tc>
          <w:tcPr>
            <w:tcW w:w="844" w:type="dxa"/>
            <w:vAlign w:val="bottom"/>
          </w:tcPr>
          <w:p w14:paraId="2C2FDA41" w14:textId="0F698835" w:rsidR="00797C7D" w:rsidRPr="00F110F6" w:rsidRDefault="00797C7D" w:rsidP="002D3A0D">
            <w:pPr>
              <w:pStyle w:val="TableBody0"/>
              <w:spacing w:before="80" w:after="80" w:line="288" w:lineRule="auto"/>
              <w:jc w:val="right"/>
            </w:pPr>
            <w:r w:rsidRPr="00F110F6">
              <w:rPr>
                <w:rStyle w:val="normaltextrun"/>
              </w:rPr>
              <w:t>541</w:t>
            </w:r>
          </w:p>
        </w:tc>
        <w:tc>
          <w:tcPr>
            <w:tcW w:w="844" w:type="dxa"/>
            <w:vAlign w:val="bottom"/>
          </w:tcPr>
          <w:p w14:paraId="42D4B526" w14:textId="4CA7031A" w:rsidR="00797C7D" w:rsidRPr="00F110F6" w:rsidRDefault="00797C7D" w:rsidP="002D3A0D">
            <w:pPr>
              <w:pStyle w:val="TableBody0"/>
              <w:spacing w:before="80" w:after="80" w:line="288" w:lineRule="auto"/>
              <w:jc w:val="right"/>
            </w:pPr>
            <w:r w:rsidRPr="00F110F6">
              <w:rPr>
                <w:rStyle w:val="normaltextrun"/>
              </w:rPr>
              <w:t>1,437</w:t>
            </w:r>
          </w:p>
        </w:tc>
        <w:tc>
          <w:tcPr>
            <w:tcW w:w="844" w:type="dxa"/>
            <w:vAlign w:val="bottom"/>
          </w:tcPr>
          <w:p w14:paraId="75363BDB" w14:textId="111D9B2E" w:rsidR="00797C7D" w:rsidRPr="00F110F6" w:rsidRDefault="00797C7D" w:rsidP="002D3A0D">
            <w:pPr>
              <w:pStyle w:val="TableBody0"/>
              <w:spacing w:before="80" w:after="80" w:line="288" w:lineRule="auto"/>
              <w:jc w:val="right"/>
            </w:pPr>
            <w:r w:rsidRPr="00F110F6">
              <w:rPr>
                <w:rStyle w:val="normaltextrun"/>
              </w:rPr>
              <w:t>283</w:t>
            </w:r>
          </w:p>
        </w:tc>
        <w:tc>
          <w:tcPr>
            <w:tcW w:w="844" w:type="dxa"/>
            <w:vAlign w:val="bottom"/>
          </w:tcPr>
          <w:p w14:paraId="3CA34495" w14:textId="16FCBA1B" w:rsidR="00797C7D" w:rsidRPr="00F110F6" w:rsidRDefault="00797C7D" w:rsidP="002D3A0D">
            <w:pPr>
              <w:pStyle w:val="TableBody0"/>
              <w:spacing w:before="80" w:after="80" w:line="288" w:lineRule="auto"/>
              <w:jc w:val="right"/>
            </w:pPr>
            <w:r w:rsidRPr="00F110F6">
              <w:rPr>
                <w:rStyle w:val="normaltextrun"/>
              </w:rPr>
              <w:t>1,720</w:t>
            </w:r>
          </w:p>
        </w:tc>
        <w:tc>
          <w:tcPr>
            <w:tcW w:w="737" w:type="dxa"/>
            <w:vAlign w:val="bottom"/>
          </w:tcPr>
          <w:p w14:paraId="5E8AE410" w14:textId="6E802B0F" w:rsidR="00797C7D" w:rsidRPr="00F110F6" w:rsidRDefault="00797C7D" w:rsidP="002D3A0D">
            <w:pPr>
              <w:pStyle w:val="TableBody0"/>
              <w:spacing w:before="80" w:after="80" w:line="288" w:lineRule="auto"/>
              <w:jc w:val="right"/>
            </w:pPr>
            <w:r w:rsidRPr="00F110F6">
              <w:rPr>
                <w:rStyle w:val="normaltextrun"/>
              </w:rPr>
              <w:t>12</w:t>
            </w:r>
          </w:p>
        </w:tc>
        <w:tc>
          <w:tcPr>
            <w:tcW w:w="737" w:type="dxa"/>
            <w:vAlign w:val="bottom"/>
          </w:tcPr>
          <w:p w14:paraId="115C3526" w14:textId="5FAC9C5F" w:rsidR="00797C7D" w:rsidRPr="00F110F6" w:rsidRDefault="00797C7D" w:rsidP="002D3A0D">
            <w:pPr>
              <w:pStyle w:val="TableBody0"/>
              <w:spacing w:before="80" w:after="80" w:line="288" w:lineRule="auto"/>
              <w:jc w:val="right"/>
            </w:pPr>
            <w:r w:rsidRPr="00F110F6">
              <w:rPr>
                <w:rStyle w:val="normaltextrun"/>
              </w:rPr>
              <w:t>1</w:t>
            </w:r>
          </w:p>
        </w:tc>
        <w:tc>
          <w:tcPr>
            <w:tcW w:w="567" w:type="dxa"/>
          </w:tcPr>
          <w:p w14:paraId="196FA589" w14:textId="6B3485AB" w:rsidR="00797C7D" w:rsidRPr="00F110F6" w:rsidRDefault="00797C7D" w:rsidP="002D3A0D">
            <w:pPr>
              <w:pStyle w:val="TableBody0"/>
              <w:spacing w:before="80" w:after="80" w:line="288" w:lineRule="auto"/>
              <w:jc w:val="right"/>
            </w:pPr>
            <w:r w:rsidRPr="00F110F6">
              <w:rPr>
                <w:rStyle w:val="normaltextrun"/>
              </w:rPr>
              <w:t>13</w:t>
            </w:r>
          </w:p>
        </w:tc>
        <w:tc>
          <w:tcPr>
            <w:tcW w:w="844" w:type="dxa"/>
          </w:tcPr>
          <w:p w14:paraId="6B2E2B1E" w14:textId="159E4271"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6539207F" w14:textId="6C3733DB"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5BA0990D" w14:textId="0CA751B6"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3B1C7DA9" w14:textId="4816FCD1"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4F0D927D" w14:textId="31C9F4F1"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56B993EF" w14:textId="2B542C63" w:rsidR="00797C7D" w:rsidRPr="00F110F6" w:rsidRDefault="00797C7D" w:rsidP="002D3A0D">
            <w:pPr>
              <w:pStyle w:val="TableBody0"/>
              <w:spacing w:before="80" w:after="80" w:line="288" w:lineRule="auto"/>
              <w:jc w:val="right"/>
            </w:pPr>
            <w:r w:rsidRPr="00F110F6">
              <w:rPr>
                <w:rStyle w:val="normaltextrun"/>
              </w:rPr>
              <w:t>0</w:t>
            </w:r>
          </w:p>
        </w:tc>
        <w:tc>
          <w:tcPr>
            <w:tcW w:w="838" w:type="dxa"/>
          </w:tcPr>
          <w:p w14:paraId="286D1F74" w14:textId="0CFCF802" w:rsidR="00797C7D" w:rsidRPr="00F110F6" w:rsidRDefault="00797C7D" w:rsidP="002D3A0D">
            <w:pPr>
              <w:pStyle w:val="TableBody0"/>
              <w:spacing w:before="80" w:after="80" w:line="288" w:lineRule="auto"/>
              <w:jc w:val="right"/>
            </w:pPr>
            <w:r w:rsidRPr="00F110F6">
              <w:rPr>
                <w:rStyle w:val="normaltextrun"/>
              </w:rPr>
              <w:t>2,274</w:t>
            </w:r>
          </w:p>
        </w:tc>
      </w:tr>
      <w:tr w:rsidR="00797C7D" w:rsidRPr="00F110F6" w14:paraId="378F0C88" w14:textId="77777777" w:rsidTr="005A4788">
        <w:trPr>
          <w:cnfStyle w:val="000000010000" w:firstRow="0" w:lastRow="0" w:firstColumn="0" w:lastColumn="0" w:oddVBand="0" w:evenVBand="0" w:oddHBand="0" w:evenHBand="1" w:firstRowFirstColumn="0" w:firstRowLastColumn="0" w:lastRowFirstColumn="0" w:lastRowLastColumn="0"/>
        </w:trPr>
        <w:tc>
          <w:tcPr>
            <w:tcW w:w="1194" w:type="dxa"/>
          </w:tcPr>
          <w:p w14:paraId="5BF4093B" w14:textId="70F93852" w:rsidR="00797C7D" w:rsidRPr="00F110F6" w:rsidRDefault="00797C7D" w:rsidP="002D3A0D">
            <w:pPr>
              <w:pStyle w:val="TableBody0"/>
              <w:spacing w:before="80" w:after="80" w:line="288" w:lineRule="auto"/>
            </w:pPr>
            <w:r w:rsidRPr="00F110F6">
              <w:t>Q</w:t>
            </w:r>
            <w:r w:rsidR="00F612FF" w:rsidRPr="00F110F6">
              <w:t>ld</w:t>
            </w:r>
          </w:p>
        </w:tc>
        <w:tc>
          <w:tcPr>
            <w:tcW w:w="844" w:type="dxa"/>
            <w:vAlign w:val="bottom"/>
          </w:tcPr>
          <w:p w14:paraId="3C13094E" w14:textId="23F29960" w:rsidR="00797C7D" w:rsidRPr="00F110F6" w:rsidRDefault="00797C7D" w:rsidP="002D3A0D">
            <w:pPr>
              <w:pStyle w:val="TableBody0"/>
              <w:spacing w:before="80" w:after="80" w:line="288" w:lineRule="auto"/>
              <w:jc w:val="right"/>
            </w:pPr>
            <w:r w:rsidRPr="00F110F6">
              <w:rPr>
                <w:rStyle w:val="normaltextrun"/>
              </w:rPr>
              <w:t>452</w:t>
            </w:r>
          </w:p>
        </w:tc>
        <w:tc>
          <w:tcPr>
            <w:tcW w:w="844" w:type="dxa"/>
            <w:vAlign w:val="bottom"/>
          </w:tcPr>
          <w:p w14:paraId="4158CC41" w14:textId="464356BA" w:rsidR="00797C7D" w:rsidRPr="00F110F6" w:rsidRDefault="00797C7D" w:rsidP="002D3A0D">
            <w:pPr>
              <w:pStyle w:val="TableBody0"/>
              <w:spacing w:before="80" w:after="80" w:line="288" w:lineRule="auto"/>
              <w:jc w:val="right"/>
            </w:pPr>
            <w:r w:rsidRPr="00F110F6">
              <w:rPr>
                <w:rStyle w:val="normaltextrun"/>
              </w:rPr>
              <w:t>18</w:t>
            </w:r>
          </w:p>
        </w:tc>
        <w:tc>
          <w:tcPr>
            <w:tcW w:w="844" w:type="dxa"/>
            <w:vAlign w:val="bottom"/>
          </w:tcPr>
          <w:p w14:paraId="06A0A811" w14:textId="631BA838" w:rsidR="00797C7D" w:rsidRPr="00F110F6" w:rsidRDefault="00797C7D" w:rsidP="002D3A0D">
            <w:pPr>
              <w:pStyle w:val="TableBody0"/>
              <w:spacing w:before="80" w:after="80" w:line="288" w:lineRule="auto"/>
              <w:jc w:val="right"/>
            </w:pPr>
            <w:r w:rsidRPr="00F110F6">
              <w:rPr>
                <w:rStyle w:val="normaltextrun"/>
              </w:rPr>
              <w:t>470</w:t>
            </w:r>
          </w:p>
        </w:tc>
        <w:tc>
          <w:tcPr>
            <w:tcW w:w="844" w:type="dxa"/>
            <w:vAlign w:val="bottom"/>
          </w:tcPr>
          <w:p w14:paraId="5C5C4E78" w14:textId="47667920" w:rsidR="00797C7D" w:rsidRPr="00F110F6" w:rsidRDefault="00797C7D" w:rsidP="002D3A0D">
            <w:pPr>
              <w:pStyle w:val="TableBody0"/>
              <w:spacing w:before="80" w:after="80" w:line="288" w:lineRule="auto"/>
              <w:jc w:val="right"/>
            </w:pPr>
            <w:r w:rsidRPr="00F110F6">
              <w:rPr>
                <w:rStyle w:val="normaltextrun"/>
              </w:rPr>
              <w:t>1,305</w:t>
            </w:r>
          </w:p>
        </w:tc>
        <w:tc>
          <w:tcPr>
            <w:tcW w:w="844" w:type="dxa"/>
            <w:vAlign w:val="bottom"/>
          </w:tcPr>
          <w:p w14:paraId="5C3B3792" w14:textId="4694E94C" w:rsidR="00797C7D" w:rsidRPr="00F110F6" w:rsidRDefault="00797C7D" w:rsidP="002D3A0D">
            <w:pPr>
              <w:pStyle w:val="TableBody0"/>
              <w:spacing w:before="80" w:after="80" w:line="288" w:lineRule="auto"/>
              <w:jc w:val="right"/>
            </w:pPr>
            <w:r w:rsidRPr="00F110F6">
              <w:rPr>
                <w:rStyle w:val="normaltextrun"/>
              </w:rPr>
              <w:t>245</w:t>
            </w:r>
          </w:p>
        </w:tc>
        <w:tc>
          <w:tcPr>
            <w:tcW w:w="844" w:type="dxa"/>
            <w:vAlign w:val="bottom"/>
          </w:tcPr>
          <w:p w14:paraId="66CFBE0B" w14:textId="78A6675D" w:rsidR="00797C7D" w:rsidRPr="00F110F6" w:rsidRDefault="00797C7D" w:rsidP="002D3A0D">
            <w:pPr>
              <w:pStyle w:val="TableBody0"/>
              <w:spacing w:before="80" w:after="80" w:line="288" w:lineRule="auto"/>
              <w:jc w:val="right"/>
            </w:pPr>
            <w:r w:rsidRPr="00F110F6">
              <w:rPr>
                <w:rStyle w:val="normaltextrun"/>
              </w:rPr>
              <w:t>1,550</w:t>
            </w:r>
          </w:p>
        </w:tc>
        <w:tc>
          <w:tcPr>
            <w:tcW w:w="737" w:type="dxa"/>
            <w:vAlign w:val="bottom"/>
          </w:tcPr>
          <w:p w14:paraId="4ABA9C50" w14:textId="1A7CB9AB" w:rsidR="00797C7D" w:rsidRPr="00F110F6" w:rsidRDefault="00797C7D" w:rsidP="002D3A0D">
            <w:pPr>
              <w:pStyle w:val="TableBody0"/>
              <w:spacing w:before="80" w:after="80" w:line="288" w:lineRule="auto"/>
              <w:jc w:val="right"/>
            </w:pPr>
            <w:r w:rsidRPr="00F110F6">
              <w:rPr>
                <w:rStyle w:val="normaltextrun"/>
              </w:rPr>
              <w:t>6</w:t>
            </w:r>
          </w:p>
        </w:tc>
        <w:tc>
          <w:tcPr>
            <w:tcW w:w="737" w:type="dxa"/>
            <w:vAlign w:val="bottom"/>
          </w:tcPr>
          <w:p w14:paraId="740B8D9D" w14:textId="507631BB" w:rsidR="00797C7D" w:rsidRPr="00F110F6" w:rsidRDefault="00797C7D" w:rsidP="002D3A0D">
            <w:pPr>
              <w:pStyle w:val="TableBody0"/>
              <w:spacing w:before="80" w:after="80" w:line="288" w:lineRule="auto"/>
              <w:jc w:val="right"/>
            </w:pPr>
            <w:r w:rsidRPr="00F110F6">
              <w:rPr>
                <w:rStyle w:val="normaltextrun"/>
              </w:rPr>
              <w:t>0</w:t>
            </w:r>
          </w:p>
        </w:tc>
        <w:tc>
          <w:tcPr>
            <w:tcW w:w="567" w:type="dxa"/>
          </w:tcPr>
          <w:p w14:paraId="7A44B718" w14:textId="25BF0D4E" w:rsidR="00797C7D" w:rsidRPr="00F110F6" w:rsidRDefault="00797C7D" w:rsidP="002D3A0D">
            <w:pPr>
              <w:pStyle w:val="TableBody0"/>
              <w:spacing w:before="80" w:after="80" w:line="288" w:lineRule="auto"/>
              <w:jc w:val="right"/>
            </w:pPr>
            <w:r w:rsidRPr="00F110F6">
              <w:rPr>
                <w:rStyle w:val="normaltextrun"/>
              </w:rPr>
              <w:t>6</w:t>
            </w:r>
          </w:p>
        </w:tc>
        <w:tc>
          <w:tcPr>
            <w:tcW w:w="844" w:type="dxa"/>
          </w:tcPr>
          <w:p w14:paraId="393105AF" w14:textId="5A4BDE68"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28B3EF0E" w14:textId="598E35BA"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19E6B5D1" w14:textId="38905D80"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42D9E293" w14:textId="166CBB11"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3BD5FE77" w14:textId="6ED88183"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1B8FE5A3" w14:textId="574032DC" w:rsidR="00797C7D" w:rsidRPr="00F110F6" w:rsidRDefault="00797C7D" w:rsidP="002D3A0D">
            <w:pPr>
              <w:pStyle w:val="TableBody0"/>
              <w:spacing w:before="80" w:after="80" w:line="288" w:lineRule="auto"/>
              <w:jc w:val="right"/>
            </w:pPr>
            <w:r w:rsidRPr="00F110F6">
              <w:rPr>
                <w:rStyle w:val="normaltextrun"/>
              </w:rPr>
              <w:t>0</w:t>
            </w:r>
          </w:p>
        </w:tc>
        <w:tc>
          <w:tcPr>
            <w:tcW w:w="838" w:type="dxa"/>
          </w:tcPr>
          <w:p w14:paraId="7A695FD9" w14:textId="6DEE3A2B" w:rsidR="00797C7D" w:rsidRPr="00F110F6" w:rsidRDefault="00797C7D" w:rsidP="002D3A0D">
            <w:pPr>
              <w:pStyle w:val="TableBody0"/>
              <w:spacing w:before="80" w:after="80" w:line="288" w:lineRule="auto"/>
              <w:jc w:val="right"/>
            </w:pPr>
            <w:r w:rsidRPr="00F110F6">
              <w:rPr>
                <w:rStyle w:val="normaltextrun"/>
              </w:rPr>
              <w:t>2,026</w:t>
            </w:r>
          </w:p>
        </w:tc>
      </w:tr>
      <w:tr w:rsidR="00797C7D" w:rsidRPr="00F110F6" w14:paraId="1AA15E75" w14:textId="77777777" w:rsidTr="005A4788">
        <w:trPr>
          <w:cnfStyle w:val="000000100000" w:firstRow="0" w:lastRow="0" w:firstColumn="0" w:lastColumn="0" w:oddVBand="0" w:evenVBand="0" w:oddHBand="1" w:evenHBand="0" w:firstRowFirstColumn="0" w:firstRowLastColumn="0" w:lastRowFirstColumn="0" w:lastRowLastColumn="0"/>
        </w:trPr>
        <w:tc>
          <w:tcPr>
            <w:tcW w:w="1194" w:type="dxa"/>
          </w:tcPr>
          <w:p w14:paraId="05E08B43" w14:textId="77777777" w:rsidR="00797C7D" w:rsidRPr="00F110F6" w:rsidRDefault="00797C7D" w:rsidP="002D3A0D">
            <w:pPr>
              <w:pStyle w:val="TableBody0"/>
              <w:spacing w:before="80" w:after="80" w:line="288" w:lineRule="auto"/>
            </w:pPr>
            <w:r w:rsidRPr="00F110F6">
              <w:t>SA</w:t>
            </w:r>
          </w:p>
        </w:tc>
        <w:tc>
          <w:tcPr>
            <w:tcW w:w="844" w:type="dxa"/>
            <w:vAlign w:val="bottom"/>
          </w:tcPr>
          <w:p w14:paraId="124B3241" w14:textId="2CF2CDD2" w:rsidR="00797C7D" w:rsidRPr="00F110F6" w:rsidRDefault="00797C7D" w:rsidP="002D3A0D">
            <w:pPr>
              <w:pStyle w:val="TableBody0"/>
              <w:spacing w:before="80" w:after="80" w:line="288" w:lineRule="auto"/>
              <w:jc w:val="right"/>
            </w:pPr>
            <w:r w:rsidRPr="00F110F6">
              <w:rPr>
                <w:rStyle w:val="normaltextrun"/>
              </w:rPr>
              <w:t>229</w:t>
            </w:r>
          </w:p>
        </w:tc>
        <w:tc>
          <w:tcPr>
            <w:tcW w:w="844" w:type="dxa"/>
            <w:vAlign w:val="bottom"/>
          </w:tcPr>
          <w:p w14:paraId="69D3A1D5" w14:textId="524911EE" w:rsidR="00797C7D" w:rsidRPr="00F110F6" w:rsidRDefault="00797C7D" w:rsidP="002D3A0D">
            <w:pPr>
              <w:pStyle w:val="TableBody0"/>
              <w:spacing w:before="80" w:after="80" w:line="288" w:lineRule="auto"/>
              <w:jc w:val="right"/>
            </w:pPr>
            <w:r w:rsidRPr="00F110F6">
              <w:rPr>
                <w:rStyle w:val="normaltextrun"/>
              </w:rPr>
              <w:t>18</w:t>
            </w:r>
          </w:p>
        </w:tc>
        <w:tc>
          <w:tcPr>
            <w:tcW w:w="844" w:type="dxa"/>
            <w:vAlign w:val="bottom"/>
          </w:tcPr>
          <w:p w14:paraId="76F44763" w14:textId="09F7C5D3" w:rsidR="00797C7D" w:rsidRPr="00F110F6" w:rsidRDefault="00797C7D" w:rsidP="002D3A0D">
            <w:pPr>
              <w:pStyle w:val="TableBody0"/>
              <w:spacing w:before="80" w:after="80" w:line="288" w:lineRule="auto"/>
              <w:jc w:val="right"/>
            </w:pPr>
            <w:r w:rsidRPr="00F110F6">
              <w:rPr>
                <w:rStyle w:val="normaltextrun"/>
              </w:rPr>
              <w:t>247</w:t>
            </w:r>
          </w:p>
        </w:tc>
        <w:tc>
          <w:tcPr>
            <w:tcW w:w="844" w:type="dxa"/>
            <w:vAlign w:val="bottom"/>
          </w:tcPr>
          <w:p w14:paraId="14638718" w14:textId="79C41A8A" w:rsidR="00797C7D" w:rsidRPr="00F110F6" w:rsidRDefault="00797C7D" w:rsidP="002D3A0D">
            <w:pPr>
              <w:pStyle w:val="TableBody0"/>
              <w:spacing w:before="80" w:after="80" w:line="288" w:lineRule="auto"/>
              <w:jc w:val="right"/>
            </w:pPr>
            <w:r w:rsidRPr="00F110F6">
              <w:rPr>
                <w:rStyle w:val="normaltextrun"/>
              </w:rPr>
              <w:t>550</w:t>
            </w:r>
          </w:p>
        </w:tc>
        <w:tc>
          <w:tcPr>
            <w:tcW w:w="844" w:type="dxa"/>
            <w:vAlign w:val="bottom"/>
          </w:tcPr>
          <w:p w14:paraId="49426D5F" w14:textId="250C694E" w:rsidR="00797C7D" w:rsidRPr="00F110F6" w:rsidRDefault="00797C7D" w:rsidP="002D3A0D">
            <w:pPr>
              <w:pStyle w:val="TableBody0"/>
              <w:spacing w:before="80" w:after="80" w:line="288" w:lineRule="auto"/>
              <w:jc w:val="right"/>
            </w:pPr>
            <w:r w:rsidRPr="00F110F6">
              <w:rPr>
                <w:rStyle w:val="normaltextrun"/>
              </w:rPr>
              <w:t>138</w:t>
            </w:r>
          </w:p>
        </w:tc>
        <w:tc>
          <w:tcPr>
            <w:tcW w:w="844" w:type="dxa"/>
            <w:vAlign w:val="bottom"/>
          </w:tcPr>
          <w:p w14:paraId="146AC48F" w14:textId="0B8FEA52" w:rsidR="00797C7D" w:rsidRPr="00F110F6" w:rsidRDefault="00797C7D" w:rsidP="002D3A0D">
            <w:pPr>
              <w:pStyle w:val="TableBody0"/>
              <w:spacing w:before="80" w:after="80" w:line="288" w:lineRule="auto"/>
              <w:jc w:val="right"/>
            </w:pPr>
            <w:r w:rsidRPr="00F110F6">
              <w:rPr>
                <w:rStyle w:val="normaltextrun"/>
              </w:rPr>
              <w:t>688</w:t>
            </w:r>
          </w:p>
        </w:tc>
        <w:tc>
          <w:tcPr>
            <w:tcW w:w="737" w:type="dxa"/>
            <w:vAlign w:val="bottom"/>
          </w:tcPr>
          <w:p w14:paraId="5F035CC4" w14:textId="6EA4E600" w:rsidR="00797C7D" w:rsidRPr="00F110F6" w:rsidRDefault="00797C7D" w:rsidP="002D3A0D">
            <w:pPr>
              <w:pStyle w:val="TableBody0"/>
              <w:spacing w:before="80" w:after="80" w:line="288" w:lineRule="auto"/>
              <w:jc w:val="right"/>
            </w:pPr>
            <w:r w:rsidRPr="00F110F6">
              <w:rPr>
                <w:rStyle w:val="normaltextrun"/>
              </w:rPr>
              <w:t>4</w:t>
            </w:r>
          </w:p>
        </w:tc>
        <w:tc>
          <w:tcPr>
            <w:tcW w:w="737" w:type="dxa"/>
            <w:vAlign w:val="bottom"/>
          </w:tcPr>
          <w:p w14:paraId="1F0ABB99" w14:textId="71BD863E" w:rsidR="00797C7D" w:rsidRPr="00F110F6" w:rsidRDefault="00797C7D" w:rsidP="002D3A0D">
            <w:pPr>
              <w:pStyle w:val="TableBody0"/>
              <w:spacing w:before="80" w:after="80" w:line="288" w:lineRule="auto"/>
              <w:jc w:val="right"/>
            </w:pPr>
            <w:r w:rsidRPr="00F110F6">
              <w:rPr>
                <w:rStyle w:val="normaltextrun"/>
              </w:rPr>
              <w:t>0</w:t>
            </w:r>
          </w:p>
        </w:tc>
        <w:tc>
          <w:tcPr>
            <w:tcW w:w="567" w:type="dxa"/>
          </w:tcPr>
          <w:p w14:paraId="79CBA1BD" w14:textId="4673CB73" w:rsidR="00797C7D" w:rsidRPr="00F110F6" w:rsidRDefault="00797C7D" w:rsidP="002D3A0D">
            <w:pPr>
              <w:pStyle w:val="TableBody0"/>
              <w:spacing w:before="80" w:after="80" w:line="288" w:lineRule="auto"/>
              <w:jc w:val="right"/>
            </w:pPr>
            <w:r w:rsidRPr="00F110F6">
              <w:rPr>
                <w:rStyle w:val="normaltextrun"/>
              </w:rPr>
              <w:t>4</w:t>
            </w:r>
          </w:p>
        </w:tc>
        <w:tc>
          <w:tcPr>
            <w:tcW w:w="844" w:type="dxa"/>
          </w:tcPr>
          <w:p w14:paraId="1408C29A" w14:textId="55C82E90"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2F1E5A00" w14:textId="7AF9BBC9"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3A6F737D" w14:textId="75F2EB63"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60AE52CE" w14:textId="4F326506"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1AABA538" w14:textId="45DC3C48"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45EE1CE6" w14:textId="6191AEDF" w:rsidR="00797C7D" w:rsidRPr="00F110F6" w:rsidRDefault="00797C7D" w:rsidP="002D3A0D">
            <w:pPr>
              <w:pStyle w:val="TableBody0"/>
              <w:spacing w:before="80" w:after="80" w:line="288" w:lineRule="auto"/>
              <w:jc w:val="right"/>
            </w:pPr>
            <w:r w:rsidRPr="00F110F6">
              <w:rPr>
                <w:rStyle w:val="normaltextrun"/>
              </w:rPr>
              <w:t>0</w:t>
            </w:r>
          </w:p>
        </w:tc>
        <w:tc>
          <w:tcPr>
            <w:tcW w:w="838" w:type="dxa"/>
          </w:tcPr>
          <w:p w14:paraId="5AD78F4D" w14:textId="7D3F2765" w:rsidR="00797C7D" w:rsidRPr="00F110F6" w:rsidRDefault="00797C7D" w:rsidP="002D3A0D">
            <w:pPr>
              <w:pStyle w:val="TableBody0"/>
              <w:spacing w:before="80" w:after="80" w:line="288" w:lineRule="auto"/>
              <w:jc w:val="right"/>
            </w:pPr>
            <w:r w:rsidRPr="00F110F6">
              <w:rPr>
                <w:rStyle w:val="normaltextrun"/>
              </w:rPr>
              <w:t>939</w:t>
            </w:r>
          </w:p>
        </w:tc>
      </w:tr>
      <w:tr w:rsidR="00797C7D" w:rsidRPr="00F110F6" w14:paraId="2CB66483" w14:textId="77777777" w:rsidTr="005A4788">
        <w:trPr>
          <w:cnfStyle w:val="000000010000" w:firstRow="0" w:lastRow="0" w:firstColumn="0" w:lastColumn="0" w:oddVBand="0" w:evenVBand="0" w:oddHBand="0" w:evenHBand="1" w:firstRowFirstColumn="0" w:firstRowLastColumn="0" w:lastRowFirstColumn="0" w:lastRowLastColumn="0"/>
        </w:trPr>
        <w:tc>
          <w:tcPr>
            <w:tcW w:w="1194" w:type="dxa"/>
          </w:tcPr>
          <w:p w14:paraId="3BB16E0B" w14:textId="77777777" w:rsidR="00797C7D" w:rsidRPr="00F110F6" w:rsidRDefault="00797C7D" w:rsidP="002D3A0D">
            <w:pPr>
              <w:pStyle w:val="TableBody0"/>
              <w:spacing w:before="80" w:after="80" w:line="288" w:lineRule="auto"/>
            </w:pPr>
            <w:r w:rsidRPr="00F110F6">
              <w:t>Tas</w:t>
            </w:r>
          </w:p>
        </w:tc>
        <w:tc>
          <w:tcPr>
            <w:tcW w:w="844" w:type="dxa"/>
            <w:vAlign w:val="bottom"/>
          </w:tcPr>
          <w:p w14:paraId="20D77709" w14:textId="79CEB1E0" w:rsidR="00797C7D" w:rsidRPr="00F110F6" w:rsidRDefault="00797C7D" w:rsidP="002D3A0D">
            <w:pPr>
              <w:pStyle w:val="TableBody0"/>
              <w:spacing w:before="80" w:after="80" w:line="288" w:lineRule="auto"/>
              <w:jc w:val="right"/>
            </w:pPr>
            <w:r w:rsidRPr="00F110F6">
              <w:rPr>
                <w:rStyle w:val="normaltextrun"/>
              </w:rPr>
              <w:t>44</w:t>
            </w:r>
          </w:p>
        </w:tc>
        <w:tc>
          <w:tcPr>
            <w:tcW w:w="844" w:type="dxa"/>
            <w:vAlign w:val="bottom"/>
          </w:tcPr>
          <w:p w14:paraId="04FE6259" w14:textId="5C1FC700" w:rsidR="00797C7D" w:rsidRPr="00F110F6" w:rsidRDefault="00797C7D" w:rsidP="002D3A0D">
            <w:pPr>
              <w:pStyle w:val="TableBody0"/>
              <w:spacing w:before="80" w:after="80" w:line="288" w:lineRule="auto"/>
              <w:jc w:val="right"/>
            </w:pPr>
            <w:r w:rsidRPr="00F110F6">
              <w:rPr>
                <w:rStyle w:val="normaltextrun"/>
              </w:rPr>
              <w:t>9</w:t>
            </w:r>
          </w:p>
        </w:tc>
        <w:tc>
          <w:tcPr>
            <w:tcW w:w="844" w:type="dxa"/>
            <w:vAlign w:val="bottom"/>
          </w:tcPr>
          <w:p w14:paraId="2E0FAE26" w14:textId="52C6A141" w:rsidR="00797C7D" w:rsidRPr="00F110F6" w:rsidRDefault="00797C7D" w:rsidP="002D3A0D">
            <w:pPr>
              <w:pStyle w:val="TableBody0"/>
              <w:spacing w:before="80" w:after="80" w:line="288" w:lineRule="auto"/>
              <w:jc w:val="right"/>
            </w:pPr>
            <w:r w:rsidRPr="00F110F6">
              <w:rPr>
                <w:rStyle w:val="normaltextrun"/>
              </w:rPr>
              <w:t>53</w:t>
            </w:r>
          </w:p>
        </w:tc>
        <w:tc>
          <w:tcPr>
            <w:tcW w:w="844" w:type="dxa"/>
            <w:vAlign w:val="bottom"/>
          </w:tcPr>
          <w:p w14:paraId="2A98BC07" w14:textId="25743CFF" w:rsidR="00797C7D" w:rsidRPr="00F110F6" w:rsidRDefault="00797C7D" w:rsidP="002D3A0D">
            <w:pPr>
              <w:pStyle w:val="TableBody0"/>
              <w:spacing w:before="80" w:after="80" w:line="288" w:lineRule="auto"/>
              <w:jc w:val="right"/>
            </w:pPr>
            <w:r w:rsidRPr="00F110F6">
              <w:rPr>
                <w:rStyle w:val="normaltextrun"/>
              </w:rPr>
              <w:t>87</w:t>
            </w:r>
          </w:p>
        </w:tc>
        <w:tc>
          <w:tcPr>
            <w:tcW w:w="844" w:type="dxa"/>
            <w:vAlign w:val="bottom"/>
          </w:tcPr>
          <w:p w14:paraId="40721250" w14:textId="00A7BB72" w:rsidR="00797C7D" w:rsidRPr="00F110F6" w:rsidRDefault="00797C7D" w:rsidP="002D3A0D">
            <w:pPr>
              <w:pStyle w:val="TableBody0"/>
              <w:spacing w:before="80" w:after="80" w:line="288" w:lineRule="auto"/>
              <w:jc w:val="right"/>
            </w:pPr>
            <w:r w:rsidRPr="00F110F6">
              <w:rPr>
                <w:rStyle w:val="normaltextrun"/>
              </w:rPr>
              <w:t>27</w:t>
            </w:r>
          </w:p>
        </w:tc>
        <w:tc>
          <w:tcPr>
            <w:tcW w:w="844" w:type="dxa"/>
            <w:vAlign w:val="bottom"/>
          </w:tcPr>
          <w:p w14:paraId="7335629F" w14:textId="3A4F42AA" w:rsidR="00797C7D" w:rsidRPr="00F110F6" w:rsidRDefault="00797C7D" w:rsidP="002D3A0D">
            <w:pPr>
              <w:pStyle w:val="TableBody0"/>
              <w:spacing w:before="80" w:after="80" w:line="288" w:lineRule="auto"/>
              <w:jc w:val="right"/>
            </w:pPr>
            <w:r w:rsidRPr="00F110F6">
              <w:rPr>
                <w:rStyle w:val="normaltextrun"/>
              </w:rPr>
              <w:t>114</w:t>
            </w:r>
          </w:p>
        </w:tc>
        <w:tc>
          <w:tcPr>
            <w:tcW w:w="737" w:type="dxa"/>
            <w:vAlign w:val="bottom"/>
          </w:tcPr>
          <w:p w14:paraId="62156C9D" w14:textId="4C7FD2FD" w:rsidR="00797C7D" w:rsidRPr="00F110F6" w:rsidRDefault="00797C7D" w:rsidP="002D3A0D">
            <w:pPr>
              <w:pStyle w:val="TableBody0"/>
              <w:spacing w:before="80" w:after="80" w:line="288" w:lineRule="auto"/>
              <w:jc w:val="right"/>
            </w:pPr>
            <w:r w:rsidRPr="00F110F6">
              <w:rPr>
                <w:rStyle w:val="normaltextrun"/>
              </w:rPr>
              <w:t>1</w:t>
            </w:r>
          </w:p>
        </w:tc>
        <w:tc>
          <w:tcPr>
            <w:tcW w:w="737" w:type="dxa"/>
            <w:vAlign w:val="bottom"/>
          </w:tcPr>
          <w:p w14:paraId="6AF4B0CE" w14:textId="1F62EC37" w:rsidR="00797C7D" w:rsidRPr="00F110F6" w:rsidRDefault="00797C7D" w:rsidP="002D3A0D">
            <w:pPr>
              <w:pStyle w:val="TableBody0"/>
              <w:spacing w:before="80" w:after="80" w:line="288" w:lineRule="auto"/>
              <w:jc w:val="right"/>
            </w:pPr>
            <w:r w:rsidRPr="00F110F6">
              <w:rPr>
                <w:rStyle w:val="normaltextrun"/>
              </w:rPr>
              <w:t>0</w:t>
            </w:r>
          </w:p>
        </w:tc>
        <w:tc>
          <w:tcPr>
            <w:tcW w:w="567" w:type="dxa"/>
          </w:tcPr>
          <w:p w14:paraId="482FACA5" w14:textId="507F6320" w:rsidR="00797C7D" w:rsidRPr="00F110F6" w:rsidRDefault="00797C7D" w:rsidP="002D3A0D">
            <w:pPr>
              <w:pStyle w:val="TableBody0"/>
              <w:spacing w:before="80" w:after="80" w:line="288" w:lineRule="auto"/>
              <w:jc w:val="right"/>
            </w:pPr>
            <w:r w:rsidRPr="00F110F6">
              <w:rPr>
                <w:rStyle w:val="normaltextrun"/>
              </w:rPr>
              <w:t>1</w:t>
            </w:r>
          </w:p>
        </w:tc>
        <w:tc>
          <w:tcPr>
            <w:tcW w:w="844" w:type="dxa"/>
          </w:tcPr>
          <w:p w14:paraId="67FF1FAA" w14:textId="36689E90"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416EA1E9" w14:textId="15F8CDA4"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4C4649BA" w14:textId="1E1161A1"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3F87357E" w14:textId="1363F5C9"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411C0335" w14:textId="2C6C3E7A"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6AB3D953" w14:textId="7661C33B" w:rsidR="00797C7D" w:rsidRPr="00F110F6" w:rsidRDefault="00797C7D" w:rsidP="002D3A0D">
            <w:pPr>
              <w:pStyle w:val="TableBody0"/>
              <w:spacing w:before="80" w:after="80" w:line="288" w:lineRule="auto"/>
              <w:jc w:val="right"/>
            </w:pPr>
            <w:r w:rsidRPr="00F110F6">
              <w:rPr>
                <w:rStyle w:val="normaltextrun"/>
              </w:rPr>
              <w:t>0</w:t>
            </w:r>
          </w:p>
        </w:tc>
        <w:tc>
          <w:tcPr>
            <w:tcW w:w="838" w:type="dxa"/>
          </w:tcPr>
          <w:p w14:paraId="10A53386" w14:textId="7CE25F80" w:rsidR="00797C7D" w:rsidRPr="00F110F6" w:rsidRDefault="00797C7D" w:rsidP="002D3A0D">
            <w:pPr>
              <w:pStyle w:val="TableBody0"/>
              <w:spacing w:before="80" w:after="80" w:line="288" w:lineRule="auto"/>
              <w:jc w:val="right"/>
            </w:pPr>
            <w:r w:rsidRPr="00F110F6">
              <w:rPr>
                <w:rStyle w:val="normaltextrun"/>
              </w:rPr>
              <w:t>168</w:t>
            </w:r>
          </w:p>
        </w:tc>
      </w:tr>
      <w:tr w:rsidR="00797C7D" w:rsidRPr="00F110F6" w14:paraId="0DB22727" w14:textId="77777777" w:rsidTr="005A4788">
        <w:trPr>
          <w:cnfStyle w:val="000000100000" w:firstRow="0" w:lastRow="0" w:firstColumn="0" w:lastColumn="0" w:oddVBand="0" w:evenVBand="0" w:oddHBand="1" w:evenHBand="0" w:firstRowFirstColumn="0" w:firstRowLastColumn="0" w:lastRowFirstColumn="0" w:lastRowLastColumn="0"/>
        </w:trPr>
        <w:tc>
          <w:tcPr>
            <w:tcW w:w="1194" w:type="dxa"/>
          </w:tcPr>
          <w:p w14:paraId="6C3ABE58" w14:textId="77777777" w:rsidR="00797C7D" w:rsidRPr="00F110F6" w:rsidRDefault="00797C7D" w:rsidP="002D3A0D">
            <w:pPr>
              <w:pStyle w:val="TableBody0"/>
              <w:spacing w:before="80" w:after="80" w:line="288" w:lineRule="auto"/>
            </w:pPr>
            <w:r w:rsidRPr="00F110F6">
              <w:t>Vic</w:t>
            </w:r>
          </w:p>
        </w:tc>
        <w:tc>
          <w:tcPr>
            <w:tcW w:w="844" w:type="dxa"/>
            <w:vAlign w:val="bottom"/>
          </w:tcPr>
          <w:p w14:paraId="24A51E1F" w14:textId="098ACE3F" w:rsidR="00797C7D" w:rsidRPr="00F110F6" w:rsidRDefault="00797C7D" w:rsidP="002D3A0D">
            <w:pPr>
              <w:pStyle w:val="TableBody0"/>
              <w:spacing w:before="80" w:after="80" w:line="288" w:lineRule="auto"/>
              <w:jc w:val="right"/>
            </w:pPr>
            <w:r w:rsidRPr="00F110F6">
              <w:rPr>
                <w:rStyle w:val="normaltextrun"/>
              </w:rPr>
              <w:t>1,043</w:t>
            </w:r>
          </w:p>
        </w:tc>
        <w:tc>
          <w:tcPr>
            <w:tcW w:w="844" w:type="dxa"/>
            <w:vAlign w:val="bottom"/>
          </w:tcPr>
          <w:p w14:paraId="6D815151" w14:textId="041FC4E4" w:rsidR="00797C7D" w:rsidRPr="00F110F6" w:rsidRDefault="00797C7D" w:rsidP="002D3A0D">
            <w:pPr>
              <w:pStyle w:val="TableBody0"/>
              <w:spacing w:before="80" w:after="80" w:line="288" w:lineRule="auto"/>
              <w:jc w:val="right"/>
            </w:pPr>
            <w:r w:rsidRPr="00F110F6">
              <w:rPr>
                <w:rStyle w:val="normaltextrun"/>
              </w:rPr>
              <w:t>60</w:t>
            </w:r>
          </w:p>
        </w:tc>
        <w:tc>
          <w:tcPr>
            <w:tcW w:w="844" w:type="dxa"/>
            <w:vAlign w:val="bottom"/>
          </w:tcPr>
          <w:p w14:paraId="15198A43" w14:textId="36D2DE63" w:rsidR="00797C7D" w:rsidRPr="00F110F6" w:rsidRDefault="00797C7D" w:rsidP="002D3A0D">
            <w:pPr>
              <w:pStyle w:val="TableBody0"/>
              <w:spacing w:before="80" w:after="80" w:line="288" w:lineRule="auto"/>
              <w:jc w:val="right"/>
            </w:pPr>
            <w:r w:rsidRPr="00F110F6">
              <w:rPr>
                <w:rStyle w:val="normaltextrun"/>
              </w:rPr>
              <w:t>1,103</w:t>
            </w:r>
          </w:p>
        </w:tc>
        <w:tc>
          <w:tcPr>
            <w:tcW w:w="844" w:type="dxa"/>
            <w:vAlign w:val="bottom"/>
          </w:tcPr>
          <w:p w14:paraId="0FD9ED4E" w14:textId="1D80F341" w:rsidR="00797C7D" w:rsidRPr="00F110F6" w:rsidRDefault="00797C7D" w:rsidP="002D3A0D">
            <w:pPr>
              <w:pStyle w:val="TableBody0"/>
              <w:spacing w:before="80" w:after="80" w:line="288" w:lineRule="auto"/>
              <w:jc w:val="right"/>
            </w:pPr>
            <w:r w:rsidRPr="00F110F6">
              <w:rPr>
                <w:rStyle w:val="normaltextrun"/>
              </w:rPr>
              <w:t>2,118</w:t>
            </w:r>
          </w:p>
        </w:tc>
        <w:tc>
          <w:tcPr>
            <w:tcW w:w="844" w:type="dxa"/>
            <w:vAlign w:val="bottom"/>
          </w:tcPr>
          <w:p w14:paraId="36718F52" w14:textId="43407D39" w:rsidR="00797C7D" w:rsidRPr="00F110F6" w:rsidRDefault="00797C7D" w:rsidP="002D3A0D">
            <w:pPr>
              <w:pStyle w:val="TableBody0"/>
              <w:spacing w:before="80" w:after="80" w:line="288" w:lineRule="auto"/>
              <w:jc w:val="right"/>
            </w:pPr>
            <w:r w:rsidRPr="00F110F6">
              <w:rPr>
                <w:rStyle w:val="normaltextrun"/>
              </w:rPr>
              <w:t>456</w:t>
            </w:r>
          </w:p>
        </w:tc>
        <w:tc>
          <w:tcPr>
            <w:tcW w:w="844" w:type="dxa"/>
            <w:vAlign w:val="bottom"/>
          </w:tcPr>
          <w:p w14:paraId="3D94094B" w14:textId="7D79A927" w:rsidR="00797C7D" w:rsidRPr="00F110F6" w:rsidRDefault="00797C7D" w:rsidP="002D3A0D">
            <w:pPr>
              <w:pStyle w:val="TableBody0"/>
              <w:spacing w:before="80" w:after="80" w:line="288" w:lineRule="auto"/>
              <w:jc w:val="right"/>
            </w:pPr>
            <w:r w:rsidRPr="00F110F6">
              <w:rPr>
                <w:rStyle w:val="normaltextrun"/>
              </w:rPr>
              <w:t>2,574</w:t>
            </w:r>
          </w:p>
        </w:tc>
        <w:tc>
          <w:tcPr>
            <w:tcW w:w="737" w:type="dxa"/>
            <w:vAlign w:val="bottom"/>
          </w:tcPr>
          <w:p w14:paraId="7335472D" w14:textId="115FC24C" w:rsidR="00797C7D" w:rsidRPr="00F110F6" w:rsidRDefault="00797C7D" w:rsidP="002D3A0D">
            <w:pPr>
              <w:pStyle w:val="TableBody0"/>
              <w:spacing w:before="80" w:after="80" w:line="288" w:lineRule="auto"/>
              <w:jc w:val="right"/>
            </w:pPr>
            <w:r w:rsidRPr="00F110F6">
              <w:rPr>
                <w:rStyle w:val="normaltextrun"/>
              </w:rPr>
              <w:t>25</w:t>
            </w:r>
          </w:p>
        </w:tc>
        <w:tc>
          <w:tcPr>
            <w:tcW w:w="737" w:type="dxa"/>
            <w:vAlign w:val="bottom"/>
          </w:tcPr>
          <w:p w14:paraId="5DF88DBF" w14:textId="015A4428" w:rsidR="00797C7D" w:rsidRPr="00F110F6" w:rsidRDefault="00797C7D" w:rsidP="002D3A0D">
            <w:pPr>
              <w:pStyle w:val="TableBody0"/>
              <w:spacing w:before="80" w:after="80" w:line="288" w:lineRule="auto"/>
              <w:jc w:val="right"/>
            </w:pPr>
            <w:r w:rsidRPr="00F110F6">
              <w:rPr>
                <w:rStyle w:val="normaltextrun"/>
              </w:rPr>
              <w:t>0</w:t>
            </w:r>
          </w:p>
        </w:tc>
        <w:tc>
          <w:tcPr>
            <w:tcW w:w="567" w:type="dxa"/>
          </w:tcPr>
          <w:p w14:paraId="2362B0BB" w14:textId="3823A29F" w:rsidR="00797C7D" w:rsidRPr="00F110F6" w:rsidRDefault="00797C7D" w:rsidP="002D3A0D">
            <w:pPr>
              <w:pStyle w:val="TableBody0"/>
              <w:spacing w:before="80" w:after="80" w:line="288" w:lineRule="auto"/>
              <w:jc w:val="right"/>
            </w:pPr>
            <w:r w:rsidRPr="00F110F6">
              <w:rPr>
                <w:rStyle w:val="normaltextrun"/>
              </w:rPr>
              <w:t>25</w:t>
            </w:r>
          </w:p>
        </w:tc>
        <w:tc>
          <w:tcPr>
            <w:tcW w:w="844" w:type="dxa"/>
          </w:tcPr>
          <w:p w14:paraId="1C22AF55" w14:textId="4F74F4B9"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79AD0899" w14:textId="7B698491"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7E2FC2AD" w14:textId="14D6B0B6"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094C52AC" w14:textId="72F9FE57"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500C52A5" w14:textId="5522A6FC"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03CB6CB2" w14:textId="26114D69" w:rsidR="00797C7D" w:rsidRPr="00F110F6" w:rsidRDefault="00797C7D" w:rsidP="002D3A0D">
            <w:pPr>
              <w:pStyle w:val="TableBody0"/>
              <w:spacing w:before="80" w:after="80" w:line="288" w:lineRule="auto"/>
              <w:jc w:val="right"/>
            </w:pPr>
            <w:r w:rsidRPr="00F110F6">
              <w:rPr>
                <w:rStyle w:val="normaltextrun"/>
              </w:rPr>
              <w:t>0</w:t>
            </w:r>
          </w:p>
        </w:tc>
        <w:tc>
          <w:tcPr>
            <w:tcW w:w="838" w:type="dxa"/>
          </w:tcPr>
          <w:p w14:paraId="2E159998" w14:textId="07EE7407" w:rsidR="00797C7D" w:rsidRPr="00F110F6" w:rsidRDefault="00797C7D" w:rsidP="002D3A0D">
            <w:pPr>
              <w:pStyle w:val="TableBody0"/>
              <w:spacing w:before="80" w:after="80" w:line="288" w:lineRule="auto"/>
              <w:jc w:val="right"/>
            </w:pPr>
            <w:r w:rsidRPr="00F110F6">
              <w:rPr>
                <w:rStyle w:val="normaltextrun"/>
              </w:rPr>
              <w:t>3,702</w:t>
            </w:r>
          </w:p>
        </w:tc>
      </w:tr>
      <w:tr w:rsidR="00797C7D" w:rsidRPr="00F110F6" w14:paraId="71C08D05" w14:textId="77777777" w:rsidTr="005A4788">
        <w:trPr>
          <w:cnfStyle w:val="000000010000" w:firstRow="0" w:lastRow="0" w:firstColumn="0" w:lastColumn="0" w:oddVBand="0" w:evenVBand="0" w:oddHBand="0" w:evenHBand="1" w:firstRowFirstColumn="0" w:firstRowLastColumn="0" w:lastRowFirstColumn="0" w:lastRowLastColumn="0"/>
        </w:trPr>
        <w:tc>
          <w:tcPr>
            <w:tcW w:w="1194" w:type="dxa"/>
          </w:tcPr>
          <w:p w14:paraId="0694A8DC" w14:textId="77777777" w:rsidR="00797C7D" w:rsidRPr="00F110F6" w:rsidRDefault="00797C7D" w:rsidP="002D3A0D">
            <w:pPr>
              <w:pStyle w:val="TableBody0"/>
              <w:spacing w:before="80" w:after="80" w:line="288" w:lineRule="auto"/>
            </w:pPr>
            <w:r w:rsidRPr="00F110F6">
              <w:t>WA</w:t>
            </w:r>
          </w:p>
        </w:tc>
        <w:tc>
          <w:tcPr>
            <w:tcW w:w="844" w:type="dxa"/>
            <w:vAlign w:val="bottom"/>
          </w:tcPr>
          <w:p w14:paraId="101EC16A" w14:textId="2D1701B5" w:rsidR="00797C7D" w:rsidRPr="00F110F6" w:rsidRDefault="00797C7D" w:rsidP="002D3A0D">
            <w:pPr>
              <w:pStyle w:val="TableBody0"/>
              <w:spacing w:before="80" w:after="80" w:line="288" w:lineRule="auto"/>
              <w:jc w:val="right"/>
            </w:pPr>
            <w:r w:rsidRPr="00F110F6">
              <w:rPr>
                <w:rStyle w:val="normaltextrun"/>
              </w:rPr>
              <w:t>185</w:t>
            </w:r>
          </w:p>
        </w:tc>
        <w:tc>
          <w:tcPr>
            <w:tcW w:w="844" w:type="dxa"/>
            <w:vAlign w:val="bottom"/>
          </w:tcPr>
          <w:p w14:paraId="06EEA98C" w14:textId="76A13A6A" w:rsidR="00797C7D" w:rsidRPr="00F110F6" w:rsidRDefault="00797C7D" w:rsidP="002D3A0D">
            <w:pPr>
              <w:pStyle w:val="TableBody0"/>
              <w:spacing w:before="80" w:after="80" w:line="288" w:lineRule="auto"/>
              <w:jc w:val="right"/>
            </w:pPr>
            <w:r w:rsidRPr="00F110F6">
              <w:rPr>
                <w:rStyle w:val="normaltextrun"/>
              </w:rPr>
              <w:t>17</w:t>
            </w:r>
          </w:p>
        </w:tc>
        <w:tc>
          <w:tcPr>
            <w:tcW w:w="844" w:type="dxa"/>
            <w:vAlign w:val="bottom"/>
          </w:tcPr>
          <w:p w14:paraId="0CEB0F84" w14:textId="1130C73A" w:rsidR="00797C7D" w:rsidRPr="00F110F6" w:rsidRDefault="00797C7D" w:rsidP="002D3A0D">
            <w:pPr>
              <w:pStyle w:val="TableBody0"/>
              <w:spacing w:before="80" w:after="80" w:line="288" w:lineRule="auto"/>
              <w:jc w:val="right"/>
            </w:pPr>
            <w:r w:rsidRPr="00F110F6">
              <w:rPr>
                <w:rStyle w:val="normaltextrun"/>
              </w:rPr>
              <w:t>202</w:t>
            </w:r>
          </w:p>
        </w:tc>
        <w:tc>
          <w:tcPr>
            <w:tcW w:w="844" w:type="dxa"/>
            <w:vAlign w:val="bottom"/>
          </w:tcPr>
          <w:p w14:paraId="30BF0283" w14:textId="121DBFEC" w:rsidR="00797C7D" w:rsidRPr="00F110F6" w:rsidRDefault="00797C7D" w:rsidP="002D3A0D">
            <w:pPr>
              <w:pStyle w:val="TableBody0"/>
              <w:spacing w:before="80" w:after="80" w:line="288" w:lineRule="auto"/>
              <w:jc w:val="right"/>
            </w:pPr>
            <w:r w:rsidRPr="00F110F6">
              <w:rPr>
                <w:rStyle w:val="normaltextrun"/>
              </w:rPr>
              <w:t>454</w:t>
            </w:r>
          </w:p>
        </w:tc>
        <w:tc>
          <w:tcPr>
            <w:tcW w:w="844" w:type="dxa"/>
            <w:vAlign w:val="bottom"/>
          </w:tcPr>
          <w:p w14:paraId="2AD020FA" w14:textId="74C029E4" w:rsidR="00797C7D" w:rsidRPr="00F110F6" w:rsidRDefault="00797C7D" w:rsidP="002D3A0D">
            <w:pPr>
              <w:pStyle w:val="TableBody0"/>
              <w:spacing w:before="80" w:after="80" w:line="288" w:lineRule="auto"/>
              <w:jc w:val="right"/>
            </w:pPr>
            <w:r w:rsidRPr="00F110F6">
              <w:rPr>
                <w:rStyle w:val="normaltextrun"/>
              </w:rPr>
              <w:t>90</w:t>
            </w:r>
          </w:p>
        </w:tc>
        <w:tc>
          <w:tcPr>
            <w:tcW w:w="844" w:type="dxa"/>
            <w:vAlign w:val="bottom"/>
          </w:tcPr>
          <w:p w14:paraId="0D8DD1F1" w14:textId="1BBE4DA0" w:rsidR="00797C7D" w:rsidRPr="00F110F6" w:rsidRDefault="00797C7D" w:rsidP="002D3A0D">
            <w:pPr>
              <w:pStyle w:val="TableBody0"/>
              <w:spacing w:before="80" w:after="80" w:line="288" w:lineRule="auto"/>
              <w:jc w:val="right"/>
            </w:pPr>
            <w:r w:rsidRPr="00F110F6">
              <w:rPr>
                <w:rStyle w:val="normaltextrun"/>
              </w:rPr>
              <w:t>544</w:t>
            </w:r>
          </w:p>
        </w:tc>
        <w:tc>
          <w:tcPr>
            <w:tcW w:w="737" w:type="dxa"/>
            <w:vAlign w:val="bottom"/>
          </w:tcPr>
          <w:p w14:paraId="14BBCA18" w14:textId="5B1BA0B9" w:rsidR="00797C7D" w:rsidRPr="00F110F6" w:rsidRDefault="00797C7D" w:rsidP="002D3A0D">
            <w:pPr>
              <w:pStyle w:val="TableBody0"/>
              <w:spacing w:before="80" w:after="80" w:line="288" w:lineRule="auto"/>
              <w:jc w:val="right"/>
            </w:pPr>
            <w:r w:rsidRPr="00F110F6">
              <w:rPr>
                <w:rStyle w:val="normaltextrun"/>
              </w:rPr>
              <w:t>2</w:t>
            </w:r>
          </w:p>
        </w:tc>
        <w:tc>
          <w:tcPr>
            <w:tcW w:w="737" w:type="dxa"/>
            <w:vAlign w:val="bottom"/>
          </w:tcPr>
          <w:p w14:paraId="0344AF66" w14:textId="68D0EB93" w:rsidR="00797C7D" w:rsidRPr="00F110F6" w:rsidRDefault="00797C7D" w:rsidP="002D3A0D">
            <w:pPr>
              <w:pStyle w:val="TableBody0"/>
              <w:spacing w:before="80" w:after="80" w:line="288" w:lineRule="auto"/>
              <w:jc w:val="right"/>
            </w:pPr>
            <w:r w:rsidRPr="00F110F6">
              <w:rPr>
                <w:rStyle w:val="normaltextrun"/>
              </w:rPr>
              <w:t>0</w:t>
            </w:r>
          </w:p>
        </w:tc>
        <w:tc>
          <w:tcPr>
            <w:tcW w:w="567" w:type="dxa"/>
          </w:tcPr>
          <w:p w14:paraId="7D0983C3" w14:textId="1A5D6389" w:rsidR="00797C7D" w:rsidRPr="00F110F6" w:rsidRDefault="00797C7D" w:rsidP="002D3A0D">
            <w:pPr>
              <w:pStyle w:val="TableBody0"/>
              <w:spacing w:before="80" w:after="80" w:line="288" w:lineRule="auto"/>
              <w:jc w:val="right"/>
            </w:pPr>
            <w:r w:rsidRPr="00F110F6">
              <w:rPr>
                <w:rStyle w:val="normaltextrun"/>
              </w:rPr>
              <w:t>2</w:t>
            </w:r>
          </w:p>
        </w:tc>
        <w:tc>
          <w:tcPr>
            <w:tcW w:w="844" w:type="dxa"/>
          </w:tcPr>
          <w:p w14:paraId="7110DA62" w14:textId="49F8F6AF"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2E96CCD3" w14:textId="1404F69C"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6A3C91CB" w14:textId="20D825A9"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30B1FC1A" w14:textId="3733D7BA"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372145BE" w14:textId="0FE61F27"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127D4AC4" w14:textId="7DD50036" w:rsidR="00797C7D" w:rsidRPr="00F110F6" w:rsidRDefault="00797C7D" w:rsidP="002D3A0D">
            <w:pPr>
              <w:pStyle w:val="TableBody0"/>
              <w:spacing w:before="80" w:after="80" w:line="288" w:lineRule="auto"/>
              <w:jc w:val="right"/>
            </w:pPr>
            <w:r w:rsidRPr="00F110F6">
              <w:rPr>
                <w:rStyle w:val="normaltextrun"/>
              </w:rPr>
              <w:t>0</w:t>
            </w:r>
          </w:p>
        </w:tc>
        <w:tc>
          <w:tcPr>
            <w:tcW w:w="838" w:type="dxa"/>
          </w:tcPr>
          <w:p w14:paraId="6BA9F247" w14:textId="40D79CDE" w:rsidR="00797C7D" w:rsidRPr="00F110F6" w:rsidRDefault="00797C7D" w:rsidP="002D3A0D">
            <w:pPr>
              <w:pStyle w:val="TableBody0"/>
              <w:spacing w:before="80" w:after="80" w:line="288" w:lineRule="auto"/>
              <w:jc w:val="right"/>
            </w:pPr>
            <w:r w:rsidRPr="00F110F6">
              <w:rPr>
                <w:rStyle w:val="normaltextrun"/>
              </w:rPr>
              <w:t>748</w:t>
            </w:r>
          </w:p>
        </w:tc>
      </w:tr>
      <w:tr w:rsidR="00797C7D" w:rsidRPr="00F110F6" w14:paraId="5A1AF33B" w14:textId="77777777" w:rsidTr="005A4788">
        <w:trPr>
          <w:cnfStyle w:val="000000100000" w:firstRow="0" w:lastRow="0" w:firstColumn="0" w:lastColumn="0" w:oddVBand="0" w:evenVBand="0" w:oddHBand="1" w:evenHBand="0" w:firstRowFirstColumn="0" w:firstRowLastColumn="0" w:lastRowFirstColumn="0" w:lastRowLastColumn="0"/>
        </w:trPr>
        <w:tc>
          <w:tcPr>
            <w:tcW w:w="1194" w:type="dxa"/>
          </w:tcPr>
          <w:p w14:paraId="02EEE325" w14:textId="77777777" w:rsidR="00797C7D" w:rsidRPr="00F110F6" w:rsidRDefault="00797C7D" w:rsidP="002D3A0D">
            <w:pPr>
              <w:pStyle w:val="TableBody0"/>
              <w:spacing w:before="80" w:after="80" w:line="288" w:lineRule="auto"/>
            </w:pPr>
            <w:r w:rsidRPr="00F110F6">
              <w:t>ACT</w:t>
            </w:r>
          </w:p>
        </w:tc>
        <w:tc>
          <w:tcPr>
            <w:tcW w:w="844" w:type="dxa"/>
            <w:vAlign w:val="bottom"/>
          </w:tcPr>
          <w:p w14:paraId="218CAC54" w14:textId="66A946C8" w:rsidR="00797C7D" w:rsidRPr="00F110F6" w:rsidRDefault="00797C7D" w:rsidP="002D3A0D">
            <w:pPr>
              <w:pStyle w:val="TableBody0"/>
              <w:spacing w:before="80" w:after="80" w:line="288" w:lineRule="auto"/>
              <w:jc w:val="right"/>
            </w:pPr>
            <w:r w:rsidRPr="00F110F6">
              <w:rPr>
                <w:rStyle w:val="normaltextrun"/>
              </w:rPr>
              <w:t>228</w:t>
            </w:r>
          </w:p>
        </w:tc>
        <w:tc>
          <w:tcPr>
            <w:tcW w:w="844" w:type="dxa"/>
            <w:vAlign w:val="bottom"/>
          </w:tcPr>
          <w:p w14:paraId="2CBBDA9A" w14:textId="0B8497ED" w:rsidR="00797C7D" w:rsidRPr="00F110F6" w:rsidRDefault="00797C7D" w:rsidP="002D3A0D">
            <w:pPr>
              <w:pStyle w:val="TableBody0"/>
              <w:spacing w:before="80" w:after="80" w:line="288" w:lineRule="auto"/>
              <w:jc w:val="right"/>
            </w:pPr>
            <w:r w:rsidRPr="00F110F6">
              <w:rPr>
                <w:rStyle w:val="normaltextrun"/>
              </w:rPr>
              <w:t>7</w:t>
            </w:r>
          </w:p>
        </w:tc>
        <w:tc>
          <w:tcPr>
            <w:tcW w:w="844" w:type="dxa"/>
            <w:vAlign w:val="bottom"/>
          </w:tcPr>
          <w:p w14:paraId="3DBE0662" w14:textId="6052A8BE" w:rsidR="00797C7D" w:rsidRPr="00F110F6" w:rsidRDefault="00797C7D" w:rsidP="002D3A0D">
            <w:pPr>
              <w:pStyle w:val="TableBody0"/>
              <w:spacing w:before="80" w:after="80" w:line="288" w:lineRule="auto"/>
              <w:jc w:val="right"/>
            </w:pPr>
            <w:r w:rsidRPr="00F110F6">
              <w:rPr>
                <w:rStyle w:val="normaltextrun"/>
              </w:rPr>
              <w:t>235</w:t>
            </w:r>
          </w:p>
        </w:tc>
        <w:tc>
          <w:tcPr>
            <w:tcW w:w="844" w:type="dxa"/>
            <w:vAlign w:val="bottom"/>
          </w:tcPr>
          <w:p w14:paraId="3E07BF89" w14:textId="33CA3C2B" w:rsidR="00797C7D" w:rsidRPr="00F110F6" w:rsidRDefault="00797C7D" w:rsidP="002D3A0D">
            <w:pPr>
              <w:pStyle w:val="TableBody0"/>
              <w:spacing w:before="80" w:after="80" w:line="288" w:lineRule="auto"/>
              <w:jc w:val="right"/>
            </w:pPr>
            <w:r w:rsidRPr="00F110F6">
              <w:rPr>
                <w:rStyle w:val="normaltextrun"/>
              </w:rPr>
              <w:t>411</w:t>
            </w:r>
          </w:p>
        </w:tc>
        <w:tc>
          <w:tcPr>
            <w:tcW w:w="844" w:type="dxa"/>
            <w:vAlign w:val="bottom"/>
          </w:tcPr>
          <w:p w14:paraId="4A4BADC1" w14:textId="1457704F" w:rsidR="00797C7D" w:rsidRPr="00F110F6" w:rsidRDefault="00797C7D" w:rsidP="002D3A0D">
            <w:pPr>
              <w:pStyle w:val="TableBody0"/>
              <w:spacing w:before="80" w:after="80" w:line="288" w:lineRule="auto"/>
              <w:jc w:val="right"/>
            </w:pPr>
            <w:r w:rsidRPr="00F110F6">
              <w:rPr>
                <w:rStyle w:val="normaltextrun"/>
              </w:rPr>
              <w:t>40</w:t>
            </w:r>
          </w:p>
        </w:tc>
        <w:tc>
          <w:tcPr>
            <w:tcW w:w="844" w:type="dxa"/>
            <w:vAlign w:val="bottom"/>
          </w:tcPr>
          <w:p w14:paraId="5455ADCA" w14:textId="1EA14820" w:rsidR="00797C7D" w:rsidRPr="00F110F6" w:rsidRDefault="00797C7D" w:rsidP="002D3A0D">
            <w:pPr>
              <w:pStyle w:val="TableBody0"/>
              <w:spacing w:before="80" w:after="80" w:line="288" w:lineRule="auto"/>
              <w:jc w:val="right"/>
            </w:pPr>
            <w:r w:rsidRPr="00F110F6">
              <w:rPr>
                <w:rStyle w:val="normaltextrun"/>
              </w:rPr>
              <w:t>451</w:t>
            </w:r>
          </w:p>
        </w:tc>
        <w:tc>
          <w:tcPr>
            <w:tcW w:w="737" w:type="dxa"/>
            <w:vAlign w:val="bottom"/>
          </w:tcPr>
          <w:p w14:paraId="75F8EEB4" w14:textId="5F4C602B" w:rsidR="00797C7D" w:rsidRPr="00F110F6" w:rsidRDefault="00797C7D" w:rsidP="002D3A0D">
            <w:pPr>
              <w:pStyle w:val="TableBody0"/>
              <w:spacing w:before="80" w:after="80" w:line="288" w:lineRule="auto"/>
              <w:jc w:val="right"/>
            </w:pPr>
            <w:r w:rsidRPr="00F110F6">
              <w:rPr>
                <w:rStyle w:val="normaltextrun"/>
              </w:rPr>
              <w:t>6</w:t>
            </w:r>
          </w:p>
        </w:tc>
        <w:tc>
          <w:tcPr>
            <w:tcW w:w="737" w:type="dxa"/>
            <w:vAlign w:val="bottom"/>
          </w:tcPr>
          <w:p w14:paraId="69EA64CD" w14:textId="11318DD1" w:rsidR="00797C7D" w:rsidRPr="00F110F6" w:rsidRDefault="00797C7D" w:rsidP="002D3A0D">
            <w:pPr>
              <w:pStyle w:val="TableBody0"/>
              <w:spacing w:before="80" w:after="80" w:line="288" w:lineRule="auto"/>
              <w:jc w:val="right"/>
            </w:pPr>
            <w:r w:rsidRPr="00F110F6">
              <w:rPr>
                <w:rStyle w:val="normaltextrun"/>
              </w:rPr>
              <w:t>1</w:t>
            </w:r>
          </w:p>
        </w:tc>
        <w:tc>
          <w:tcPr>
            <w:tcW w:w="567" w:type="dxa"/>
          </w:tcPr>
          <w:p w14:paraId="6029FE96" w14:textId="0345D6A9" w:rsidR="00797C7D" w:rsidRPr="00F110F6" w:rsidRDefault="00797C7D" w:rsidP="002D3A0D">
            <w:pPr>
              <w:pStyle w:val="TableBody0"/>
              <w:spacing w:before="80" w:after="80" w:line="288" w:lineRule="auto"/>
              <w:jc w:val="right"/>
            </w:pPr>
            <w:r w:rsidRPr="00F110F6">
              <w:rPr>
                <w:rStyle w:val="normaltextrun"/>
              </w:rPr>
              <w:t>7</w:t>
            </w:r>
          </w:p>
        </w:tc>
        <w:tc>
          <w:tcPr>
            <w:tcW w:w="844" w:type="dxa"/>
          </w:tcPr>
          <w:p w14:paraId="4618B2D5" w14:textId="03399BB9"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3C917643" w14:textId="24555EE4"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3372BCDC" w14:textId="075AB4FA"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53C41990" w14:textId="7A0D080F"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25159AC2" w14:textId="6655ED8A"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48DEB81A" w14:textId="3BFDBE43" w:rsidR="00797C7D" w:rsidRPr="00F110F6" w:rsidRDefault="00797C7D" w:rsidP="002D3A0D">
            <w:pPr>
              <w:pStyle w:val="TableBody0"/>
              <w:spacing w:before="80" w:after="80" w:line="288" w:lineRule="auto"/>
              <w:jc w:val="right"/>
            </w:pPr>
            <w:r w:rsidRPr="00F110F6">
              <w:rPr>
                <w:rStyle w:val="normaltextrun"/>
              </w:rPr>
              <w:t>0</w:t>
            </w:r>
          </w:p>
        </w:tc>
        <w:tc>
          <w:tcPr>
            <w:tcW w:w="838" w:type="dxa"/>
          </w:tcPr>
          <w:p w14:paraId="23499D0E" w14:textId="14EA1376" w:rsidR="00797C7D" w:rsidRPr="00F110F6" w:rsidRDefault="00797C7D" w:rsidP="002D3A0D">
            <w:pPr>
              <w:pStyle w:val="TableBody0"/>
              <w:spacing w:before="80" w:after="80" w:line="288" w:lineRule="auto"/>
              <w:jc w:val="right"/>
            </w:pPr>
            <w:r w:rsidRPr="00F110F6">
              <w:rPr>
                <w:rStyle w:val="normaltextrun"/>
              </w:rPr>
              <w:t>693</w:t>
            </w:r>
          </w:p>
        </w:tc>
      </w:tr>
      <w:tr w:rsidR="00797C7D" w:rsidRPr="00F110F6" w14:paraId="5CD648CA" w14:textId="77777777" w:rsidTr="005A4788">
        <w:trPr>
          <w:cnfStyle w:val="000000010000" w:firstRow="0" w:lastRow="0" w:firstColumn="0" w:lastColumn="0" w:oddVBand="0" w:evenVBand="0" w:oddHBand="0" w:evenHBand="1" w:firstRowFirstColumn="0" w:firstRowLastColumn="0" w:lastRowFirstColumn="0" w:lastRowLastColumn="0"/>
        </w:trPr>
        <w:tc>
          <w:tcPr>
            <w:tcW w:w="1194" w:type="dxa"/>
          </w:tcPr>
          <w:p w14:paraId="56F213C5" w14:textId="77777777" w:rsidR="00797C7D" w:rsidRPr="00F110F6" w:rsidRDefault="00797C7D" w:rsidP="002D3A0D">
            <w:pPr>
              <w:pStyle w:val="TableBody0"/>
              <w:spacing w:before="80" w:after="80" w:line="288" w:lineRule="auto"/>
            </w:pPr>
            <w:r w:rsidRPr="00F110F6">
              <w:t>NT</w:t>
            </w:r>
          </w:p>
        </w:tc>
        <w:tc>
          <w:tcPr>
            <w:tcW w:w="844" w:type="dxa"/>
            <w:vAlign w:val="bottom"/>
          </w:tcPr>
          <w:p w14:paraId="1FED57A4" w14:textId="070D522F" w:rsidR="00797C7D" w:rsidRPr="00F110F6" w:rsidRDefault="00797C7D" w:rsidP="002D3A0D">
            <w:pPr>
              <w:pStyle w:val="TableBody0"/>
              <w:spacing w:before="80" w:after="80" w:line="288" w:lineRule="auto"/>
              <w:jc w:val="right"/>
            </w:pPr>
            <w:r w:rsidRPr="00F110F6">
              <w:rPr>
                <w:rStyle w:val="normaltextrun"/>
              </w:rPr>
              <w:t>21</w:t>
            </w:r>
          </w:p>
        </w:tc>
        <w:tc>
          <w:tcPr>
            <w:tcW w:w="844" w:type="dxa"/>
            <w:vAlign w:val="bottom"/>
          </w:tcPr>
          <w:p w14:paraId="6F47F7B5" w14:textId="78A137E0" w:rsidR="00797C7D" w:rsidRPr="00F110F6" w:rsidRDefault="00797C7D" w:rsidP="002D3A0D">
            <w:pPr>
              <w:pStyle w:val="TableBody0"/>
              <w:spacing w:before="80" w:after="80" w:line="288" w:lineRule="auto"/>
              <w:jc w:val="right"/>
            </w:pPr>
            <w:r w:rsidRPr="00F110F6">
              <w:rPr>
                <w:rStyle w:val="normaltextrun"/>
              </w:rPr>
              <w:t>0</w:t>
            </w:r>
          </w:p>
        </w:tc>
        <w:tc>
          <w:tcPr>
            <w:tcW w:w="844" w:type="dxa"/>
            <w:vAlign w:val="bottom"/>
          </w:tcPr>
          <w:p w14:paraId="36F6BF62" w14:textId="10B0730D" w:rsidR="00797C7D" w:rsidRPr="00F110F6" w:rsidRDefault="00797C7D" w:rsidP="002D3A0D">
            <w:pPr>
              <w:pStyle w:val="TableBody0"/>
              <w:spacing w:before="80" w:after="80" w:line="288" w:lineRule="auto"/>
              <w:jc w:val="right"/>
            </w:pPr>
            <w:r w:rsidRPr="00F110F6">
              <w:rPr>
                <w:rStyle w:val="normaltextrun"/>
              </w:rPr>
              <w:t>21</w:t>
            </w:r>
          </w:p>
        </w:tc>
        <w:tc>
          <w:tcPr>
            <w:tcW w:w="844" w:type="dxa"/>
            <w:vAlign w:val="bottom"/>
          </w:tcPr>
          <w:p w14:paraId="3318EA58" w14:textId="160E682C" w:rsidR="00797C7D" w:rsidRPr="00F110F6" w:rsidRDefault="00797C7D" w:rsidP="002D3A0D">
            <w:pPr>
              <w:pStyle w:val="TableBody0"/>
              <w:spacing w:before="80" w:after="80" w:line="288" w:lineRule="auto"/>
              <w:jc w:val="right"/>
            </w:pPr>
            <w:r w:rsidRPr="00F110F6">
              <w:rPr>
                <w:rStyle w:val="normaltextrun"/>
              </w:rPr>
              <w:t>120</w:t>
            </w:r>
          </w:p>
        </w:tc>
        <w:tc>
          <w:tcPr>
            <w:tcW w:w="844" w:type="dxa"/>
            <w:vAlign w:val="bottom"/>
          </w:tcPr>
          <w:p w14:paraId="5DE30058" w14:textId="37759CD3" w:rsidR="00797C7D" w:rsidRPr="00F110F6" w:rsidRDefault="00797C7D" w:rsidP="002D3A0D">
            <w:pPr>
              <w:pStyle w:val="TableBody0"/>
              <w:spacing w:before="80" w:after="80" w:line="288" w:lineRule="auto"/>
              <w:jc w:val="right"/>
            </w:pPr>
            <w:r w:rsidRPr="00F110F6">
              <w:rPr>
                <w:rStyle w:val="normaltextrun"/>
              </w:rPr>
              <w:t>13</w:t>
            </w:r>
          </w:p>
        </w:tc>
        <w:tc>
          <w:tcPr>
            <w:tcW w:w="844" w:type="dxa"/>
            <w:vAlign w:val="bottom"/>
          </w:tcPr>
          <w:p w14:paraId="689109A8" w14:textId="23B3C318" w:rsidR="00797C7D" w:rsidRPr="00F110F6" w:rsidRDefault="00797C7D" w:rsidP="002D3A0D">
            <w:pPr>
              <w:pStyle w:val="TableBody0"/>
              <w:spacing w:before="80" w:after="80" w:line="288" w:lineRule="auto"/>
              <w:jc w:val="right"/>
            </w:pPr>
            <w:r w:rsidRPr="00F110F6">
              <w:rPr>
                <w:rStyle w:val="normaltextrun"/>
              </w:rPr>
              <w:t>133</w:t>
            </w:r>
          </w:p>
        </w:tc>
        <w:tc>
          <w:tcPr>
            <w:tcW w:w="737" w:type="dxa"/>
            <w:vAlign w:val="bottom"/>
          </w:tcPr>
          <w:p w14:paraId="1F2C5C22" w14:textId="1F37176B" w:rsidR="00797C7D" w:rsidRPr="00F110F6" w:rsidRDefault="00797C7D" w:rsidP="002D3A0D">
            <w:pPr>
              <w:pStyle w:val="TableBody0"/>
              <w:spacing w:before="80" w:after="80" w:line="288" w:lineRule="auto"/>
              <w:jc w:val="right"/>
            </w:pPr>
            <w:r w:rsidRPr="00F110F6">
              <w:rPr>
                <w:rStyle w:val="normaltextrun"/>
              </w:rPr>
              <w:t>0</w:t>
            </w:r>
          </w:p>
        </w:tc>
        <w:tc>
          <w:tcPr>
            <w:tcW w:w="737" w:type="dxa"/>
            <w:vAlign w:val="bottom"/>
          </w:tcPr>
          <w:p w14:paraId="03D73FA0" w14:textId="73861970" w:rsidR="00797C7D" w:rsidRPr="00F110F6" w:rsidRDefault="00797C7D" w:rsidP="002D3A0D">
            <w:pPr>
              <w:pStyle w:val="TableBody0"/>
              <w:spacing w:before="80" w:after="80" w:line="288" w:lineRule="auto"/>
              <w:jc w:val="right"/>
            </w:pPr>
            <w:r w:rsidRPr="00F110F6">
              <w:rPr>
                <w:rStyle w:val="normaltextrun"/>
              </w:rPr>
              <w:t>0</w:t>
            </w:r>
          </w:p>
        </w:tc>
        <w:tc>
          <w:tcPr>
            <w:tcW w:w="567" w:type="dxa"/>
          </w:tcPr>
          <w:p w14:paraId="73B0843C" w14:textId="41460FC9"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55CDEAF4" w14:textId="7E149EE5"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57BB87E7" w14:textId="1E450487"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50598D06" w14:textId="7F22D5D7"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1683EC6F" w14:textId="0B8BB639"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5E121C37" w14:textId="5232EFBB"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77D1452A" w14:textId="45509621" w:rsidR="00797C7D" w:rsidRPr="00F110F6" w:rsidRDefault="00797C7D" w:rsidP="002D3A0D">
            <w:pPr>
              <w:pStyle w:val="TableBody0"/>
              <w:spacing w:before="80" w:after="80" w:line="288" w:lineRule="auto"/>
              <w:jc w:val="right"/>
            </w:pPr>
            <w:r w:rsidRPr="00F110F6">
              <w:rPr>
                <w:rStyle w:val="normaltextrun"/>
              </w:rPr>
              <w:t>0</w:t>
            </w:r>
          </w:p>
        </w:tc>
        <w:tc>
          <w:tcPr>
            <w:tcW w:w="838" w:type="dxa"/>
          </w:tcPr>
          <w:p w14:paraId="32575EA2" w14:textId="590FA2D7" w:rsidR="00797C7D" w:rsidRPr="00F110F6" w:rsidRDefault="00797C7D" w:rsidP="002D3A0D">
            <w:pPr>
              <w:pStyle w:val="TableBody0"/>
              <w:spacing w:before="80" w:after="80" w:line="288" w:lineRule="auto"/>
              <w:jc w:val="right"/>
            </w:pPr>
            <w:r w:rsidRPr="00F110F6">
              <w:rPr>
                <w:rStyle w:val="normaltextrun"/>
              </w:rPr>
              <w:t>154</w:t>
            </w:r>
          </w:p>
        </w:tc>
      </w:tr>
      <w:tr w:rsidR="00797C7D" w:rsidRPr="00F110F6" w14:paraId="79A5D58D" w14:textId="77777777" w:rsidTr="005A4788">
        <w:trPr>
          <w:cnfStyle w:val="000000100000" w:firstRow="0" w:lastRow="0" w:firstColumn="0" w:lastColumn="0" w:oddVBand="0" w:evenVBand="0" w:oddHBand="1" w:evenHBand="0" w:firstRowFirstColumn="0" w:firstRowLastColumn="0" w:lastRowFirstColumn="0" w:lastRowLastColumn="0"/>
        </w:trPr>
        <w:tc>
          <w:tcPr>
            <w:tcW w:w="1194" w:type="dxa"/>
          </w:tcPr>
          <w:p w14:paraId="23B3425B" w14:textId="77777777" w:rsidR="00797C7D" w:rsidRPr="00F110F6" w:rsidRDefault="00797C7D" w:rsidP="002D3A0D">
            <w:pPr>
              <w:pStyle w:val="TableBody0"/>
              <w:spacing w:before="80" w:after="80" w:line="288" w:lineRule="auto"/>
            </w:pPr>
            <w:r w:rsidRPr="00F110F6">
              <w:t>External territories</w:t>
            </w:r>
          </w:p>
        </w:tc>
        <w:tc>
          <w:tcPr>
            <w:tcW w:w="844" w:type="dxa"/>
          </w:tcPr>
          <w:p w14:paraId="2F054FC9" w14:textId="67ADDAD8"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79D2AABB" w14:textId="34120000"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21ECCA89" w14:textId="7CF2E809"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1422B454" w14:textId="1E482265"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126CA3BB" w14:textId="073689B0"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6CD1ECA9" w14:textId="0BEB4BFB" w:rsidR="00797C7D" w:rsidRPr="00F110F6" w:rsidRDefault="00797C7D" w:rsidP="002D3A0D">
            <w:pPr>
              <w:pStyle w:val="TableBody0"/>
              <w:spacing w:before="80" w:after="80" w:line="288" w:lineRule="auto"/>
              <w:jc w:val="right"/>
            </w:pPr>
            <w:r w:rsidRPr="00F110F6">
              <w:rPr>
                <w:rStyle w:val="normaltextrun"/>
              </w:rPr>
              <w:t>0</w:t>
            </w:r>
          </w:p>
        </w:tc>
        <w:tc>
          <w:tcPr>
            <w:tcW w:w="737" w:type="dxa"/>
          </w:tcPr>
          <w:p w14:paraId="4C710448" w14:textId="120D2B71" w:rsidR="00797C7D" w:rsidRPr="00F110F6" w:rsidRDefault="00797C7D" w:rsidP="002D3A0D">
            <w:pPr>
              <w:pStyle w:val="TableBody0"/>
              <w:spacing w:before="80" w:after="80" w:line="288" w:lineRule="auto"/>
              <w:jc w:val="right"/>
            </w:pPr>
            <w:r w:rsidRPr="00F110F6">
              <w:rPr>
                <w:rStyle w:val="normaltextrun"/>
              </w:rPr>
              <w:t>0</w:t>
            </w:r>
          </w:p>
        </w:tc>
        <w:tc>
          <w:tcPr>
            <w:tcW w:w="737" w:type="dxa"/>
          </w:tcPr>
          <w:p w14:paraId="26BE25C9" w14:textId="2734A73D" w:rsidR="00797C7D" w:rsidRPr="00F110F6" w:rsidRDefault="00797C7D" w:rsidP="002D3A0D">
            <w:pPr>
              <w:pStyle w:val="TableBody0"/>
              <w:spacing w:before="80" w:after="80" w:line="288" w:lineRule="auto"/>
              <w:jc w:val="right"/>
            </w:pPr>
            <w:r w:rsidRPr="00F110F6">
              <w:rPr>
                <w:rStyle w:val="normaltextrun"/>
              </w:rPr>
              <w:t>0</w:t>
            </w:r>
          </w:p>
        </w:tc>
        <w:tc>
          <w:tcPr>
            <w:tcW w:w="567" w:type="dxa"/>
          </w:tcPr>
          <w:p w14:paraId="67BC4B83" w14:textId="3C0B960A"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3DA9C2F9" w14:textId="211B07D7"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34A990E4" w14:textId="4CDB2803"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68284AC6" w14:textId="0DD26256"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6CC986DD" w14:textId="099DA414"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0A47AC92" w14:textId="3BA9C3B4"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7AB4203F" w14:textId="616C2EDB" w:rsidR="00797C7D" w:rsidRPr="00F110F6" w:rsidRDefault="00797C7D" w:rsidP="002D3A0D">
            <w:pPr>
              <w:pStyle w:val="TableBody0"/>
              <w:spacing w:before="80" w:after="80" w:line="288" w:lineRule="auto"/>
              <w:jc w:val="right"/>
            </w:pPr>
            <w:r w:rsidRPr="00F110F6">
              <w:rPr>
                <w:rStyle w:val="normaltextrun"/>
              </w:rPr>
              <w:t>0</w:t>
            </w:r>
          </w:p>
        </w:tc>
        <w:tc>
          <w:tcPr>
            <w:tcW w:w="838" w:type="dxa"/>
          </w:tcPr>
          <w:p w14:paraId="6B460E77" w14:textId="1F8E9C3B" w:rsidR="00797C7D" w:rsidRPr="00F110F6" w:rsidRDefault="00797C7D" w:rsidP="002D3A0D">
            <w:pPr>
              <w:pStyle w:val="TableBody0"/>
              <w:spacing w:before="80" w:after="80" w:line="288" w:lineRule="auto"/>
              <w:jc w:val="right"/>
            </w:pPr>
            <w:r w:rsidRPr="00F110F6">
              <w:rPr>
                <w:rStyle w:val="normaltextrun"/>
              </w:rPr>
              <w:t>0</w:t>
            </w:r>
          </w:p>
        </w:tc>
      </w:tr>
      <w:tr w:rsidR="00797C7D" w:rsidRPr="00F110F6" w14:paraId="5746441E" w14:textId="77777777" w:rsidTr="005A4788">
        <w:trPr>
          <w:cnfStyle w:val="000000010000" w:firstRow="0" w:lastRow="0" w:firstColumn="0" w:lastColumn="0" w:oddVBand="0" w:evenVBand="0" w:oddHBand="0" w:evenHBand="1" w:firstRowFirstColumn="0" w:firstRowLastColumn="0" w:lastRowFirstColumn="0" w:lastRowLastColumn="0"/>
        </w:trPr>
        <w:tc>
          <w:tcPr>
            <w:tcW w:w="1194" w:type="dxa"/>
          </w:tcPr>
          <w:p w14:paraId="69FE78D5" w14:textId="77777777" w:rsidR="00797C7D" w:rsidRPr="00F110F6" w:rsidRDefault="00797C7D" w:rsidP="002D3A0D">
            <w:pPr>
              <w:pStyle w:val="TableBody0"/>
              <w:spacing w:before="80" w:after="80" w:line="288" w:lineRule="auto"/>
            </w:pPr>
            <w:r w:rsidRPr="00F110F6">
              <w:t>Overseas</w:t>
            </w:r>
          </w:p>
        </w:tc>
        <w:tc>
          <w:tcPr>
            <w:tcW w:w="844" w:type="dxa"/>
          </w:tcPr>
          <w:p w14:paraId="626E71E5" w14:textId="73C45271"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42145B52" w14:textId="0B6F9D1B"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22003FAB" w14:textId="61926B97"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7E9745A7" w14:textId="21F72139"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0C582343" w14:textId="75233D53"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2C4D841A" w14:textId="5AD998D2" w:rsidR="00797C7D" w:rsidRPr="00F110F6" w:rsidRDefault="00797C7D" w:rsidP="002D3A0D">
            <w:pPr>
              <w:pStyle w:val="TableBody0"/>
              <w:spacing w:before="80" w:after="80" w:line="288" w:lineRule="auto"/>
              <w:jc w:val="right"/>
            </w:pPr>
            <w:r w:rsidRPr="00F110F6">
              <w:rPr>
                <w:rStyle w:val="normaltextrun"/>
              </w:rPr>
              <w:t>0</w:t>
            </w:r>
          </w:p>
        </w:tc>
        <w:tc>
          <w:tcPr>
            <w:tcW w:w="737" w:type="dxa"/>
          </w:tcPr>
          <w:p w14:paraId="34D1AD37" w14:textId="685E21AF" w:rsidR="00797C7D" w:rsidRPr="00F110F6" w:rsidRDefault="00797C7D" w:rsidP="002D3A0D">
            <w:pPr>
              <w:pStyle w:val="TableBody0"/>
              <w:spacing w:before="80" w:after="80" w:line="288" w:lineRule="auto"/>
              <w:jc w:val="right"/>
            </w:pPr>
            <w:r w:rsidRPr="00F110F6">
              <w:rPr>
                <w:rStyle w:val="normaltextrun"/>
              </w:rPr>
              <w:t>0</w:t>
            </w:r>
          </w:p>
        </w:tc>
        <w:tc>
          <w:tcPr>
            <w:tcW w:w="737" w:type="dxa"/>
          </w:tcPr>
          <w:p w14:paraId="6AEEF3AA" w14:textId="3AF404EC" w:rsidR="00797C7D" w:rsidRPr="00F110F6" w:rsidRDefault="00797C7D" w:rsidP="002D3A0D">
            <w:pPr>
              <w:pStyle w:val="TableBody0"/>
              <w:spacing w:before="80" w:after="80" w:line="288" w:lineRule="auto"/>
              <w:jc w:val="right"/>
            </w:pPr>
            <w:r w:rsidRPr="00F110F6">
              <w:rPr>
                <w:rStyle w:val="normaltextrun"/>
              </w:rPr>
              <w:t>0</w:t>
            </w:r>
          </w:p>
        </w:tc>
        <w:tc>
          <w:tcPr>
            <w:tcW w:w="567" w:type="dxa"/>
          </w:tcPr>
          <w:p w14:paraId="6C06B50B" w14:textId="2BA10CE6"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585C639A" w14:textId="7ACB818A"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6B65E77B" w14:textId="5A208772"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3F6E4009" w14:textId="54AFA6B8" w:rsidR="00797C7D" w:rsidRPr="00F110F6" w:rsidRDefault="00797C7D" w:rsidP="002D3A0D">
            <w:pPr>
              <w:pStyle w:val="TableBody0"/>
              <w:spacing w:before="80" w:after="80" w:line="288" w:lineRule="auto"/>
              <w:jc w:val="right"/>
            </w:pPr>
            <w:r w:rsidRPr="00F110F6">
              <w:rPr>
                <w:rStyle w:val="normaltextrun"/>
              </w:rPr>
              <w:t>0</w:t>
            </w:r>
          </w:p>
        </w:tc>
        <w:tc>
          <w:tcPr>
            <w:tcW w:w="844" w:type="dxa"/>
          </w:tcPr>
          <w:p w14:paraId="039B77E8" w14:textId="5253AAF4"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7E53C290" w14:textId="7A363172" w:rsidR="00797C7D" w:rsidRPr="00F110F6" w:rsidRDefault="00797C7D" w:rsidP="002D3A0D">
            <w:pPr>
              <w:pStyle w:val="TableBody0"/>
              <w:spacing w:before="80" w:after="80" w:line="288" w:lineRule="auto"/>
              <w:jc w:val="right"/>
            </w:pPr>
            <w:r w:rsidRPr="00F110F6">
              <w:rPr>
                <w:rStyle w:val="normaltextrun"/>
              </w:rPr>
              <w:t>0</w:t>
            </w:r>
          </w:p>
        </w:tc>
        <w:tc>
          <w:tcPr>
            <w:tcW w:w="850" w:type="dxa"/>
          </w:tcPr>
          <w:p w14:paraId="6E5C12DC" w14:textId="7D02CEF2" w:rsidR="00797C7D" w:rsidRPr="00F110F6" w:rsidRDefault="00797C7D" w:rsidP="002D3A0D">
            <w:pPr>
              <w:pStyle w:val="TableBody0"/>
              <w:spacing w:before="80" w:after="80" w:line="288" w:lineRule="auto"/>
              <w:jc w:val="right"/>
            </w:pPr>
            <w:r w:rsidRPr="00F110F6">
              <w:rPr>
                <w:rStyle w:val="normaltextrun"/>
              </w:rPr>
              <w:t>0</w:t>
            </w:r>
          </w:p>
        </w:tc>
        <w:tc>
          <w:tcPr>
            <w:tcW w:w="838" w:type="dxa"/>
          </w:tcPr>
          <w:p w14:paraId="5D4C6833" w14:textId="1B13A423" w:rsidR="00797C7D" w:rsidRPr="00F110F6" w:rsidRDefault="00797C7D" w:rsidP="002D3A0D">
            <w:pPr>
              <w:pStyle w:val="TableBody0"/>
              <w:spacing w:before="80" w:after="80" w:line="288" w:lineRule="auto"/>
              <w:jc w:val="right"/>
            </w:pPr>
            <w:r w:rsidRPr="00F110F6">
              <w:rPr>
                <w:rStyle w:val="normaltextrun"/>
              </w:rPr>
              <w:t>0</w:t>
            </w:r>
          </w:p>
        </w:tc>
      </w:tr>
      <w:tr w:rsidR="00797C7D" w:rsidRPr="00F110F6" w14:paraId="4CE4B40D" w14:textId="77777777" w:rsidTr="005A4788">
        <w:trPr>
          <w:cnfStyle w:val="000000100000" w:firstRow="0" w:lastRow="0" w:firstColumn="0" w:lastColumn="0" w:oddVBand="0" w:evenVBand="0" w:oddHBand="1" w:evenHBand="0" w:firstRowFirstColumn="0" w:firstRowLastColumn="0" w:lastRowFirstColumn="0" w:lastRowLastColumn="0"/>
        </w:trPr>
        <w:tc>
          <w:tcPr>
            <w:tcW w:w="1194" w:type="dxa"/>
          </w:tcPr>
          <w:p w14:paraId="3DB019B3" w14:textId="77777777" w:rsidR="00797C7D" w:rsidRPr="00F110F6" w:rsidRDefault="00797C7D" w:rsidP="002D3A0D">
            <w:pPr>
              <w:pStyle w:val="TableBody0"/>
              <w:spacing w:before="80" w:after="80" w:line="288" w:lineRule="auto"/>
              <w:rPr>
                <w:b/>
                <w:bCs/>
              </w:rPr>
            </w:pPr>
            <w:r w:rsidRPr="00F110F6">
              <w:rPr>
                <w:b/>
                <w:bCs/>
              </w:rPr>
              <w:t>Total</w:t>
            </w:r>
          </w:p>
        </w:tc>
        <w:tc>
          <w:tcPr>
            <w:tcW w:w="844" w:type="dxa"/>
          </w:tcPr>
          <w:p w14:paraId="27D6C9F6" w14:textId="4F8FCFE7" w:rsidR="00797C7D" w:rsidRPr="00F110F6" w:rsidRDefault="00797C7D" w:rsidP="002D3A0D">
            <w:pPr>
              <w:pStyle w:val="TableBody0"/>
              <w:spacing w:before="80" w:after="80" w:line="288" w:lineRule="auto"/>
              <w:jc w:val="right"/>
              <w:rPr>
                <w:b/>
                <w:bCs/>
              </w:rPr>
            </w:pPr>
            <w:r w:rsidRPr="00F110F6">
              <w:rPr>
                <w:rStyle w:val="normaltextrun"/>
                <w:b/>
                <w:bCs/>
              </w:rPr>
              <w:t>2,714</w:t>
            </w:r>
          </w:p>
        </w:tc>
        <w:tc>
          <w:tcPr>
            <w:tcW w:w="844" w:type="dxa"/>
          </w:tcPr>
          <w:p w14:paraId="760EA55A" w14:textId="6C9BB9ED" w:rsidR="00797C7D" w:rsidRPr="00F110F6" w:rsidRDefault="00797C7D" w:rsidP="002D3A0D">
            <w:pPr>
              <w:pStyle w:val="TableBody0"/>
              <w:spacing w:before="80" w:after="80" w:line="288" w:lineRule="auto"/>
              <w:jc w:val="right"/>
              <w:rPr>
                <w:b/>
                <w:bCs/>
              </w:rPr>
            </w:pPr>
            <w:r w:rsidRPr="00F110F6">
              <w:rPr>
                <w:rStyle w:val="normaltextrun"/>
                <w:b/>
                <w:bCs/>
              </w:rPr>
              <w:t>158</w:t>
            </w:r>
          </w:p>
        </w:tc>
        <w:tc>
          <w:tcPr>
            <w:tcW w:w="844" w:type="dxa"/>
          </w:tcPr>
          <w:p w14:paraId="2AEA565F" w14:textId="73F4DA8D" w:rsidR="00797C7D" w:rsidRPr="00F110F6" w:rsidRDefault="00797C7D" w:rsidP="002D3A0D">
            <w:pPr>
              <w:pStyle w:val="TableBody0"/>
              <w:spacing w:before="80" w:after="80" w:line="288" w:lineRule="auto"/>
              <w:jc w:val="right"/>
              <w:rPr>
                <w:b/>
                <w:bCs/>
              </w:rPr>
            </w:pPr>
            <w:r w:rsidRPr="00F110F6">
              <w:rPr>
                <w:rStyle w:val="normaltextrun"/>
                <w:b/>
                <w:bCs/>
              </w:rPr>
              <w:t>2,872</w:t>
            </w:r>
          </w:p>
        </w:tc>
        <w:tc>
          <w:tcPr>
            <w:tcW w:w="844" w:type="dxa"/>
          </w:tcPr>
          <w:p w14:paraId="7B004AE8" w14:textId="576FC1BA" w:rsidR="00797C7D" w:rsidRPr="00F110F6" w:rsidRDefault="00797C7D" w:rsidP="002D3A0D">
            <w:pPr>
              <w:pStyle w:val="TableBody0"/>
              <w:spacing w:before="80" w:after="80" w:line="288" w:lineRule="auto"/>
              <w:jc w:val="right"/>
              <w:rPr>
                <w:b/>
                <w:bCs/>
              </w:rPr>
            </w:pPr>
            <w:r w:rsidRPr="00F110F6">
              <w:rPr>
                <w:rStyle w:val="normaltextrun"/>
                <w:b/>
                <w:bCs/>
              </w:rPr>
              <w:t>6,482</w:t>
            </w:r>
          </w:p>
        </w:tc>
        <w:tc>
          <w:tcPr>
            <w:tcW w:w="844" w:type="dxa"/>
          </w:tcPr>
          <w:p w14:paraId="5546A2A9" w14:textId="0D19E38E" w:rsidR="00797C7D" w:rsidRPr="00F110F6" w:rsidRDefault="00797C7D" w:rsidP="002D3A0D">
            <w:pPr>
              <w:pStyle w:val="TableBody0"/>
              <w:spacing w:before="80" w:after="80" w:line="288" w:lineRule="auto"/>
              <w:jc w:val="right"/>
              <w:rPr>
                <w:b/>
                <w:bCs/>
              </w:rPr>
            </w:pPr>
            <w:r w:rsidRPr="00F110F6">
              <w:rPr>
                <w:rStyle w:val="normaltextrun"/>
                <w:b/>
                <w:bCs/>
              </w:rPr>
              <w:t>1,292</w:t>
            </w:r>
          </w:p>
        </w:tc>
        <w:tc>
          <w:tcPr>
            <w:tcW w:w="844" w:type="dxa"/>
          </w:tcPr>
          <w:p w14:paraId="11DB1B51" w14:textId="11A65A87" w:rsidR="00797C7D" w:rsidRPr="00F110F6" w:rsidRDefault="00797C7D" w:rsidP="002D3A0D">
            <w:pPr>
              <w:pStyle w:val="TableBody0"/>
              <w:spacing w:before="80" w:after="80" w:line="288" w:lineRule="auto"/>
              <w:jc w:val="right"/>
              <w:rPr>
                <w:b/>
                <w:bCs/>
              </w:rPr>
            </w:pPr>
            <w:r w:rsidRPr="00F110F6">
              <w:rPr>
                <w:rStyle w:val="normaltextrun"/>
                <w:b/>
                <w:bCs/>
              </w:rPr>
              <w:t>7,774</w:t>
            </w:r>
          </w:p>
        </w:tc>
        <w:tc>
          <w:tcPr>
            <w:tcW w:w="737" w:type="dxa"/>
          </w:tcPr>
          <w:p w14:paraId="1DB3B7D0" w14:textId="592969F7" w:rsidR="00797C7D" w:rsidRPr="00F110F6" w:rsidRDefault="00797C7D" w:rsidP="002D3A0D">
            <w:pPr>
              <w:pStyle w:val="TableBody0"/>
              <w:spacing w:before="80" w:after="80" w:line="288" w:lineRule="auto"/>
              <w:jc w:val="right"/>
              <w:rPr>
                <w:b/>
                <w:bCs/>
              </w:rPr>
            </w:pPr>
            <w:r w:rsidRPr="00F110F6">
              <w:rPr>
                <w:rStyle w:val="normaltextrun"/>
                <w:b/>
                <w:bCs/>
              </w:rPr>
              <w:t>56</w:t>
            </w:r>
          </w:p>
        </w:tc>
        <w:tc>
          <w:tcPr>
            <w:tcW w:w="737" w:type="dxa"/>
          </w:tcPr>
          <w:p w14:paraId="129F61AF" w14:textId="3AD36EC4" w:rsidR="00797C7D" w:rsidRPr="00F110F6" w:rsidRDefault="00797C7D" w:rsidP="002D3A0D">
            <w:pPr>
              <w:pStyle w:val="TableBody0"/>
              <w:spacing w:before="80" w:after="80" w:line="288" w:lineRule="auto"/>
              <w:jc w:val="right"/>
              <w:rPr>
                <w:b/>
                <w:bCs/>
              </w:rPr>
            </w:pPr>
            <w:r w:rsidRPr="00F110F6">
              <w:rPr>
                <w:rStyle w:val="normaltextrun"/>
                <w:b/>
                <w:bCs/>
              </w:rPr>
              <w:t>2</w:t>
            </w:r>
          </w:p>
        </w:tc>
        <w:tc>
          <w:tcPr>
            <w:tcW w:w="567" w:type="dxa"/>
          </w:tcPr>
          <w:p w14:paraId="0773361E" w14:textId="64C7DE71" w:rsidR="00797C7D" w:rsidRPr="00F110F6" w:rsidRDefault="00797C7D" w:rsidP="002D3A0D">
            <w:pPr>
              <w:pStyle w:val="TableBody0"/>
              <w:spacing w:before="80" w:after="80" w:line="288" w:lineRule="auto"/>
              <w:jc w:val="right"/>
              <w:rPr>
                <w:b/>
                <w:bCs/>
              </w:rPr>
            </w:pPr>
            <w:r w:rsidRPr="00F110F6">
              <w:rPr>
                <w:rStyle w:val="normaltextrun"/>
                <w:b/>
                <w:bCs/>
              </w:rPr>
              <w:t>58</w:t>
            </w:r>
          </w:p>
        </w:tc>
        <w:tc>
          <w:tcPr>
            <w:tcW w:w="844" w:type="dxa"/>
          </w:tcPr>
          <w:p w14:paraId="69EFD192" w14:textId="11A6551A" w:rsidR="00797C7D" w:rsidRPr="00F110F6" w:rsidRDefault="00797C7D" w:rsidP="002D3A0D">
            <w:pPr>
              <w:pStyle w:val="TableBody0"/>
              <w:spacing w:before="80" w:after="80" w:line="288" w:lineRule="auto"/>
              <w:jc w:val="right"/>
              <w:rPr>
                <w:b/>
                <w:bCs/>
              </w:rPr>
            </w:pPr>
            <w:r w:rsidRPr="00F110F6">
              <w:rPr>
                <w:rStyle w:val="normaltextrun"/>
                <w:b/>
                <w:bCs/>
              </w:rPr>
              <w:t>0</w:t>
            </w:r>
          </w:p>
        </w:tc>
        <w:tc>
          <w:tcPr>
            <w:tcW w:w="844" w:type="dxa"/>
          </w:tcPr>
          <w:p w14:paraId="3047C27B" w14:textId="3999E3F6" w:rsidR="00797C7D" w:rsidRPr="00F110F6" w:rsidRDefault="00797C7D" w:rsidP="002D3A0D">
            <w:pPr>
              <w:pStyle w:val="TableBody0"/>
              <w:spacing w:before="80" w:after="80" w:line="288" w:lineRule="auto"/>
              <w:jc w:val="right"/>
              <w:rPr>
                <w:b/>
                <w:bCs/>
              </w:rPr>
            </w:pPr>
            <w:r w:rsidRPr="00F110F6">
              <w:rPr>
                <w:rStyle w:val="normaltextrun"/>
                <w:b/>
                <w:bCs/>
              </w:rPr>
              <w:t>0</w:t>
            </w:r>
          </w:p>
        </w:tc>
        <w:tc>
          <w:tcPr>
            <w:tcW w:w="844" w:type="dxa"/>
          </w:tcPr>
          <w:p w14:paraId="4BFCA680" w14:textId="232A8DEF" w:rsidR="00797C7D" w:rsidRPr="00F110F6" w:rsidRDefault="00797C7D" w:rsidP="002D3A0D">
            <w:pPr>
              <w:pStyle w:val="TableBody0"/>
              <w:spacing w:before="80" w:after="80" w:line="288" w:lineRule="auto"/>
              <w:jc w:val="right"/>
              <w:rPr>
                <w:b/>
                <w:bCs/>
              </w:rPr>
            </w:pPr>
            <w:r w:rsidRPr="00F110F6">
              <w:rPr>
                <w:rStyle w:val="normaltextrun"/>
                <w:b/>
                <w:bCs/>
              </w:rPr>
              <w:t>0</w:t>
            </w:r>
          </w:p>
        </w:tc>
        <w:tc>
          <w:tcPr>
            <w:tcW w:w="844" w:type="dxa"/>
          </w:tcPr>
          <w:p w14:paraId="368C50B8" w14:textId="641F5B69" w:rsidR="00797C7D" w:rsidRPr="00F110F6" w:rsidRDefault="00797C7D" w:rsidP="002D3A0D">
            <w:pPr>
              <w:pStyle w:val="TableBody0"/>
              <w:spacing w:before="80" w:after="80" w:line="288" w:lineRule="auto"/>
              <w:jc w:val="right"/>
              <w:rPr>
                <w:b/>
                <w:bCs/>
              </w:rPr>
            </w:pPr>
            <w:r w:rsidRPr="00F110F6">
              <w:rPr>
                <w:rStyle w:val="normaltextrun"/>
                <w:b/>
                <w:bCs/>
              </w:rPr>
              <w:t>0</w:t>
            </w:r>
          </w:p>
        </w:tc>
        <w:tc>
          <w:tcPr>
            <w:tcW w:w="850" w:type="dxa"/>
          </w:tcPr>
          <w:p w14:paraId="400182FA" w14:textId="617A15F6" w:rsidR="00797C7D" w:rsidRPr="00F110F6" w:rsidRDefault="00797C7D" w:rsidP="002D3A0D">
            <w:pPr>
              <w:pStyle w:val="TableBody0"/>
              <w:spacing w:before="80" w:after="80" w:line="288" w:lineRule="auto"/>
              <w:jc w:val="right"/>
              <w:rPr>
                <w:b/>
                <w:bCs/>
              </w:rPr>
            </w:pPr>
            <w:r w:rsidRPr="00F110F6">
              <w:rPr>
                <w:rStyle w:val="normaltextrun"/>
                <w:b/>
                <w:bCs/>
              </w:rPr>
              <w:t>0</w:t>
            </w:r>
          </w:p>
        </w:tc>
        <w:tc>
          <w:tcPr>
            <w:tcW w:w="850" w:type="dxa"/>
          </w:tcPr>
          <w:p w14:paraId="150A8C63" w14:textId="6A781F80" w:rsidR="00797C7D" w:rsidRPr="00F110F6" w:rsidRDefault="00797C7D" w:rsidP="002D3A0D">
            <w:pPr>
              <w:pStyle w:val="TableBody0"/>
              <w:spacing w:before="80" w:after="80" w:line="288" w:lineRule="auto"/>
              <w:jc w:val="right"/>
              <w:rPr>
                <w:b/>
                <w:bCs/>
              </w:rPr>
            </w:pPr>
            <w:r w:rsidRPr="00F110F6">
              <w:rPr>
                <w:rStyle w:val="normaltextrun"/>
                <w:b/>
                <w:bCs/>
              </w:rPr>
              <w:t>0</w:t>
            </w:r>
          </w:p>
        </w:tc>
        <w:tc>
          <w:tcPr>
            <w:tcW w:w="838" w:type="dxa"/>
          </w:tcPr>
          <w:p w14:paraId="50B86417" w14:textId="25167B4A" w:rsidR="00797C7D" w:rsidRPr="00F110F6" w:rsidRDefault="00797C7D" w:rsidP="002D3A0D">
            <w:pPr>
              <w:pStyle w:val="TableBody0"/>
              <w:spacing w:before="80" w:after="80" w:line="288" w:lineRule="auto"/>
              <w:jc w:val="right"/>
              <w:rPr>
                <w:b/>
                <w:bCs/>
              </w:rPr>
            </w:pPr>
            <w:r w:rsidRPr="00F110F6">
              <w:rPr>
                <w:rStyle w:val="normaltextrun"/>
                <w:b/>
                <w:bCs/>
              </w:rPr>
              <w:t>10,704</w:t>
            </w:r>
          </w:p>
        </w:tc>
      </w:tr>
    </w:tbl>
    <w:p w14:paraId="5AD8A536" w14:textId="09E2DDA6" w:rsidR="00920D7D" w:rsidRPr="00F110F6" w:rsidRDefault="00300BE2" w:rsidP="00300BE2">
      <w:pPr>
        <w:pStyle w:val="Caption"/>
      </w:pPr>
      <w:r>
        <w:t xml:space="preserve">Table </w:t>
      </w:r>
      <w:r w:rsidR="0007555E">
        <w:t>2</w:t>
      </w:r>
      <w:r w:rsidR="0068179C">
        <w:t>4</w:t>
      </w:r>
      <w:r>
        <w:t xml:space="preserve">. </w:t>
      </w:r>
      <w:r w:rsidR="00920D7D" w:rsidRPr="00F110F6">
        <w:t>All non-ongoing employees – current reporting period (2025–26)</w:t>
      </w:r>
    </w:p>
    <w:tbl>
      <w:tblPr>
        <w:tblStyle w:val="NDISTable1"/>
        <w:tblW w:w="14213" w:type="dxa"/>
        <w:tblLayout w:type="fixed"/>
        <w:tblCellMar>
          <w:left w:w="57" w:type="dxa"/>
          <w:right w:w="28" w:type="dxa"/>
        </w:tblCellMar>
        <w:tblLook w:val="0420" w:firstRow="1" w:lastRow="0" w:firstColumn="0" w:lastColumn="0" w:noHBand="0" w:noVBand="1"/>
        <w:tblDescription w:val="[Insert table description] with columns for [Insert column headings]. The table has [insert number] columns and [insert number] rows."/>
      </w:tblPr>
      <w:tblGrid>
        <w:gridCol w:w="1194"/>
        <w:gridCol w:w="844"/>
        <w:gridCol w:w="844"/>
        <w:gridCol w:w="844"/>
        <w:gridCol w:w="844"/>
        <w:gridCol w:w="844"/>
        <w:gridCol w:w="844"/>
        <w:gridCol w:w="737"/>
        <w:gridCol w:w="737"/>
        <w:gridCol w:w="567"/>
        <w:gridCol w:w="844"/>
        <w:gridCol w:w="844"/>
        <w:gridCol w:w="844"/>
        <w:gridCol w:w="844"/>
        <w:gridCol w:w="850"/>
        <w:gridCol w:w="850"/>
        <w:gridCol w:w="838"/>
      </w:tblGrid>
      <w:tr w:rsidR="0015598D" w:rsidRPr="00D92DA6" w14:paraId="5C32CC16" w14:textId="77777777" w:rsidTr="006C1EDF">
        <w:trPr>
          <w:cnfStyle w:val="100000000000" w:firstRow="1" w:lastRow="0" w:firstColumn="0" w:lastColumn="0" w:oddVBand="0" w:evenVBand="0" w:oddHBand="0" w:evenHBand="0" w:firstRowFirstColumn="0" w:firstRowLastColumn="0" w:lastRowFirstColumn="0" w:lastRowLastColumn="0"/>
          <w:trHeight w:val="1928"/>
        </w:trPr>
        <w:tc>
          <w:tcPr>
            <w:tcW w:w="1194" w:type="dxa"/>
            <w:textDirection w:val="tbRl"/>
            <w:vAlign w:val="bottom"/>
          </w:tcPr>
          <w:p w14:paraId="52BE4769" w14:textId="77777777" w:rsidR="0015598D" w:rsidRPr="00D92DA6" w:rsidRDefault="0015598D" w:rsidP="0039474A">
            <w:pPr>
              <w:pStyle w:val="TableBody0"/>
              <w:spacing w:line="288" w:lineRule="auto"/>
              <w:ind w:left="113" w:right="113"/>
            </w:pPr>
            <w:r w:rsidRPr="004D5FC7">
              <w:t>State or territory</w:t>
            </w:r>
          </w:p>
        </w:tc>
        <w:tc>
          <w:tcPr>
            <w:tcW w:w="844" w:type="dxa"/>
            <w:textDirection w:val="tbRl"/>
            <w:vAlign w:val="center"/>
          </w:tcPr>
          <w:p w14:paraId="68C66ADF" w14:textId="6A8491C8" w:rsidR="0015598D" w:rsidRPr="00D92DA6" w:rsidRDefault="0015598D" w:rsidP="00A72564">
            <w:pPr>
              <w:pStyle w:val="TableBody0"/>
              <w:spacing w:line="288" w:lineRule="auto"/>
              <w:ind w:left="113" w:right="113"/>
            </w:pPr>
            <w:r w:rsidRPr="00D92DA6">
              <w:t>Man/</w:t>
            </w:r>
            <w:r w:rsidR="00BE74C1" w:rsidRPr="00D92DA6">
              <w:t>m</w:t>
            </w:r>
            <w:r w:rsidRPr="00D92DA6">
              <w:t>ale full time</w:t>
            </w:r>
          </w:p>
        </w:tc>
        <w:tc>
          <w:tcPr>
            <w:tcW w:w="844" w:type="dxa"/>
            <w:textDirection w:val="tbRl"/>
            <w:vAlign w:val="center"/>
          </w:tcPr>
          <w:p w14:paraId="1EFEE426" w14:textId="7AD9A5EE" w:rsidR="0015598D" w:rsidRPr="00D92DA6" w:rsidRDefault="0015598D" w:rsidP="00A72564">
            <w:pPr>
              <w:pStyle w:val="TableBody0"/>
              <w:spacing w:line="288" w:lineRule="auto"/>
              <w:ind w:left="113" w:right="113"/>
            </w:pPr>
            <w:r w:rsidRPr="00D92DA6">
              <w:t>Man/</w:t>
            </w:r>
            <w:r w:rsidR="00BE74C1" w:rsidRPr="00D92DA6">
              <w:t>m</w:t>
            </w:r>
            <w:r w:rsidRPr="00D92DA6">
              <w:t>ale part time</w:t>
            </w:r>
          </w:p>
        </w:tc>
        <w:tc>
          <w:tcPr>
            <w:tcW w:w="844" w:type="dxa"/>
            <w:textDirection w:val="tbRl"/>
            <w:vAlign w:val="center"/>
          </w:tcPr>
          <w:p w14:paraId="3383584D" w14:textId="0ABF9A78" w:rsidR="0015598D" w:rsidRPr="00D92DA6" w:rsidRDefault="0015598D" w:rsidP="00A72564">
            <w:pPr>
              <w:pStyle w:val="TableBody0"/>
              <w:spacing w:line="288" w:lineRule="auto"/>
              <w:ind w:left="113" w:right="113"/>
            </w:pPr>
            <w:r w:rsidRPr="00D92DA6">
              <w:t>Man/</w:t>
            </w:r>
            <w:r w:rsidR="00BE74C1" w:rsidRPr="00D92DA6">
              <w:t>m</w:t>
            </w:r>
            <w:r w:rsidRPr="00D92DA6">
              <w:t>ale total</w:t>
            </w:r>
          </w:p>
        </w:tc>
        <w:tc>
          <w:tcPr>
            <w:tcW w:w="844" w:type="dxa"/>
            <w:textDirection w:val="tbRl"/>
            <w:vAlign w:val="center"/>
          </w:tcPr>
          <w:p w14:paraId="50DF5B49" w14:textId="73959C92" w:rsidR="0015598D" w:rsidRPr="00D92DA6" w:rsidRDefault="0015598D" w:rsidP="00A72564">
            <w:pPr>
              <w:pStyle w:val="TableBody0"/>
              <w:spacing w:line="288" w:lineRule="auto"/>
              <w:ind w:left="113" w:right="113"/>
            </w:pPr>
            <w:r w:rsidRPr="00D92DA6">
              <w:t>Woman/</w:t>
            </w:r>
            <w:r w:rsidR="00BE74C1" w:rsidRPr="00D92DA6">
              <w:t>f</w:t>
            </w:r>
            <w:r w:rsidRPr="00D92DA6">
              <w:t>emale full time</w:t>
            </w:r>
          </w:p>
        </w:tc>
        <w:tc>
          <w:tcPr>
            <w:tcW w:w="844" w:type="dxa"/>
            <w:textDirection w:val="tbRl"/>
            <w:vAlign w:val="center"/>
          </w:tcPr>
          <w:p w14:paraId="23BDED24" w14:textId="4DA488F8" w:rsidR="0015598D" w:rsidRPr="00D92DA6" w:rsidRDefault="0015598D" w:rsidP="00A72564">
            <w:pPr>
              <w:pStyle w:val="TableBody0"/>
              <w:spacing w:line="288" w:lineRule="auto"/>
              <w:ind w:left="113" w:right="113"/>
            </w:pPr>
            <w:r w:rsidRPr="00D92DA6">
              <w:t>Woman/</w:t>
            </w:r>
            <w:r w:rsidR="00BE74C1" w:rsidRPr="00D92DA6">
              <w:t>f</w:t>
            </w:r>
            <w:r w:rsidRPr="00D92DA6">
              <w:t>emale part time</w:t>
            </w:r>
          </w:p>
        </w:tc>
        <w:tc>
          <w:tcPr>
            <w:tcW w:w="844" w:type="dxa"/>
            <w:textDirection w:val="tbRl"/>
            <w:vAlign w:val="center"/>
          </w:tcPr>
          <w:p w14:paraId="483F4DF4" w14:textId="3C277CB8" w:rsidR="0015598D" w:rsidRPr="00D92DA6" w:rsidRDefault="0015598D" w:rsidP="00A72564">
            <w:pPr>
              <w:pStyle w:val="TableBody0"/>
              <w:spacing w:line="288" w:lineRule="auto"/>
              <w:ind w:left="113" w:right="113"/>
            </w:pPr>
            <w:r w:rsidRPr="00D92DA6">
              <w:t>Woman/</w:t>
            </w:r>
            <w:r w:rsidR="00BE74C1" w:rsidRPr="00D92DA6">
              <w:t>f</w:t>
            </w:r>
            <w:r w:rsidRPr="00D92DA6">
              <w:t>emale total</w:t>
            </w:r>
          </w:p>
        </w:tc>
        <w:tc>
          <w:tcPr>
            <w:tcW w:w="737" w:type="dxa"/>
            <w:textDirection w:val="tbRl"/>
            <w:vAlign w:val="center"/>
          </w:tcPr>
          <w:p w14:paraId="3F9E553E" w14:textId="77777777" w:rsidR="0015598D" w:rsidRPr="00D92DA6" w:rsidRDefault="0015598D" w:rsidP="00A72564">
            <w:pPr>
              <w:pStyle w:val="TableBody0"/>
              <w:spacing w:line="288" w:lineRule="auto"/>
              <w:ind w:left="113" w:right="113"/>
            </w:pPr>
            <w:r w:rsidRPr="00D92DA6">
              <w:t>Non-binary full time</w:t>
            </w:r>
          </w:p>
        </w:tc>
        <w:tc>
          <w:tcPr>
            <w:tcW w:w="737" w:type="dxa"/>
            <w:textDirection w:val="tbRl"/>
            <w:vAlign w:val="center"/>
          </w:tcPr>
          <w:p w14:paraId="38390FEE" w14:textId="77777777" w:rsidR="0015598D" w:rsidRPr="00D92DA6" w:rsidRDefault="0015598D" w:rsidP="00A72564">
            <w:pPr>
              <w:pStyle w:val="TableBody0"/>
              <w:spacing w:line="288" w:lineRule="auto"/>
              <w:ind w:left="113" w:right="113"/>
            </w:pPr>
            <w:r w:rsidRPr="00D92DA6">
              <w:t>Non-binary part time</w:t>
            </w:r>
          </w:p>
        </w:tc>
        <w:tc>
          <w:tcPr>
            <w:tcW w:w="567" w:type="dxa"/>
            <w:textDirection w:val="tbRl"/>
            <w:vAlign w:val="center"/>
          </w:tcPr>
          <w:p w14:paraId="0024E03A" w14:textId="77777777" w:rsidR="0015598D" w:rsidRPr="00D92DA6" w:rsidRDefault="0015598D" w:rsidP="00A72564">
            <w:pPr>
              <w:pStyle w:val="TableBody0"/>
              <w:spacing w:line="288" w:lineRule="auto"/>
              <w:ind w:left="113" w:right="113"/>
            </w:pPr>
            <w:r w:rsidRPr="00D92DA6">
              <w:t>Non-binary total</w:t>
            </w:r>
          </w:p>
        </w:tc>
        <w:tc>
          <w:tcPr>
            <w:tcW w:w="844" w:type="dxa"/>
            <w:textDirection w:val="tbRl"/>
            <w:vAlign w:val="center"/>
          </w:tcPr>
          <w:p w14:paraId="21BABE7B" w14:textId="77777777" w:rsidR="0015598D" w:rsidRPr="00D92DA6" w:rsidRDefault="0015598D" w:rsidP="00A72564">
            <w:pPr>
              <w:pStyle w:val="TableBody0"/>
              <w:spacing w:line="288" w:lineRule="auto"/>
              <w:ind w:left="113" w:right="113"/>
            </w:pPr>
            <w:r w:rsidRPr="00D92DA6">
              <w:t>Prefers not to answer full time</w:t>
            </w:r>
          </w:p>
        </w:tc>
        <w:tc>
          <w:tcPr>
            <w:tcW w:w="844" w:type="dxa"/>
            <w:textDirection w:val="tbRl"/>
            <w:vAlign w:val="center"/>
          </w:tcPr>
          <w:p w14:paraId="142A2B03" w14:textId="77777777" w:rsidR="0015598D" w:rsidRPr="00D92DA6" w:rsidRDefault="0015598D" w:rsidP="00A72564">
            <w:pPr>
              <w:pStyle w:val="TableBody0"/>
              <w:spacing w:line="288" w:lineRule="auto"/>
              <w:ind w:left="113" w:right="113"/>
            </w:pPr>
            <w:r w:rsidRPr="00D92DA6">
              <w:t>Prefers not to answer part time</w:t>
            </w:r>
          </w:p>
        </w:tc>
        <w:tc>
          <w:tcPr>
            <w:tcW w:w="844" w:type="dxa"/>
            <w:textDirection w:val="tbRl"/>
            <w:vAlign w:val="center"/>
          </w:tcPr>
          <w:p w14:paraId="30C0C80A" w14:textId="77777777" w:rsidR="0015598D" w:rsidRPr="00D92DA6" w:rsidRDefault="0015598D" w:rsidP="00A72564">
            <w:pPr>
              <w:pStyle w:val="TableBody0"/>
              <w:spacing w:line="288" w:lineRule="auto"/>
              <w:ind w:left="113" w:right="113"/>
            </w:pPr>
            <w:r w:rsidRPr="00D92DA6">
              <w:t>Prefers not to answer total</w:t>
            </w:r>
          </w:p>
        </w:tc>
        <w:tc>
          <w:tcPr>
            <w:tcW w:w="844" w:type="dxa"/>
            <w:textDirection w:val="tbRl"/>
            <w:vAlign w:val="center"/>
          </w:tcPr>
          <w:p w14:paraId="6EC6F914" w14:textId="77777777" w:rsidR="0015598D" w:rsidRPr="00D92DA6" w:rsidRDefault="0015598D" w:rsidP="00A72564">
            <w:pPr>
              <w:pStyle w:val="TableBody0"/>
              <w:spacing w:line="288" w:lineRule="auto"/>
              <w:ind w:left="113" w:right="113"/>
            </w:pPr>
            <w:r w:rsidRPr="00D92DA6">
              <w:t>Uses a different term full time</w:t>
            </w:r>
          </w:p>
        </w:tc>
        <w:tc>
          <w:tcPr>
            <w:tcW w:w="850" w:type="dxa"/>
            <w:textDirection w:val="tbRl"/>
            <w:vAlign w:val="center"/>
          </w:tcPr>
          <w:p w14:paraId="624E5F1D" w14:textId="77777777" w:rsidR="0015598D" w:rsidRPr="00D92DA6" w:rsidRDefault="0015598D" w:rsidP="00A72564">
            <w:pPr>
              <w:pStyle w:val="TableBody0"/>
              <w:spacing w:line="288" w:lineRule="auto"/>
              <w:ind w:left="113" w:right="113"/>
            </w:pPr>
            <w:r w:rsidRPr="00D92DA6">
              <w:t>Uses a different term part time</w:t>
            </w:r>
          </w:p>
        </w:tc>
        <w:tc>
          <w:tcPr>
            <w:tcW w:w="850" w:type="dxa"/>
            <w:textDirection w:val="tbRl"/>
            <w:vAlign w:val="center"/>
          </w:tcPr>
          <w:p w14:paraId="73A3B645" w14:textId="77777777" w:rsidR="0015598D" w:rsidRPr="00D92DA6" w:rsidRDefault="0015598D" w:rsidP="00A72564">
            <w:pPr>
              <w:pStyle w:val="TableBody0"/>
              <w:spacing w:line="288" w:lineRule="auto"/>
              <w:ind w:left="113" w:right="113"/>
            </w:pPr>
            <w:r w:rsidRPr="00D92DA6">
              <w:t>Uses a different term total</w:t>
            </w:r>
          </w:p>
        </w:tc>
        <w:tc>
          <w:tcPr>
            <w:tcW w:w="838" w:type="dxa"/>
            <w:textDirection w:val="tbRl"/>
            <w:vAlign w:val="center"/>
          </w:tcPr>
          <w:p w14:paraId="6A9473FE" w14:textId="77777777" w:rsidR="0015598D" w:rsidRPr="00D92DA6" w:rsidRDefault="0015598D" w:rsidP="00A72564">
            <w:pPr>
              <w:pStyle w:val="TableBody0"/>
              <w:spacing w:line="288" w:lineRule="auto"/>
              <w:ind w:left="113" w:right="113"/>
            </w:pPr>
            <w:r w:rsidRPr="00D92DA6">
              <w:t>Total</w:t>
            </w:r>
          </w:p>
        </w:tc>
      </w:tr>
      <w:tr w:rsidR="0015598D" w:rsidRPr="00F110F6" w14:paraId="1B84A646"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23CC48A7" w14:textId="77777777" w:rsidR="0015598D" w:rsidRPr="00F110F6" w:rsidRDefault="0015598D" w:rsidP="002D3A0D">
            <w:pPr>
              <w:pStyle w:val="TableBody0"/>
              <w:spacing w:line="288" w:lineRule="auto"/>
            </w:pPr>
            <w:r w:rsidRPr="00F110F6">
              <w:t>NSW</w:t>
            </w:r>
          </w:p>
        </w:tc>
        <w:tc>
          <w:tcPr>
            <w:tcW w:w="844" w:type="dxa"/>
          </w:tcPr>
          <w:p w14:paraId="6F0BEE48" w14:textId="3CD1026A" w:rsidR="0015598D" w:rsidRPr="00F110F6" w:rsidRDefault="0015598D" w:rsidP="002D3A0D">
            <w:pPr>
              <w:pStyle w:val="TableBody0"/>
              <w:spacing w:line="288" w:lineRule="auto"/>
              <w:jc w:val="right"/>
            </w:pPr>
            <w:r w:rsidRPr="00F110F6">
              <w:rPr>
                <w:rStyle w:val="normaltextrun"/>
              </w:rPr>
              <w:t>7</w:t>
            </w:r>
          </w:p>
        </w:tc>
        <w:tc>
          <w:tcPr>
            <w:tcW w:w="844" w:type="dxa"/>
          </w:tcPr>
          <w:p w14:paraId="37C1222A" w14:textId="65BDCE7F" w:rsidR="0015598D" w:rsidRPr="00F110F6" w:rsidRDefault="0015598D" w:rsidP="002D3A0D">
            <w:pPr>
              <w:pStyle w:val="TableBody0"/>
              <w:spacing w:line="288" w:lineRule="auto"/>
              <w:jc w:val="right"/>
            </w:pPr>
            <w:r w:rsidRPr="00F110F6">
              <w:rPr>
                <w:rStyle w:val="normaltextrun"/>
              </w:rPr>
              <w:t>0</w:t>
            </w:r>
          </w:p>
        </w:tc>
        <w:tc>
          <w:tcPr>
            <w:tcW w:w="844" w:type="dxa"/>
          </w:tcPr>
          <w:p w14:paraId="07486F37" w14:textId="0A046920" w:rsidR="0015598D" w:rsidRPr="00F110F6" w:rsidRDefault="0015598D" w:rsidP="002D3A0D">
            <w:pPr>
              <w:pStyle w:val="TableBody0"/>
              <w:spacing w:line="288" w:lineRule="auto"/>
              <w:jc w:val="right"/>
            </w:pPr>
            <w:r w:rsidRPr="00F110F6">
              <w:rPr>
                <w:rStyle w:val="normaltextrun"/>
              </w:rPr>
              <w:t>7</w:t>
            </w:r>
          </w:p>
        </w:tc>
        <w:tc>
          <w:tcPr>
            <w:tcW w:w="844" w:type="dxa"/>
          </w:tcPr>
          <w:p w14:paraId="00DF4F2D" w14:textId="1EEAF764" w:rsidR="0015598D" w:rsidRPr="00F110F6" w:rsidRDefault="0015598D" w:rsidP="002D3A0D">
            <w:pPr>
              <w:pStyle w:val="TableBody0"/>
              <w:spacing w:line="288" w:lineRule="auto"/>
              <w:jc w:val="right"/>
            </w:pPr>
            <w:r w:rsidRPr="00F110F6">
              <w:rPr>
                <w:rStyle w:val="normaltextrun"/>
              </w:rPr>
              <w:t>33</w:t>
            </w:r>
          </w:p>
        </w:tc>
        <w:tc>
          <w:tcPr>
            <w:tcW w:w="844" w:type="dxa"/>
          </w:tcPr>
          <w:p w14:paraId="11ED1BAF" w14:textId="03EF8559" w:rsidR="0015598D" w:rsidRPr="00F110F6" w:rsidRDefault="0015598D" w:rsidP="002D3A0D">
            <w:pPr>
              <w:pStyle w:val="TableBody0"/>
              <w:spacing w:line="288" w:lineRule="auto"/>
              <w:jc w:val="right"/>
            </w:pPr>
            <w:r w:rsidRPr="00F110F6">
              <w:rPr>
                <w:rStyle w:val="normaltextrun"/>
              </w:rPr>
              <w:t>2</w:t>
            </w:r>
          </w:p>
        </w:tc>
        <w:tc>
          <w:tcPr>
            <w:tcW w:w="844" w:type="dxa"/>
          </w:tcPr>
          <w:p w14:paraId="504BD41A" w14:textId="388B3549" w:rsidR="0015598D" w:rsidRPr="00F110F6" w:rsidRDefault="0015598D" w:rsidP="002D3A0D">
            <w:pPr>
              <w:pStyle w:val="TableBody0"/>
              <w:spacing w:line="288" w:lineRule="auto"/>
              <w:jc w:val="right"/>
            </w:pPr>
            <w:r w:rsidRPr="00F110F6">
              <w:rPr>
                <w:rStyle w:val="normaltextrun"/>
              </w:rPr>
              <w:t>35</w:t>
            </w:r>
          </w:p>
        </w:tc>
        <w:tc>
          <w:tcPr>
            <w:tcW w:w="737" w:type="dxa"/>
          </w:tcPr>
          <w:p w14:paraId="0814D263" w14:textId="61DD0244" w:rsidR="0015598D" w:rsidRPr="00F110F6" w:rsidRDefault="0015598D" w:rsidP="002D3A0D">
            <w:pPr>
              <w:pStyle w:val="TableBody0"/>
              <w:spacing w:line="288" w:lineRule="auto"/>
              <w:jc w:val="right"/>
            </w:pPr>
            <w:r w:rsidRPr="00F110F6">
              <w:rPr>
                <w:rStyle w:val="normaltextrun"/>
              </w:rPr>
              <w:t>0</w:t>
            </w:r>
          </w:p>
        </w:tc>
        <w:tc>
          <w:tcPr>
            <w:tcW w:w="737" w:type="dxa"/>
          </w:tcPr>
          <w:p w14:paraId="21D7CF2C" w14:textId="16C5A115" w:rsidR="0015598D" w:rsidRPr="00F110F6" w:rsidRDefault="0015598D" w:rsidP="002D3A0D">
            <w:pPr>
              <w:pStyle w:val="TableBody0"/>
              <w:spacing w:line="288" w:lineRule="auto"/>
              <w:jc w:val="right"/>
            </w:pPr>
            <w:r w:rsidRPr="00F110F6">
              <w:rPr>
                <w:rStyle w:val="normaltextrun"/>
              </w:rPr>
              <w:t>0</w:t>
            </w:r>
          </w:p>
        </w:tc>
        <w:tc>
          <w:tcPr>
            <w:tcW w:w="567" w:type="dxa"/>
          </w:tcPr>
          <w:p w14:paraId="6F338F17" w14:textId="70A7151D" w:rsidR="0015598D" w:rsidRPr="00F110F6" w:rsidRDefault="0015598D" w:rsidP="002D3A0D">
            <w:pPr>
              <w:pStyle w:val="TableBody0"/>
              <w:spacing w:line="288" w:lineRule="auto"/>
              <w:jc w:val="right"/>
            </w:pPr>
            <w:r w:rsidRPr="00F110F6">
              <w:rPr>
                <w:rStyle w:val="normaltextrun"/>
              </w:rPr>
              <w:t>0</w:t>
            </w:r>
          </w:p>
        </w:tc>
        <w:tc>
          <w:tcPr>
            <w:tcW w:w="844" w:type="dxa"/>
          </w:tcPr>
          <w:p w14:paraId="280569D5" w14:textId="050399FE" w:rsidR="0015598D" w:rsidRPr="00F110F6" w:rsidRDefault="0015598D" w:rsidP="002D3A0D">
            <w:pPr>
              <w:pStyle w:val="TableBody0"/>
              <w:spacing w:line="288" w:lineRule="auto"/>
              <w:jc w:val="right"/>
            </w:pPr>
            <w:r w:rsidRPr="00F110F6">
              <w:rPr>
                <w:rStyle w:val="normaltextrun"/>
              </w:rPr>
              <w:t>0</w:t>
            </w:r>
          </w:p>
        </w:tc>
        <w:tc>
          <w:tcPr>
            <w:tcW w:w="844" w:type="dxa"/>
          </w:tcPr>
          <w:p w14:paraId="72B9C93F" w14:textId="588BF549" w:rsidR="0015598D" w:rsidRPr="00F110F6" w:rsidRDefault="0015598D" w:rsidP="002D3A0D">
            <w:pPr>
              <w:pStyle w:val="TableBody0"/>
              <w:spacing w:line="288" w:lineRule="auto"/>
              <w:jc w:val="right"/>
            </w:pPr>
            <w:r w:rsidRPr="00F110F6">
              <w:rPr>
                <w:rStyle w:val="normaltextrun"/>
              </w:rPr>
              <w:t>0</w:t>
            </w:r>
          </w:p>
        </w:tc>
        <w:tc>
          <w:tcPr>
            <w:tcW w:w="844" w:type="dxa"/>
          </w:tcPr>
          <w:p w14:paraId="5C6A70EB" w14:textId="020DD24C" w:rsidR="0015598D" w:rsidRPr="00F110F6" w:rsidRDefault="0015598D" w:rsidP="002D3A0D">
            <w:pPr>
              <w:pStyle w:val="TableBody0"/>
              <w:spacing w:line="288" w:lineRule="auto"/>
              <w:jc w:val="right"/>
            </w:pPr>
            <w:r w:rsidRPr="00F110F6">
              <w:rPr>
                <w:rStyle w:val="normaltextrun"/>
              </w:rPr>
              <w:t>0</w:t>
            </w:r>
          </w:p>
        </w:tc>
        <w:tc>
          <w:tcPr>
            <w:tcW w:w="844" w:type="dxa"/>
          </w:tcPr>
          <w:p w14:paraId="7A7ACB19" w14:textId="16820AE1" w:rsidR="0015598D" w:rsidRPr="00F110F6" w:rsidRDefault="0015598D" w:rsidP="002D3A0D">
            <w:pPr>
              <w:pStyle w:val="TableBody0"/>
              <w:spacing w:line="288" w:lineRule="auto"/>
              <w:jc w:val="right"/>
            </w:pPr>
            <w:r w:rsidRPr="00F110F6">
              <w:rPr>
                <w:rStyle w:val="normaltextrun"/>
              </w:rPr>
              <w:t>0</w:t>
            </w:r>
          </w:p>
        </w:tc>
        <w:tc>
          <w:tcPr>
            <w:tcW w:w="850" w:type="dxa"/>
          </w:tcPr>
          <w:p w14:paraId="53CE7538" w14:textId="4C76731A" w:rsidR="0015598D" w:rsidRPr="00F110F6" w:rsidRDefault="0015598D" w:rsidP="002D3A0D">
            <w:pPr>
              <w:pStyle w:val="TableBody0"/>
              <w:spacing w:line="288" w:lineRule="auto"/>
              <w:jc w:val="right"/>
            </w:pPr>
            <w:r w:rsidRPr="00F110F6">
              <w:rPr>
                <w:rStyle w:val="normaltextrun"/>
              </w:rPr>
              <w:t>0</w:t>
            </w:r>
          </w:p>
        </w:tc>
        <w:tc>
          <w:tcPr>
            <w:tcW w:w="850" w:type="dxa"/>
          </w:tcPr>
          <w:p w14:paraId="3273B7FE" w14:textId="5B31C77F" w:rsidR="0015598D" w:rsidRPr="00F110F6" w:rsidRDefault="0015598D" w:rsidP="002D3A0D">
            <w:pPr>
              <w:pStyle w:val="TableBody0"/>
              <w:spacing w:line="288" w:lineRule="auto"/>
              <w:jc w:val="right"/>
            </w:pPr>
            <w:r w:rsidRPr="00F110F6">
              <w:rPr>
                <w:rStyle w:val="normaltextrun"/>
              </w:rPr>
              <w:t>0</w:t>
            </w:r>
          </w:p>
        </w:tc>
        <w:tc>
          <w:tcPr>
            <w:tcW w:w="838" w:type="dxa"/>
          </w:tcPr>
          <w:p w14:paraId="1C664C2A" w14:textId="25F373B5" w:rsidR="0015598D" w:rsidRPr="00F110F6" w:rsidRDefault="0015598D" w:rsidP="002D3A0D">
            <w:pPr>
              <w:pStyle w:val="TableBody0"/>
              <w:spacing w:line="288" w:lineRule="auto"/>
              <w:jc w:val="right"/>
            </w:pPr>
            <w:r w:rsidRPr="00F110F6">
              <w:rPr>
                <w:rStyle w:val="normaltextrun"/>
              </w:rPr>
              <w:t>42</w:t>
            </w:r>
          </w:p>
        </w:tc>
      </w:tr>
      <w:tr w:rsidR="0015598D" w:rsidRPr="00F110F6" w14:paraId="1AB05970"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4AEB9C0D" w14:textId="51E86487" w:rsidR="0015598D" w:rsidRPr="00F110F6" w:rsidRDefault="0015598D" w:rsidP="002D3A0D">
            <w:pPr>
              <w:pStyle w:val="TableBody0"/>
              <w:spacing w:line="288" w:lineRule="auto"/>
            </w:pPr>
            <w:r w:rsidRPr="00F110F6">
              <w:t>Q</w:t>
            </w:r>
            <w:r w:rsidR="00F612FF" w:rsidRPr="00F110F6">
              <w:t>ld</w:t>
            </w:r>
          </w:p>
        </w:tc>
        <w:tc>
          <w:tcPr>
            <w:tcW w:w="844" w:type="dxa"/>
          </w:tcPr>
          <w:p w14:paraId="4BCE89A5" w14:textId="52820836" w:rsidR="0015598D" w:rsidRPr="00F110F6" w:rsidRDefault="0015598D" w:rsidP="002D3A0D">
            <w:pPr>
              <w:pStyle w:val="TableBody0"/>
              <w:spacing w:line="288" w:lineRule="auto"/>
              <w:jc w:val="right"/>
            </w:pPr>
            <w:r w:rsidRPr="00F110F6">
              <w:rPr>
                <w:rStyle w:val="normaltextrun"/>
              </w:rPr>
              <w:t>23</w:t>
            </w:r>
          </w:p>
        </w:tc>
        <w:tc>
          <w:tcPr>
            <w:tcW w:w="844" w:type="dxa"/>
          </w:tcPr>
          <w:p w14:paraId="4D83607F" w14:textId="3F488402" w:rsidR="0015598D" w:rsidRPr="00F110F6" w:rsidRDefault="0015598D" w:rsidP="002D3A0D">
            <w:pPr>
              <w:pStyle w:val="TableBody0"/>
              <w:spacing w:line="288" w:lineRule="auto"/>
              <w:jc w:val="right"/>
            </w:pPr>
            <w:r w:rsidRPr="00F110F6">
              <w:rPr>
                <w:rStyle w:val="normaltextrun"/>
              </w:rPr>
              <w:t>2</w:t>
            </w:r>
          </w:p>
        </w:tc>
        <w:tc>
          <w:tcPr>
            <w:tcW w:w="844" w:type="dxa"/>
          </w:tcPr>
          <w:p w14:paraId="4419D502" w14:textId="0D51DBF2" w:rsidR="0015598D" w:rsidRPr="00F110F6" w:rsidRDefault="0015598D" w:rsidP="002D3A0D">
            <w:pPr>
              <w:pStyle w:val="TableBody0"/>
              <w:spacing w:line="288" w:lineRule="auto"/>
              <w:jc w:val="right"/>
            </w:pPr>
            <w:r w:rsidRPr="00F110F6">
              <w:rPr>
                <w:rStyle w:val="normaltextrun"/>
              </w:rPr>
              <w:t>25</w:t>
            </w:r>
          </w:p>
        </w:tc>
        <w:tc>
          <w:tcPr>
            <w:tcW w:w="844" w:type="dxa"/>
          </w:tcPr>
          <w:p w14:paraId="2E0D84A5" w14:textId="33933150" w:rsidR="0015598D" w:rsidRPr="00F110F6" w:rsidRDefault="0015598D" w:rsidP="002D3A0D">
            <w:pPr>
              <w:pStyle w:val="TableBody0"/>
              <w:spacing w:line="288" w:lineRule="auto"/>
              <w:jc w:val="right"/>
            </w:pPr>
            <w:r w:rsidRPr="00F110F6">
              <w:rPr>
                <w:rStyle w:val="normaltextrun"/>
              </w:rPr>
              <w:t>39</w:t>
            </w:r>
          </w:p>
        </w:tc>
        <w:tc>
          <w:tcPr>
            <w:tcW w:w="844" w:type="dxa"/>
          </w:tcPr>
          <w:p w14:paraId="57A67C64" w14:textId="43007D59" w:rsidR="0015598D" w:rsidRPr="00F110F6" w:rsidRDefault="0015598D" w:rsidP="002D3A0D">
            <w:pPr>
              <w:pStyle w:val="TableBody0"/>
              <w:spacing w:line="288" w:lineRule="auto"/>
              <w:jc w:val="right"/>
            </w:pPr>
            <w:r w:rsidRPr="00F110F6">
              <w:rPr>
                <w:rStyle w:val="normaltextrun"/>
              </w:rPr>
              <w:t>1</w:t>
            </w:r>
          </w:p>
        </w:tc>
        <w:tc>
          <w:tcPr>
            <w:tcW w:w="844" w:type="dxa"/>
          </w:tcPr>
          <w:p w14:paraId="28FEE8FD" w14:textId="75EC4916" w:rsidR="0015598D" w:rsidRPr="00F110F6" w:rsidRDefault="0015598D" w:rsidP="002D3A0D">
            <w:pPr>
              <w:pStyle w:val="TableBody0"/>
              <w:spacing w:line="288" w:lineRule="auto"/>
              <w:jc w:val="right"/>
            </w:pPr>
            <w:r w:rsidRPr="00F110F6">
              <w:rPr>
                <w:rStyle w:val="normaltextrun"/>
              </w:rPr>
              <w:t>40</w:t>
            </w:r>
          </w:p>
        </w:tc>
        <w:tc>
          <w:tcPr>
            <w:tcW w:w="737" w:type="dxa"/>
          </w:tcPr>
          <w:p w14:paraId="563CF186" w14:textId="705CCF38" w:rsidR="0015598D" w:rsidRPr="00F110F6" w:rsidRDefault="0015598D" w:rsidP="002D3A0D">
            <w:pPr>
              <w:pStyle w:val="TableBody0"/>
              <w:spacing w:line="288" w:lineRule="auto"/>
              <w:jc w:val="right"/>
            </w:pPr>
            <w:r w:rsidRPr="00F110F6">
              <w:rPr>
                <w:rStyle w:val="normaltextrun"/>
              </w:rPr>
              <w:t>3</w:t>
            </w:r>
          </w:p>
        </w:tc>
        <w:tc>
          <w:tcPr>
            <w:tcW w:w="737" w:type="dxa"/>
          </w:tcPr>
          <w:p w14:paraId="7B0A83AF" w14:textId="3CFCF8AE" w:rsidR="0015598D" w:rsidRPr="00F110F6" w:rsidRDefault="0015598D" w:rsidP="002D3A0D">
            <w:pPr>
              <w:pStyle w:val="TableBody0"/>
              <w:spacing w:line="288" w:lineRule="auto"/>
              <w:jc w:val="right"/>
            </w:pPr>
            <w:r w:rsidRPr="00F110F6">
              <w:rPr>
                <w:rStyle w:val="normaltextrun"/>
              </w:rPr>
              <w:t>0</w:t>
            </w:r>
          </w:p>
        </w:tc>
        <w:tc>
          <w:tcPr>
            <w:tcW w:w="567" w:type="dxa"/>
          </w:tcPr>
          <w:p w14:paraId="5D6AC0E4" w14:textId="6B7DABA6" w:rsidR="0015598D" w:rsidRPr="00F110F6" w:rsidRDefault="0015598D" w:rsidP="002D3A0D">
            <w:pPr>
              <w:pStyle w:val="TableBody0"/>
              <w:spacing w:line="288" w:lineRule="auto"/>
              <w:jc w:val="right"/>
            </w:pPr>
            <w:r w:rsidRPr="00F110F6">
              <w:rPr>
                <w:rStyle w:val="normaltextrun"/>
              </w:rPr>
              <w:t>3</w:t>
            </w:r>
          </w:p>
        </w:tc>
        <w:tc>
          <w:tcPr>
            <w:tcW w:w="844" w:type="dxa"/>
          </w:tcPr>
          <w:p w14:paraId="6376CF74" w14:textId="0C95E507" w:rsidR="0015598D" w:rsidRPr="00F110F6" w:rsidRDefault="0015598D" w:rsidP="002D3A0D">
            <w:pPr>
              <w:pStyle w:val="TableBody0"/>
              <w:spacing w:line="288" w:lineRule="auto"/>
              <w:jc w:val="right"/>
            </w:pPr>
            <w:r w:rsidRPr="00F110F6">
              <w:rPr>
                <w:rStyle w:val="normaltextrun"/>
              </w:rPr>
              <w:t>0</w:t>
            </w:r>
          </w:p>
        </w:tc>
        <w:tc>
          <w:tcPr>
            <w:tcW w:w="844" w:type="dxa"/>
          </w:tcPr>
          <w:p w14:paraId="6001932B" w14:textId="24963E53" w:rsidR="0015598D" w:rsidRPr="00F110F6" w:rsidRDefault="0015598D" w:rsidP="002D3A0D">
            <w:pPr>
              <w:pStyle w:val="TableBody0"/>
              <w:spacing w:line="288" w:lineRule="auto"/>
              <w:jc w:val="right"/>
            </w:pPr>
            <w:r w:rsidRPr="00F110F6">
              <w:rPr>
                <w:rStyle w:val="normaltextrun"/>
              </w:rPr>
              <w:t>0</w:t>
            </w:r>
          </w:p>
        </w:tc>
        <w:tc>
          <w:tcPr>
            <w:tcW w:w="844" w:type="dxa"/>
          </w:tcPr>
          <w:p w14:paraId="3777C664" w14:textId="34256E8E" w:rsidR="0015598D" w:rsidRPr="00F110F6" w:rsidRDefault="0015598D" w:rsidP="002D3A0D">
            <w:pPr>
              <w:pStyle w:val="TableBody0"/>
              <w:spacing w:line="288" w:lineRule="auto"/>
              <w:jc w:val="right"/>
            </w:pPr>
            <w:r w:rsidRPr="00F110F6">
              <w:rPr>
                <w:rStyle w:val="normaltextrun"/>
              </w:rPr>
              <w:t>0</w:t>
            </w:r>
          </w:p>
        </w:tc>
        <w:tc>
          <w:tcPr>
            <w:tcW w:w="844" w:type="dxa"/>
          </w:tcPr>
          <w:p w14:paraId="0902C824" w14:textId="6EAB9324" w:rsidR="0015598D" w:rsidRPr="00F110F6" w:rsidRDefault="0015598D" w:rsidP="002D3A0D">
            <w:pPr>
              <w:pStyle w:val="TableBody0"/>
              <w:spacing w:line="288" w:lineRule="auto"/>
              <w:jc w:val="right"/>
            </w:pPr>
            <w:r w:rsidRPr="00F110F6">
              <w:rPr>
                <w:rStyle w:val="normaltextrun"/>
              </w:rPr>
              <w:t>0</w:t>
            </w:r>
          </w:p>
        </w:tc>
        <w:tc>
          <w:tcPr>
            <w:tcW w:w="850" w:type="dxa"/>
          </w:tcPr>
          <w:p w14:paraId="4AC4D070" w14:textId="4C2995B8" w:rsidR="0015598D" w:rsidRPr="00F110F6" w:rsidRDefault="0015598D" w:rsidP="002D3A0D">
            <w:pPr>
              <w:pStyle w:val="TableBody0"/>
              <w:spacing w:line="288" w:lineRule="auto"/>
              <w:jc w:val="right"/>
            </w:pPr>
            <w:r w:rsidRPr="00F110F6">
              <w:rPr>
                <w:rStyle w:val="normaltextrun"/>
              </w:rPr>
              <w:t>0</w:t>
            </w:r>
          </w:p>
        </w:tc>
        <w:tc>
          <w:tcPr>
            <w:tcW w:w="850" w:type="dxa"/>
          </w:tcPr>
          <w:p w14:paraId="7B7D3DD6" w14:textId="4D8A3A6B" w:rsidR="0015598D" w:rsidRPr="00F110F6" w:rsidRDefault="0015598D" w:rsidP="002D3A0D">
            <w:pPr>
              <w:pStyle w:val="TableBody0"/>
              <w:spacing w:line="288" w:lineRule="auto"/>
              <w:jc w:val="right"/>
            </w:pPr>
            <w:r w:rsidRPr="00F110F6">
              <w:rPr>
                <w:rStyle w:val="normaltextrun"/>
              </w:rPr>
              <w:t>0</w:t>
            </w:r>
          </w:p>
        </w:tc>
        <w:tc>
          <w:tcPr>
            <w:tcW w:w="838" w:type="dxa"/>
          </w:tcPr>
          <w:p w14:paraId="0EBA4331" w14:textId="67FF08F9" w:rsidR="0015598D" w:rsidRPr="00F110F6" w:rsidRDefault="0015598D" w:rsidP="002D3A0D">
            <w:pPr>
              <w:pStyle w:val="TableBody0"/>
              <w:spacing w:line="288" w:lineRule="auto"/>
              <w:jc w:val="right"/>
            </w:pPr>
            <w:r w:rsidRPr="00F110F6">
              <w:rPr>
                <w:rStyle w:val="normaltextrun"/>
              </w:rPr>
              <w:t>68</w:t>
            </w:r>
          </w:p>
        </w:tc>
      </w:tr>
      <w:tr w:rsidR="0015598D" w:rsidRPr="00F110F6" w14:paraId="711DD9BC"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7A63DEB9" w14:textId="77777777" w:rsidR="0015598D" w:rsidRPr="00F110F6" w:rsidRDefault="0015598D" w:rsidP="002D3A0D">
            <w:pPr>
              <w:pStyle w:val="TableBody0"/>
              <w:spacing w:line="288" w:lineRule="auto"/>
            </w:pPr>
            <w:r w:rsidRPr="00F110F6">
              <w:t>SA</w:t>
            </w:r>
          </w:p>
        </w:tc>
        <w:tc>
          <w:tcPr>
            <w:tcW w:w="844" w:type="dxa"/>
          </w:tcPr>
          <w:p w14:paraId="64645285" w14:textId="5669F37D" w:rsidR="0015598D" w:rsidRPr="00F110F6" w:rsidRDefault="0015598D" w:rsidP="002D3A0D">
            <w:pPr>
              <w:pStyle w:val="TableBody0"/>
              <w:spacing w:line="288" w:lineRule="auto"/>
              <w:jc w:val="right"/>
            </w:pPr>
            <w:r w:rsidRPr="00F110F6">
              <w:rPr>
                <w:rStyle w:val="normaltextrun"/>
              </w:rPr>
              <w:t>5</w:t>
            </w:r>
          </w:p>
        </w:tc>
        <w:tc>
          <w:tcPr>
            <w:tcW w:w="844" w:type="dxa"/>
          </w:tcPr>
          <w:p w14:paraId="77BEA722" w14:textId="19D6CE6D" w:rsidR="0015598D" w:rsidRPr="00F110F6" w:rsidRDefault="0015598D" w:rsidP="002D3A0D">
            <w:pPr>
              <w:pStyle w:val="TableBody0"/>
              <w:spacing w:line="288" w:lineRule="auto"/>
              <w:jc w:val="right"/>
            </w:pPr>
            <w:r w:rsidRPr="00F110F6">
              <w:rPr>
                <w:rStyle w:val="normaltextrun"/>
              </w:rPr>
              <w:t>0</w:t>
            </w:r>
          </w:p>
        </w:tc>
        <w:tc>
          <w:tcPr>
            <w:tcW w:w="844" w:type="dxa"/>
          </w:tcPr>
          <w:p w14:paraId="681EB5FD" w14:textId="3A3E615F" w:rsidR="0015598D" w:rsidRPr="00F110F6" w:rsidRDefault="0015598D" w:rsidP="002D3A0D">
            <w:pPr>
              <w:pStyle w:val="TableBody0"/>
              <w:spacing w:line="288" w:lineRule="auto"/>
              <w:jc w:val="right"/>
            </w:pPr>
            <w:r w:rsidRPr="00F110F6">
              <w:rPr>
                <w:rStyle w:val="normaltextrun"/>
              </w:rPr>
              <w:t>5</w:t>
            </w:r>
          </w:p>
        </w:tc>
        <w:tc>
          <w:tcPr>
            <w:tcW w:w="844" w:type="dxa"/>
          </w:tcPr>
          <w:p w14:paraId="7D38A7D0" w14:textId="0D33284E" w:rsidR="0015598D" w:rsidRPr="00F110F6" w:rsidRDefault="0015598D" w:rsidP="002D3A0D">
            <w:pPr>
              <w:pStyle w:val="TableBody0"/>
              <w:spacing w:line="288" w:lineRule="auto"/>
              <w:jc w:val="right"/>
            </w:pPr>
            <w:r w:rsidRPr="00F110F6">
              <w:rPr>
                <w:rStyle w:val="normaltextrun"/>
              </w:rPr>
              <w:t>11</w:t>
            </w:r>
          </w:p>
        </w:tc>
        <w:tc>
          <w:tcPr>
            <w:tcW w:w="844" w:type="dxa"/>
          </w:tcPr>
          <w:p w14:paraId="018ACEE7" w14:textId="55D2D1EC" w:rsidR="0015598D" w:rsidRPr="00F110F6" w:rsidRDefault="0015598D" w:rsidP="002D3A0D">
            <w:pPr>
              <w:pStyle w:val="TableBody0"/>
              <w:spacing w:line="288" w:lineRule="auto"/>
              <w:jc w:val="right"/>
            </w:pPr>
            <w:r w:rsidRPr="00F110F6">
              <w:rPr>
                <w:rStyle w:val="normaltextrun"/>
              </w:rPr>
              <w:t>1</w:t>
            </w:r>
          </w:p>
        </w:tc>
        <w:tc>
          <w:tcPr>
            <w:tcW w:w="844" w:type="dxa"/>
          </w:tcPr>
          <w:p w14:paraId="45301C9B" w14:textId="21DD2D54" w:rsidR="0015598D" w:rsidRPr="00F110F6" w:rsidRDefault="0015598D" w:rsidP="002D3A0D">
            <w:pPr>
              <w:pStyle w:val="TableBody0"/>
              <w:spacing w:line="288" w:lineRule="auto"/>
              <w:jc w:val="right"/>
            </w:pPr>
            <w:r w:rsidRPr="00F110F6">
              <w:rPr>
                <w:rStyle w:val="normaltextrun"/>
              </w:rPr>
              <w:t>12</w:t>
            </w:r>
          </w:p>
        </w:tc>
        <w:tc>
          <w:tcPr>
            <w:tcW w:w="737" w:type="dxa"/>
          </w:tcPr>
          <w:p w14:paraId="61C631FC" w14:textId="64744D17" w:rsidR="0015598D" w:rsidRPr="00F110F6" w:rsidRDefault="0015598D" w:rsidP="002D3A0D">
            <w:pPr>
              <w:pStyle w:val="TableBody0"/>
              <w:spacing w:line="288" w:lineRule="auto"/>
              <w:jc w:val="right"/>
            </w:pPr>
            <w:r w:rsidRPr="00F110F6">
              <w:rPr>
                <w:rStyle w:val="normaltextrun"/>
              </w:rPr>
              <w:t>0</w:t>
            </w:r>
          </w:p>
        </w:tc>
        <w:tc>
          <w:tcPr>
            <w:tcW w:w="737" w:type="dxa"/>
          </w:tcPr>
          <w:p w14:paraId="0B788763" w14:textId="7F928512" w:rsidR="0015598D" w:rsidRPr="00F110F6" w:rsidRDefault="0015598D" w:rsidP="002D3A0D">
            <w:pPr>
              <w:pStyle w:val="TableBody0"/>
              <w:spacing w:line="288" w:lineRule="auto"/>
              <w:jc w:val="right"/>
            </w:pPr>
            <w:r w:rsidRPr="00F110F6">
              <w:rPr>
                <w:rStyle w:val="normaltextrun"/>
              </w:rPr>
              <w:t>0</w:t>
            </w:r>
          </w:p>
        </w:tc>
        <w:tc>
          <w:tcPr>
            <w:tcW w:w="567" w:type="dxa"/>
          </w:tcPr>
          <w:p w14:paraId="29EE9797" w14:textId="6388F21A" w:rsidR="0015598D" w:rsidRPr="00F110F6" w:rsidRDefault="0015598D" w:rsidP="002D3A0D">
            <w:pPr>
              <w:pStyle w:val="TableBody0"/>
              <w:spacing w:line="288" w:lineRule="auto"/>
              <w:jc w:val="right"/>
            </w:pPr>
            <w:r w:rsidRPr="00F110F6">
              <w:rPr>
                <w:rStyle w:val="normaltextrun"/>
              </w:rPr>
              <w:t>0</w:t>
            </w:r>
          </w:p>
        </w:tc>
        <w:tc>
          <w:tcPr>
            <w:tcW w:w="844" w:type="dxa"/>
          </w:tcPr>
          <w:p w14:paraId="413A3F4B" w14:textId="36EB8BBB" w:rsidR="0015598D" w:rsidRPr="00F110F6" w:rsidRDefault="0015598D" w:rsidP="002D3A0D">
            <w:pPr>
              <w:pStyle w:val="TableBody0"/>
              <w:spacing w:line="288" w:lineRule="auto"/>
              <w:jc w:val="right"/>
            </w:pPr>
            <w:r w:rsidRPr="00F110F6">
              <w:rPr>
                <w:rStyle w:val="normaltextrun"/>
              </w:rPr>
              <w:t>0</w:t>
            </w:r>
          </w:p>
        </w:tc>
        <w:tc>
          <w:tcPr>
            <w:tcW w:w="844" w:type="dxa"/>
          </w:tcPr>
          <w:p w14:paraId="729AE600" w14:textId="7E0EDF62" w:rsidR="0015598D" w:rsidRPr="00F110F6" w:rsidRDefault="0015598D" w:rsidP="002D3A0D">
            <w:pPr>
              <w:pStyle w:val="TableBody0"/>
              <w:spacing w:line="288" w:lineRule="auto"/>
              <w:jc w:val="right"/>
            </w:pPr>
            <w:r w:rsidRPr="00F110F6">
              <w:rPr>
                <w:rStyle w:val="normaltextrun"/>
              </w:rPr>
              <w:t>0</w:t>
            </w:r>
          </w:p>
        </w:tc>
        <w:tc>
          <w:tcPr>
            <w:tcW w:w="844" w:type="dxa"/>
          </w:tcPr>
          <w:p w14:paraId="3B769253" w14:textId="5D478319" w:rsidR="0015598D" w:rsidRPr="00F110F6" w:rsidRDefault="0015598D" w:rsidP="002D3A0D">
            <w:pPr>
              <w:pStyle w:val="TableBody0"/>
              <w:spacing w:line="288" w:lineRule="auto"/>
              <w:jc w:val="right"/>
            </w:pPr>
            <w:r w:rsidRPr="00F110F6">
              <w:rPr>
                <w:rStyle w:val="normaltextrun"/>
              </w:rPr>
              <w:t>0</w:t>
            </w:r>
          </w:p>
        </w:tc>
        <w:tc>
          <w:tcPr>
            <w:tcW w:w="844" w:type="dxa"/>
          </w:tcPr>
          <w:p w14:paraId="4ED84B99" w14:textId="44937422" w:rsidR="0015598D" w:rsidRPr="00F110F6" w:rsidRDefault="0015598D" w:rsidP="002D3A0D">
            <w:pPr>
              <w:pStyle w:val="TableBody0"/>
              <w:spacing w:line="288" w:lineRule="auto"/>
              <w:jc w:val="right"/>
            </w:pPr>
            <w:r w:rsidRPr="00F110F6">
              <w:rPr>
                <w:rStyle w:val="normaltextrun"/>
              </w:rPr>
              <w:t>0</w:t>
            </w:r>
          </w:p>
        </w:tc>
        <w:tc>
          <w:tcPr>
            <w:tcW w:w="850" w:type="dxa"/>
          </w:tcPr>
          <w:p w14:paraId="5AD9176E" w14:textId="24354E34" w:rsidR="0015598D" w:rsidRPr="00F110F6" w:rsidRDefault="0015598D" w:rsidP="002D3A0D">
            <w:pPr>
              <w:pStyle w:val="TableBody0"/>
              <w:spacing w:line="288" w:lineRule="auto"/>
              <w:jc w:val="right"/>
            </w:pPr>
            <w:r w:rsidRPr="00F110F6">
              <w:rPr>
                <w:rStyle w:val="normaltextrun"/>
              </w:rPr>
              <w:t>0</w:t>
            </w:r>
          </w:p>
        </w:tc>
        <w:tc>
          <w:tcPr>
            <w:tcW w:w="850" w:type="dxa"/>
          </w:tcPr>
          <w:p w14:paraId="5564B18C" w14:textId="1FBEB161" w:rsidR="0015598D" w:rsidRPr="00F110F6" w:rsidRDefault="0015598D" w:rsidP="002D3A0D">
            <w:pPr>
              <w:pStyle w:val="TableBody0"/>
              <w:spacing w:line="288" w:lineRule="auto"/>
              <w:jc w:val="right"/>
            </w:pPr>
            <w:r w:rsidRPr="00F110F6">
              <w:rPr>
                <w:rStyle w:val="normaltextrun"/>
              </w:rPr>
              <w:t>0</w:t>
            </w:r>
          </w:p>
        </w:tc>
        <w:tc>
          <w:tcPr>
            <w:tcW w:w="838" w:type="dxa"/>
          </w:tcPr>
          <w:p w14:paraId="12FC38DB" w14:textId="2754AA76" w:rsidR="0015598D" w:rsidRPr="00F110F6" w:rsidRDefault="0015598D" w:rsidP="002D3A0D">
            <w:pPr>
              <w:pStyle w:val="TableBody0"/>
              <w:spacing w:line="288" w:lineRule="auto"/>
              <w:jc w:val="right"/>
            </w:pPr>
            <w:r w:rsidRPr="00F110F6">
              <w:rPr>
                <w:rStyle w:val="normaltextrun"/>
              </w:rPr>
              <w:t>17</w:t>
            </w:r>
          </w:p>
        </w:tc>
      </w:tr>
      <w:tr w:rsidR="0015598D" w:rsidRPr="00F110F6" w14:paraId="1929BA8D"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2136F9A2" w14:textId="77777777" w:rsidR="0015598D" w:rsidRPr="00F110F6" w:rsidRDefault="0015598D" w:rsidP="002D3A0D">
            <w:pPr>
              <w:pStyle w:val="TableBody0"/>
              <w:spacing w:line="288" w:lineRule="auto"/>
            </w:pPr>
            <w:r w:rsidRPr="00F110F6">
              <w:t>Tas</w:t>
            </w:r>
          </w:p>
        </w:tc>
        <w:tc>
          <w:tcPr>
            <w:tcW w:w="844" w:type="dxa"/>
          </w:tcPr>
          <w:p w14:paraId="55138AE6" w14:textId="5B656609" w:rsidR="0015598D" w:rsidRPr="00F110F6" w:rsidRDefault="0015598D" w:rsidP="002D3A0D">
            <w:pPr>
              <w:pStyle w:val="TableBody0"/>
              <w:spacing w:line="288" w:lineRule="auto"/>
              <w:jc w:val="right"/>
            </w:pPr>
            <w:r w:rsidRPr="00F110F6">
              <w:rPr>
                <w:rStyle w:val="normaltextrun"/>
              </w:rPr>
              <w:t>0</w:t>
            </w:r>
          </w:p>
        </w:tc>
        <w:tc>
          <w:tcPr>
            <w:tcW w:w="844" w:type="dxa"/>
          </w:tcPr>
          <w:p w14:paraId="69C48B98" w14:textId="5C083CB0" w:rsidR="0015598D" w:rsidRPr="00F110F6" w:rsidRDefault="0015598D" w:rsidP="002D3A0D">
            <w:pPr>
              <w:pStyle w:val="TableBody0"/>
              <w:spacing w:line="288" w:lineRule="auto"/>
              <w:jc w:val="right"/>
            </w:pPr>
            <w:r w:rsidRPr="00F110F6">
              <w:rPr>
                <w:rStyle w:val="normaltextrun"/>
              </w:rPr>
              <w:t>0</w:t>
            </w:r>
          </w:p>
        </w:tc>
        <w:tc>
          <w:tcPr>
            <w:tcW w:w="844" w:type="dxa"/>
          </w:tcPr>
          <w:p w14:paraId="342C3198" w14:textId="430D0879" w:rsidR="0015598D" w:rsidRPr="00F110F6" w:rsidRDefault="0015598D" w:rsidP="002D3A0D">
            <w:pPr>
              <w:pStyle w:val="TableBody0"/>
              <w:spacing w:line="288" w:lineRule="auto"/>
              <w:jc w:val="right"/>
            </w:pPr>
            <w:r w:rsidRPr="00F110F6">
              <w:rPr>
                <w:rStyle w:val="normaltextrun"/>
              </w:rPr>
              <w:t>0</w:t>
            </w:r>
          </w:p>
        </w:tc>
        <w:tc>
          <w:tcPr>
            <w:tcW w:w="844" w:type="dxa"/>
          </w:tcPr>
          <w:p w14:paraId="1E7752DC" w14:textId="660AF04F" w:rsidR="0015598D" w:rsidRPr="00F110F6" w:rsidRDefault="0015598D" w:rsidP="002D3A0D">
            <w:pPr>
              <w:pStyle w:val="TableBody0"/>
              <w:spacing w:line="288" w:lineRule="auto"/>
              <w:jc w:val="right"/>
            </w:pPr>
            <w:r w:rsidRPr="00F110F6">
              <w:rPr>
                <w:rStyle w:val="normaltextrun"/>
              </w:rPr>
              <w:t>1</w:t>
            </w:r>
          </w:p>
        </w:tc>
        <w:tc>
          <w:tcPr>
            <w:tcW w:w="844" w:type="dxa"/>
          </w:tcPr>
          <w:p w14:paraId="62B29611" w14:textId="03010911" w:rsidR="0015598D" w:rsidRPr="00F110F6" w:rsidRDefault="0015598D" w:rsidP="002D3A0D">
            <w:pPr>
              <w:pStyle w:val="TableBody0"/>
              <w:spacing w:line="288" w:lineRule="auto"/>
              <w:jc w:val="right"/>
            </w:pPr>
            <w:r w:rsidRPr="00F110F6">
              <w:rPr>
                <w:rStyle w:val="normaltextrun"/>
              </w:rPr>
              <w:t>0</w:t>
            </w:r>
          </w:p>
        </w:tc>
        <w:tc>
          <w:tcPr>
            <w:tcW w:w="844" w:type="dxa"/>
          </w:tcPr>
          <w:p w14:paraId="7833E356" w14:textId="1DA20F93" w:rsidR="0015598D" w:rsidRPr="00F110F6" w:rsidRDefault="0015598D" w:rsidP="002D3A0D">
            <w:pPr>
              <w:pStyle w:val="TableBody0"/>
              <w:spacing w:line="288" w:lineRule="auto"/>
              <w:jc w:val="right"/>
            </w:pPr>
            <w:r w:rsidRPr="00F110F6">
              <w:rPr>
                <w:rStyle w:val="normaltextrun"/>
              </w:rPr>
              <w:t>1</w:t>
            </w:r>
          </w:p>
        </w:tc>
        <w:tc>
          <w:tcPr>
            <w:tcW w:w="737" w:type="dxa"/>
          </w:tcPr>
          <w:p w14:paraId="79A56049" w14:textId="2F4F7225" w:rsidR="0015598D" w:rsidRPr="00F110F6" w:rsidRDefault="0015598D" w:rsidP="002D3A0D">
            <w:pPr>
              <w:pStyle w:val="TableBody0"/>
              <w:spacing w:line="288" w:lineRule="auto"/>
              <w:jc w:val="right"/>
            </w:pPr>
            <w:r w:rsidRPr="00F110F6">
              <w:rPr>
                <w:rStyle w:val="normaltextrun"/>
              </w:rPr>
              <w:t>0</w:t>
            </w:r>
          </w:p>
        </w:tc>
        <w:tc>
          <w:tcPr>
            <w:tcW w:w="737" w:type="dxa"/>
          </w:tcPr>
          <w:p w14:paraId="586BCF12" w14:textId="297CD5FC" w:rsidR="0015598D" w:rsidRPr="00F110F6" w:rsidRDefault="0015598D" w:rsidP="002D3A0D">
            <w:pPr>
              <w:pStyle w:val="TableBody0"/>
              <w:spacing w:line="288" w:lineRule="auto"/>
              <w:jc w:val="right"/>
            </w:pPr>
            <w:r w:rsidRPr="00F110F6">
              <w:rPr>
                <w:rStyle w:val="normaltextrun"/>
              </w:rPr>
              <w:t>0</w:t>
            </w:r>
          </w:p>
        </w:tc>
        <w:tc>
          <w:tcPr>
            <w:tcW w:w="567" w:type="dxa"/>
          </w:tcPr>
          <w:p w14:paraId="3AF3DDCD" w14:textId="3B1FBA5B" w:rsidR="0015598D" w:rsidRPr="00F110F6" w:rsidRDefault="0015598D" w:rsidP="002D3A0D">
            <w:pPr>
              <w:pStyle w:val="TableBody0"/>
              <w:spacing w:line="288" w:lineRule="auto"/>
              <w:jc w:val="right"/>
            </w:pPr>
            <w:r w:rsidRPr="00F110F6">
              <w:rPr>
                <w:rStyle w:val="normaltextrun"/>
              </w:rPr>
              <w:t>0</w:t>
            </w:r>
          </w:p>
        </w:tc>
        <w:tc>
          <w:tcPr>
            <w:tcW w:w="844" w:type="dxa"/>
          </w:tcPr>
          <w:p w14:paraId="3890C968" w14:textId="343CA535" w:rsidR="0015598D" w:rsidRPr="00F110F6" w:rsidRDefault="0015598D" w:rsidP="002D3A0D">
            <w:pPr>
              <w:pStyle w:val="TableBody0"/>
              <w:spacing w:line="288" w:lineRule="auto"/>
              <w:jc w:val="right"/>
            </w:pPr>
            <w:r w:rsidRPr="00F110F6">
              <w:rPr>
                <w:rStyle w:val="normaltextrun"/>
              </w:rPr>
              <w:t>0</w:t>
            </w:r>
          </w:p>
        </w:tc>
        <w:tc>
          <w:tcPr>
            <w:tcW w:w="844" w:type="dxa"/>
          </w:tcPr>
          <w:p w14:paraId="258B5CA5" w14:textId="269B14B4" w:rsidR="0015598D" w:rsidRPr="00F110F6" w:rsidRDefault="0015598D" w:rsidP="002D3A0D">
            <w:pPr>
              <w:pStyle w:val="TableBody0"/>
              <w:spacing w:line="288" w:lineRule="auto"/>
              <w:jc w:val="right"/>
            </w:pPr>
            <w:r w:rsidRPr="00F110F6">
              <w:rPr>
                <w:rStyle w:val="normaltextrun"/>
              </w:rPr>
              <w:t>0</w:t>
            </w:r>
          </w:p>
        </w:tc>
        <w:tc>
          <w:tcPr>
            <w:tcW w:w="844" w:type="dxa"/>
          </w:tcPr>
          <w:p w14:paraId="6E6DF2D1" w14:textId="25DC2035" w:rsidR="0015598D" w:rsidRPr="00F110F6" w:rsidRDefault="0015598D" w:rsidP="002D3A0D">
            <w:pPr>
              <w:pStyle w:val="TableBody0"/>
              <w:spacing w:line="288" w:lineRule="auto"/>
              <w:jc w:val="right"/>
            </w:pPr>
            <w:r w:rsidRPr="00F110F6">
              <w:rPr>
                <w:rStyle w:val="normaltextrun"/>
              </w:rPr>
              <w:t>0</w:t>
            </w:r>
          </w:p>
        </w:tc>
        <w:tc>
          <w:tcPr>
            <w:tcW w:w="844" w:type="dxa"/>
          </w:tcPr>
          <w:p w14:paraId="0B0923B4" w14:textId="47C175AC" w:rsidR="0015598D" w:rsidRPr="00F110F6" w:rsidRDefault="0015598D" w:rsidP="002D3A0D">
            <w:pPr>
              <w:pStyle w:val="TableBody0"/>
              <w:spacing w:line="288" w:lineRule="auto"/>
              <w:jc w:val="right"/>
            </w:pPr>
            <w:r w:rsidRPr="00F110F6">
              <w:rPr>
                <w:rStyle w:val="normaltextrun"/>
              </w:rPr>
              <w:t>0</w:t>
            </w:r>
          </w:p>
        </w:tc>
        <w:tc>
          <w:tcPr>
            <w:tcW w:w="850" w:type="dxa"/>
          </w:tcPr>
          <w:p w14:paraId="78AB79E4" w14:textId="1FB592A4" w:rsidR="0015598D" w:rsidRPr="00F110F6" w:rsidRDefault="0015598D" w:rsidP="002D3A0D">
            <w:pPr>
              <w:pStyle w:val="TableBody0"/>
              <w:spacing w:line="288" w:lineRule="auto"/>
              <w:jc w:val="right"/>
            </w:pPr>
            <w:r w:rsidRPr="00F110F6">
              <w:rPr>
                <w:rStyle w:val="normaltextrun"/>
              </w:rPr>
              <w:t>0</w:t>
            </w:r>
          </w:p>
        </w:tc>
        <w:tc>
          <w:tcPr>
            <w:tcW w:w="850" w:type="dxa"/>
          </w:tcPr>
          <w:p w14:paraId="6570274C" w14:textId="584CA931" w:rsidR="0015598D" w:rsidRPr="00F110F6" w:rsidRDefault="0015598D" w:rsidP="002D3A0D">
            <w:pPr>
              <w:pStyle w:val="TableBody0"/>
              <w:spacing w:line="288" w:lineRule="auto"/>
              <w:jc w:val="right"/>
            </w:pPr>
            <w:r w:rsidRPr="00F110F6">
              <w:rPr>
                <w:rStyle w:val="normaltextrun"/>
              </w:rPr>
              <w:t>0</w:t>
            </w:r>
          </w:p>
        </w:tc>
        <w:tc>
          <w:tcPr>
            <w:tcW w:w="838" w:type="dxa"/>
          </w:tcPr>
          <w:p w14:paraId="1AA07809" w14:textId="4EECE22C" w:rsidR="0015598D" w:rsidRPr="00F110F6" w:rsidRDefault="0015598D" w:rsidP="002D3A0D">
            <w:pPr>
              <w:pStyle w:val="TableBody0"/>
              <w:spacing w:line="288" w:lineRule="auto"/>
              <w:jc w:val="right"/>
            </w:pPr>
            <w:r w:rsidRPr="00F110F6">
              <w:rPr>
                <w:rStyle w:val="normaltextrun"/>
              </w:rPr>
              <w:t>1</w:t>
            </w:r>
          </w:p>
        </w:tc>
      </w:tr>
      <w:tr w:rsidR="0015598D" w:rsidRPr="00F110F6" w14:paraId="71F573E0"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70E67F6C" w14:textId="77777777" w:rsidR="0015598D" w:rsidRPr="00F110F6" w:rsidRDefault="0015598D" w:rsidP="002D3A0D">
            <w:pPr>
              <w:pStyle w:val="TableBody0"/>
              <w:spacing w:line="288" w:lineRule="auto"/>
            </w:pPr>
            <w:r w:rsidRPr="00F110F6">
              <w:t>Vic</w:t>
            </w:r>
          </w:p>
        </w:tc>
        <w:tc>
          <w:tcPr>
            <w:tcW w:w="844" w:type="dxa"/>
          </w:tcPr>
          <w:p w14:paraId="55B34805" w14:textId="4CB1E52F" w:rsidR="0015598D" w:rsidRPr="00F110F6" w:rsidRDefault="0015598D" w:rsidP="002D3A0D">
            <w:pPr>
              <w:pStyle w:val="TableBody0"/>
              <w:spacing w:line="288" w:lineRule="auto"/>
              <w:jc w:val="right"/>
            </w:pPr>
            <w:r w:rsidRPr="00F110F6">
              <w:rPr>
                <w:rStyle w:val="normaltextrun"/>
              </w:rPr>
              <w:t>30</w:t>
            </w:r>
          </w:p>
        </w:tc>
        <w:tc>
          <w:tcPr>
            <w:tcW w:w="844" w:type="dxa"/>
          </w:tcPr>
          <w:p w14:paraId="59DED656" w14:textId="5FB217C9" w:rsidR="0015598D" w:rsidRPr="00F110F6" w:rsidRDefault="0015598D" w:rsidP="002D3A0D">
            <w:pPr>
              <w:pStyle w:val="TableBody0"/>
              <w:spacing w:line="288" w:lineRule="auto"/>
              <w:jc w:val="right"/>
            </w:pPr>
            <w:r w:rsidRPr="00F110F6">
              <w:rPr>
                <w:rStyle w:val="normaltextrun"/>
              </w:rPr>
              <w:t>0</w:t>
            </w:r>
          </w:p>
        </w:tc>
        <w:tc>
          <w:tcPr>
            <w:tcW w:w="844" w:type="dxa"/>
          </w:tcPr>
          <w:p w14:paraId="54D17802" w14:textId="4E476072" w:rsidR="0015598D" w:rsidRPr="00F110F6" w:rsidRDefault="0015598D" w:rsidP="002D3A0D">
            <w:pPr>
              <w:pStyle w:val="TableBody0"/>
              <w:spacing w:line="288" w:lineRule="auto"/>
              <w:jc w:val="right"/>
            </w:pPr>
            <w:r w:rsidRPr="00F110F6">
              <w:rPr>
                <w:rStyle w:val="normaltextrun"/>
              </w:rPr>
              <w:t>30</w:t>
            </w:r>
          </w:p>
        </w:tc>
        <w:tc>
          <w:tcPr>
            <w:tcW w:w="844" w:type="dxa"/>
          </w:tcPr>
          <w:p w14:paraId="02F5CB9B" w14:textId="234BDADE" w:rsidR="0015598D" w:rsidRPr="00F110F6" w:rsidRDefault="0015598D" w:rsidP="002D3A0D">
            <w:pPr>
              <w:pStyle w:val="TableBody0"/>
              <w:spacing w:line="288" w:lineRule="auto"/>
              <w:jc w:val="right"/>
            </w:pPr>
            <w:r w:rsidRPr="00F110F6">
              <w:rPr>
                <w:rStyle w:val="normaltextrun"/>
              </w:rPr>
              <w:t>48</w:t>
            </w:r>
          </w:p>
        </w:tc>
        <w:tc>
          <w:tcPr>
            <w:tcW w:w="844" w:type="dxa"/>
          </w:tcPr>
          <w:p w14:paraId="2A90BBD9" w14:textId="01767878" w:rsidR="0015598D" w:rsidRPr="00F110F6" w:rsidRDefault="0015598D" w:rsidP="002D3A0D">
            <w:pPr>
              <w:pStyle w:val="TableBody0"/>
              <w:spacing w:line="288" w:lineRule="auto"/>
              <w:jc w:val="right"/>
            </w:pPr>
            <w:r w:rsidRPr="00F110F6">
              <w:rPr>
                <w:rStyle w:val="normaltextrun"/>
              </w:rPr>
              <w:t>9</w:t>
            </w:r>
          </w:p>
        </w:tc>
        <w:tc>
          <w:tcPr>
            <w:tcW w:w="844" w:type="dxa"/>
          </w:tcPr>
          <w:p w14:paraId="0D8332B4" w14:textId="0EC36845" w:rsidR="0015598D" w:rsidRPr="00F110F6" w:rsidRDefault="0015598D" w:rsidP="002D3A0D">
            <w:pPr>
              <w:pStyle w:val="TableBody0"/>
              <w:spacing w:line="288" w:lineRule="auto"/>
              <w:jc w:val="right"/>
            </w:pPr>
            <w:r w:rsidRPr="00F110F6">
              <w:rPr>
                <w:rStyle w:val="normaltextrun"/>
              </w:rPr>
              <w:t>57</w:t>
            </w:r>
          </w:p>
        </w:tc>
        <w:tc>
          <w:tcPr>
            <w:tcW w:w="737" w:type="dxa"/>
          </w:tcPr>
          <w:p w14:paraId="7D3CD6B7" w14:textId="5FEC4251" w:rsidR="0015598D" w:rsidRPr="00F110F6" w:rsidRDefault="0015598D" w:rsidP="002D3A0D">
            <w:pPr>
              <w:pStyle w:val="TableBody0"/>
              <w:spacing w:line="288" w:lineRule="auto"/>
              <w:jc w:val="right"/>
            </w:pPr>
            <w:r w:rsidRPr="00F110F6">
              <w:rPr>
                <w:rStyle w:val="normaltextrun"/>
              </w:rPr>
              <w:t>0</w:t>
            </w:r>
          </w:p>
        </w:tc>
        <w:tc>
          <w:tcPr>
            <w:tcW w:w="737" w:type="dxa"/>
          </w:tcPr>
          <w:p w14:paraId="22061495" w14:textId="78E752E5" w:rsidR="0015598D" w:rsidRPr="00F110F6" w:rsidRDefault="0015598D" w:rsidP="002D3A0D">
            <w:pPr>
              <w:pStyle w:val="TableBody0"/>
              <w:spacing w:line="288" w:lineRule="auto"/>
              <w:jc w:val="right"/>
            </w:pPr>
            <w:r w:rsidRPr="00F110F6">
              <w:rPr>
                <w:rStyle w:val="normaltextrun"/>
              </w:rPr>
              <w:t>0</w:t>
            </w:r>
          </w:p>
        </w:tc>
        <w:tc>
          <w:tcPr>
            <w:tcW w:w="567" w:type="dxa"/>
          </w:tcPr>
          <w:p w14:paraId="5E505365" w14:textId="179BFB26" w:rsidR="0015598D" w:rsidRPr="00F110F6" w:rsidRDefault="0015598D" w:rsidP="002D3A0D">
            <w:pPr>
              <w:pStyle w:val="TableBody0"/>
              <w:spacing w:line="288" w:lineRule="auto"/>
              <w:jc w:val="right"/>
            </w:pPr>
            <w:r w:rsidRPr="00F110F6">
              <w:rPr>
                <w:rStyle w:val="normaltextrun"/>
              </w:rPr>
              <w:t>0</w:t>
            </w:r>
          </w:p>
        </w:tc>
        <w:tc>
          <w:tcPr>
            <w:tcW w:w="844" w:type="dxa"/>
          </w:tcPr>
          <w:p w14:paraId="4A9C3D88" w14:textId="22142AA4" w:rsidR="0015598D" w:rsidRPr="00F110F6" w:rsidRDefault="0015598D" w:rsidP="002D3A0D">
            <w:pPr>
              <w:pStyle w:val="TableBody0"/>
              <w:spacing w:line="288" w:lineRule="auto"/>
              <w:jc w:val="right"/>
            </w:pPr>
            <w:r w:rsidRPr="00F110F6">
              <w:rPr>
                <w:rStyle w:val="normaltextrun"/>
              </w:rPr>
              <w:t>0</w:t>
            </w:r>
          </w:p>
        </w:tc>
        <w:tc>
          <w:tcPr>
            <w:tcW w:w="844" w:type="dxa"/>
          </w:tcPr>
          <w:p w14:paraId="66F15D33" w14:textId="5E529835" w:rsidR="0015598D" w:rsidRPr="00F110F6" w:rsidRDefault="0015598D" w:rsidP="002D3A0D">
            <w:pPr>
              <w:pStyle w:val="TableBody0"/>
              <w:spacing w:line="288" w:lineRule="auto"/>
              <w:jc w:val="right"/>
            </w:pPr>
            <w:r w:rsidRPr="00F110F6">
              <w:rPr>
                <w:rStyle w:val="normaltextrun"/>
              </w:rPr>
              <w:t>0</w:t>
            </w:r>
          </w:p>
        </w:tc>
        <w:tc>
          <w:tcPr>
            <w:tcW w:w="844" w:type="dxa"/>
          </w:tcPr>
          <w:p w14:paraId="549162B7" w14:textId="2EFBCC76" w:rsidR="0015598D" w:rsidRPr="00F110F6" w:rsidRDefault="0015598D" w:rsidP="002D3A0D">
            <w:pPr>
              <w:pStyle w:val="TableBody0"/>
              <w:spacing w:line="288" w:lineRule="auto"/>
              <w:jc w:val="right"/>
            </w:pPr>
            <w:r w:rsidRPr="00F110F6">
              <w:rPr>
                <w:rStyle w:val="normaltextrun"/>
              </w:rPr>
              <w:t>0</w:t>
            </w:r>
          </w:p>
        </w:tc>
        <w:tc>
          <w:tcPr>
            <w:tcW w:w="844" w:type="dxa"/>
          </w:tcPr>
          <w:p w14:paraId="6884E39D" w14:textId="3CF11D45" w:rsidR="0015598D" w:rsidRPr="00F110F6" w:rsidRDefault="0015598D" w:rsidP="002D3A0D">
            <w:pPr>
              <w:pStyle w:val="TableBody0"/>
              <w:spacing w:line="288" w:lineRule="auto"/>
              <w:jc w:val="right"/>
            </w:pPr>
            <w:r w:rsidRPr="00F110F6">
              <w:rPr>
                <w:rStyle w:val="normaltextrun"/>
              </w:rPr>
              <w:t>0</w:t>
            </w:r>
          </w:p>
        </w:tc>
        <w:tc>
          <w:tcPr>
            <w:tcW w:w="850" w:type="dxa"/>
          </w:tcPr>
          <w:p w14:paraId="4D1CF5C5" w14:textId="78DEB438" w:rsidR="0015598D" w:rsidRPr="00F110F6" w:rsidRDefault="0015598D" w:rsidP="002D3A0D">
            <w:pPr>
              <w:pStyle w:val="TableBody0"/>
              <w:spacing w:line="288" w:lineRule="auto"/>
              <w:jc w:val="right"/>
            </w:pPr>
            <w:r w:rsidRPr="00F110F6">
              <w:rPr>
                <w:rStyle w:val="normaltextrun"/>
              </w:rPr>
              <w:t>0</w:t>
            </w:r>
          </w:p>
        </w:tc>
        <w:tc>
          <w:tcPr>
            <w:tcW w:w="850" w:type="dxa"/>
          </w:tcPr>
          <w:p w14:paraId="6B0D6A72" w14:textId="2CAA0891" w:rsidR="0015598D" w:rsidRPr="00F110F6" w:rsidRDefault="0015598D" w:rsidP="002D3A0D">
            <w:pPr>
              <w:pStyle w:val="TableBody0"/>
              <w:spacing w:line="288" w:lineRule="auto"/>
              <w:jc w:val="right"/>
            </w:pPr>
            <w:r w:rsidRPr="00F110F6">
              <w:rPr>
                <w:rStyle w:val="normaltextrun"/>
              </w:rPr>
              <w:t>0</w:t>
            </w:r>
          </w:p>
        </w:tc>
        <w:tc>
          <w:tcPr>
            <w:tcW w:w="838" w:type="dxa"/>
          </w:tcPr>
          <w:p w14:paraId="7CB9761F" w14:textId="3504F94B" w:rsidR="0015598D" w:rsidRPr="00F110F6" w:rsidRDefault="0015598D" w:rsidP="002D3A0D">
            <w:pPr>
              <w:pStyle w:val="TableBody0"/>
              <w:spacing w:line="288" w:lineRule="auto"/>
              <w:jc w:val="right"/>
            </w:pPr>
            <w:r w:rsidRPr="00F110F6">
              <w:rPr>
                <w:rStyle w:val="normaltextrun"/>
              </w:rPr>
              <w:t>87</w:t>
            </w:r>
          </w:p>
        </w:tc>
      </w:tr>
      <w:tr w:rsidR="0015598D" w:rsidRPr="00F110F6" w14:paraId="44EA3DB0"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706B58E0" w14:textId="77777777" w:rsidR="0015598D" w:rsidRPr="00F110F6" w:rsidRDefault="0015598D" w:rsidP="002D3A0D">
            <w:pPr>
              <w:pStyle w:val="TableBody0"/>
              <w:spacing w:line="288" w:lineRule="auto"/>
            </w:pPr>
            <w:r w:rsidRPr="00F110F6">
              <w:t>WA</w:t>
            </w:r>
          </w:p>
        </w:tc>
        <w:tc>
          <w:tcPr>
            <w:tcW w:w="844" w:type="dxa"/>
          </w:tcPr>
          <w:p w14:paraId="613D76FE" w14:textId="30184E3E" w:rsidR="0015598D" w:rsidRPr="00F110F6" w:rsidRDefault="0015598D" w:rsidP="002D3A0D">
            <w:pPr>
              <w:pStyle w:val="TableBody0"/>
              <w:spacing w:line="288" w:lineRule="auto"/>
              <w:jc w:val="right"/>
            </w:pPr>
            <w:r w:rsidRPr="00F110F6">
              <w:rPr>
                <w:rStyle w:val="normaltextrun"/>
              </w:rPr>
              <w:t>1</w:t>
            </w:r>
          </w:p>
        </w:tc>
        <w:tc>
          <w:tcPr>
            <w:tcW w:w="844" w:type="dxa"/>
          </w:tcPr>
          <w:p w14:paraId="0E0AE497" w14:textId="2F7E60F7" w:rsidR="0015598D" w:rsidRPr="00F110F6" w:rsidRDefault="0015598D" w:rsidP="002D3A0D">
            <w:pPr>
              <w:pStyle w:val="TableBody0"/>
              <w:spacing w:line="288" w:lineRule="auto"/>
              <w:jc w:val="right"/>
            </w:pPr>
            <w:r w:rsidRPr="00F110F6">
              <w:rPr>
                <w:rStyle w:val="normaltextrun"/>
              </w:rPr>
              <w:t>0</w:t>
            </w:r>
          </w:p>
        </w:tc>
        <w:tc>
          <w:tcPr>
            <w:tcW w:w="844" w:type="dxa"/>
          </w:tcPr>
          <w:p w14:paraId="52F02110" w14:textId="1E5A9F4D" w:rsidR="0015598D" w:rsidRPr="00F110F6" w:rsidRDefault="0015598D" w:rsidP="002D3A0D">
            <w:pPr>
              <w:pStyle w:val="TableBody0"/>
              <w:spacing w:line="288" w:lineRule="auto"/>
              <w:jc w:val="right"/>
            </w:pPr>
            <w:r w:rsidRPr="00F110F6">
              <w:rPr>
                <w:rStyle w:val="normaltextrun"/>
              </w:rPr>
              <w:t>1</w:t>
            </w:r>
          </w:p>
        </w:tc>
        <w:tc>
          <w:tcPr>
            <w:tcW w:w="844" w:type="dxa"/>
          </w:tcPr>
          <w:p w14:paraId="61314318" w14:textId="159E0FF6" w:rsidR="0015598D" w:rsidRPr="00F110F6" w:rsidRDefault="0015598D" w:rsidP="002D3A0D">
            <w:pPr>
              <w:pStyle w:val="TableBody0"/>
              <w:spacing w:line="288" w:lineRule="auto"/>
              <w:jc w:val="right"/>
            </w:pPr>
            <w:r w:rsidRPr="00F110F6">
              <w:rPr>
                <w:rStyle w:val="normaltextrun"/>
              </w:rPr>
              <w:t>6</w:t>
            </w:r>
          </w:p>
        </w:tc>
        <w:tc>
          <w:tcPr>
            <w:tcW w:w="844" w:type="dxa"/>
          </w:tcPr>
          <w:p w14:paraId="39E7D938" w14:textId="248D5C7E" w:rsidR="0015598D" w:rsidRPr="00F110F6" w:rsidRDefault="0015598D" w:rsidP="002D3A0D">
            <w:pPr>
              <w:pStyle w:val="TableBody0"/>
              <w:spacing w:line="288" w:lineRule="auto"/>
              <w:jc w:val="right"/>
            </w:pPr>
            <w:r w:rsidRPr="00F110F6">
              <w:rPr>
                <w:rStyle w:val="normaltextrun"/>
              </w:rPr>
              <w:t>1</w:t>
            </w:r>
          </w:p>
        </w:tc>
        <w:tc>
          <w:tcPr>
            <w:tcW w:w="844" w:type="dxa"/>
          </w:tcPr>
          <w:p w14:paraId="0E850998" w14:textId="5B045642" w:rsidR="0015598D" w:rsidRPr="00F110F6" w:rsidRDefault="0015598D" w:rsidP="002D3A0D">
            <w:pPr>
              <w:pStyle w:val="TableBody0"/>
              <w:spacing w:line="288" w:lineRule="auto"/>
              <w:jc w:val="right"/>
            </w:pPr>
            <w:r w:rsidRPr="00F110F6">
              <w:rPr>
                <w:rStyle w:val="normaltextrun"/>
              </w:rPr>
              <w:t>7</w:t>
            </w:r>
          </w:p>
        </w:tc>
        <w:tc>
          <w:tcPr>
            <w:tcW w:w="737" w:type="dxa"/>
          </w:tcPr>
          <w:p w14:paraId="20CDD44D" w14:textId="744102DA" w:rsidR="0015598D" w:rsidRPr="00F110F6" w:rsidRDefault="0015598D" w:rsidP="002D3A0D">
            <w:pPr>
              <w:pStyle w:val="TableBody0"/>
              <w:spacing w:line="288" w:lineRule="auto"/>
              <w:jc w:val="right"/>
            </w:pPr>
            <w:r w:rsidRPr="00F110F6">
              <w:rPr>
                <w:rStyle w:val="normaltextrun"/>
              </w:rPr>
              <w:t>0</w:t>
            </w:r>
          </w:p>
        </w:tc>
        <w:tc>
          <w:tcPr>
            <w:tcW w:w="737" w:type="dxa"/>
          </w:tcPr>
          <w:p w14:paraId="13565DC6" w14:textId="0EB22E13" w:rsidR="0015598D" w:rsidRPr="00F110F6" w:rsidRDefault="0015598D" w:rsidP="002D3A0D">
            <w:pPr>
              <w:pStyle w:val="TableBody0"/>
              <w:spacing w:line="288" w:lineRule="auto"/>
              <w:jc w:val="right"/>
            </w:pPr>
            <w:r w:rsidRPr="00F110F6">
              <w:rPr>
                <w:rStyle w:val="normaltextrun"/>
              </w:rPr>
              <w:t>0</w:t>
            </w:r>
          </w:p>
        </w:tc>
        <w:tc>
          <w:tcPr>
            <w:tcW w:w="567" w:type="dxa"/>
          </w:tcPr>
          <w:p w14:paraId="73583990" w14:textId="75872D8E" w:rsidR="0015598D" w:rsidRPr="00F110F6" w:rsidRDefault="0015598D" w:rsidP="002D3A0D">
            <w:pPr>
              <w:pStyle w:val="TableBody0"/>
              <w:spacing w:line="288" w:lineRule="auto"/>
              <w:jc w:val="right"/>
            </w:pPr>
            <w:r w:rsidRPr="00F110F6">
              <w:rPr>
                <w:rStyle w:val="normaltextrun"/>
              </w:rPr>
              <w:t>0</w:t>
            </w:r>
          </w:p>
        </w:tc>
        <w:tc>
          <w:tcPr>
            <w:tcW w:w="844" w:type="dxa"/>
          </w:tcPr>
          <w:p w14:paraId="1AA531D7" w14:textId="30D502B3" w:rsidR="0015598D" w:rsidRPr="00F110F6" w:rsidRDefault="0015598D" w:rsidP="002D3A0D">
            <w:pPr>
              <w:pStyle w:val="TableBody0"/>
              <w:spacing w:line="288" w:lineRule="auto"/>
              <w:jc w:val="right"/>
            </w:pPr>
            <w:r w:rsidRPr="00F110F6">
              <w:rPr>
                <w:rStyle w:val="normaltextrun"/>
              </w:rPr>
              <w:t>0</w:t>
            </w:r>
          </w:p>
        </w:tc>
        <w:tc>
          <w:tcPr>
            <w:tcW w:w="844" w:type="dxa"/>
          </w:tcPr>
          <w:p w14:paraId="4E75C791" w14:textId="75142070" w:rsidR="0015598D" w:rsidRPr="00F110F6" w:rsidRDefault="0015598D" w:rsidP="002D3A0D">
            <w:pPr>
              <w:pStyle w:val="TableBody0"/>
              <w:spacing w:line="288" w:lineRule="auto"/>
              <w:jc w:val="right"/>
            </w:pPr>
            <w:r w:rsidRPr="00F110F6">
              <w:rPr>
                <w:rStyle w:val="normaltextrun"/>
              </w:rPr>
              <w:t>0</w:t>
            </w:r>
          </w:p>
        </w:tc>
        <w:tc>
          <w:tcPr>
            <w:tcW w:w="844" w:type="dxa"/>
          </w:tcPr>
          <w:p w14:paraId="1775E3F0" w14:textId="23616949" w:rsidR="0015598D" w:rsidRPr="00F110F6" w:rsidRDefault="0015598D" w:rsidP="002D3A0D">
            <w:pPr>
              <w:pStyle w:val="TableBody0"/>
              <w:spacing w:line="288" w:lineRule="auto"/>
              <w:jc w:val="right"/>
            </w:pPr>
            <w:r w:rsidRPr="00F110F6">
              <w:rPr>
                <w:rStyle w:val="normaltextrun"/>
              </w:rPr>
              <w:t>0</w:t>
            </w:r>
          </w:p>
        </w:tc>
        <w:tc>
          <w:tcPr>
            <w:tcW w:w="844" w:type="dxa"/>
          </w:tcPr>
          <w:p w14:paraId="20B634FF" w14:textId="2D73B7B5" w:rsidR="0015598D" w:rsidRPr="00F110F6" w:rsidRDefault="0015598D" w:rsidP="002D3A0D">
            <w:pPr>
              <w:pStyle w:val="TableBody0"/>
              <w:spacing w:line="288" w:lineRule="auto"/>
              <w:jc w:val="right"/>
            </w:pPr>
            <w:r w:rsidRPr="00F110F6">
              <w:rPr>
                <w:rStyle w:val="normaltextrun"/>
              </w:rPr>
              <w:t>0</w:t>
            </w:r>
          </w:p>
        </w:tc>
        <w:tc>
          <w:tcPr>
            <w:tcW w:w="850" w:type="dxa"/>
          </w:tcPr>
          <w:p w14:paraId="091BE711" w14:textId="359CF894" w:rsidR="0015598D" w:rsidRPr="00F110F6" w:rsidRDefault="0015598D" w:rsidP="002D3A0D">
            <w:pPr>
              <w:pStyle w:val="TableBody0"/>
              <w:spacing w:line="288" w:lineRule="auto"/>
              <w:jc w:val="right"/>
            </w:pPr>
            <w:r w:rsidRPr="00F110F6">
              <w:rPr>
                <w:rStyle w:val="normaltextrun"/>
              </w:rPr>
              <w:t>0</w:t>
            </w:r>
          </w:p>
        </w:tc>
        <w:tc>
          <w:tcPr>
            <w:tcW w:w="850" w:type="dxa"/>
          </w:tcPr>
          <w:p w14:paraId="0E7C3525" w14:textId="3A01C4DE" w:rsidR="0015598D" w:rsidRPr="00F110F6" w:rsidRDefault="0015598D" w:rsidP="002D3A0D">
            <w:pPr>
              <w:pStyle w:val="TableBody0"/>
              <w:spacing w:line="288" w:lineRule="auto"/>
              <w:jc w:val="right"/>
            </w:pPr>
            <w:r w:rsidRPr="00F110F6">
              <w:rPr>
                <w:rStyle w:val="normaltextrun"/>
              </w:rPr>
              <w:t>0</w:t>
            </w:r>
          </w:p>
        </w:tc>
        <w:tc>
          <w:tcPr>
            <w:tcW w:w="838" w:type="dxa"/>
          </w:tcPr>
          <w:p w14:paraId="4E0F883C" w14:textId="04599156" w:rsidR="0015598D" w:rsidRPr="00F110F6" w:rsidRDefault="0015598D" w:rsidP="002D3A0D">
            <w:pPr>
              <w:pStyle w:val="TableBody0"/>
              <w:spacing w:line="288" w:lineRule="auto"/>
              <w:jc w:val="right"/>
            </w:pPr>
            <w:r w:rsidRPr="00F110F6">
              <w:rPr>
                <w:rStyle w:val="normaltextrun"/>
              </w:rPr>
              <w:t>8</w:t>
            </w:r>
          </w:p>
        </w:tc>
      </w:tr>
      <w:tr w:rsidR="0015598D" w:rsidRPr="00F110F6" w14:paraId="64798EAE"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694D653F" w14:textId="77777777" w:rsidR="0015598D" w:rsidRPr="00F110F6" w:rsidRDefault="0015598D" w:rsidP="002D3A0D">
            <w:pPr>
              <w:pStyle w:val="TableBody0"/>
              <w:spacing w:line="288" w:lineRule="auto"/>
            </w:pPr>
            <w:r w:rsidRPr="00F110F6">
              <w:t>ACT</w:t>
            </w:r>
          </w:p>
        </w:tc>
        <w:tc>
          <w:tcPr>
            <w:tcW w:w="844" w:type="dxa"/>
          </w:tcPr>
          <w:p w14:paraId="593219B2" w14:textId="6BD712AD" w:rsidR="0015598D" w:rsidRPr="00F110F6" w:rsidRDefault="0015598D" w:rsidP="002D3A0D">
            <w:pPr>
              <w:pStyle w:val="TableBody0"/>
              <w:spacing w:line="288" w:lineRule="auto"/>
              <w:jc w:val="right"/>
            </w:pPr>
            <w:r w:rsidRPr="00F110F6">
              <w:rPr>
                <w:rStyle w:val="normaltextrun"/>
              </w:rPr>
              <w:t>9</w:t>
            </w:r>
          </w:p>
        </w:tc>
        <w:tc>
          <w:tcPr>
            <w:tcW w:w="844" w:type="dxa"/>
          </w:tcPr>
          <w:p w14:paraId="7210AC82" w14:textId="34F46D89" w:rsidR="0015598D" w:rsidRPr="00F110F6" w:rsidRDefault="0015598D" w:rsidP="002D3A0D">
            <w:pPr>
              <w:pStyle w:val="TableBody0"/>
              <w:spacing w:line="288" w:lineRule="auto"/>
              <w:jc w:val="right"/>
            </w:pPr>
            <w:r w:rsidRPr="00F110F6">
              <w:rPr>
                <w:rStyle w:val="normaltextrun"/>
              </w:rPr>
              <w:t>1</w:t>
            </w:r>
          </w:p>
        </w:tc>
        <w:tc>
          <w:tcPr>
            <w:tcW w:w="844" w:type="dxa"/>
          </w:tcPr>
          <w:p w14:paraId="04B6F82F" w14:textId="201AEFD2" w:rsidR="0015598D" w:rsidRPr="00F110F6" w:rsidRDefault="0015598D" w:rsidP="002D3A0D">
            <w:pPr>
              <w:pStyle w:val="TableBody0"/>
              <w:spacing w:line="288" w:lineRule="auto"/>
              <w:jc w:val="right"/>
            </w:pPr>
            <w:r w:rsidRPr="00F110F6">
              <w:rPr>
                <w:rStyle w:val="normaltextrun"/>
              </w:rPr>
              <w:t>10</w:t>
            </w:r>
          </w:p>
        </w:tc>
        <w:tc>
          <w:tcPr>
            <w:tcW w:w="844" w:type="dxa"/>
          </w:tcPr>
          <w:p w14:paraId="7A5BC769" w14:textId="446F16F7" w:rsidR="0015598D" w:rsidRPr="00F110F6" w:rsidRDefault="0015598D" w:rsidP="002D3A0D">
            <w:pPr>
              <w:pStyle w:val="TableBody0"/>
              <w:spacing w:line="288" w:lineRule="auto"/>
              <w:jc w:val="right"/>
            </w:pPr>
            <w:r w:rsidRPr="00F110F6">
              <w:rPr>
                <w:rStyle w:val="normaltextrun"/>
              </w:rPr>
              <w:t>7</w:t>
            </w:r>
          </w:p>
        </w:tc>
        <w:tc>
          <w:tcPr>
            <w:tcW w:w="844" w:type="dxa"/>
          </w:tcPr>
          <w:p w14:paraId="2DFE0B05" w14:textId="6E96316A" w:rsidR="0015598D" w:rsidRPr="00F110F6" w:rsidRDefault="0015598D" w:rsidP="002D3A0D">
            <w:pPr>
              <w:pStyle w:val="TableBody0"/>
              <w:spacing w:line="288" w:lineRule="auto"/>
              <w:jc w:val="right"/>
            </w:pPr>
            <w:r w:rsidRPr="00F110F6">
              <w:rPr>
                <w:rStyle w:val="normaltextrun"/>
              </w:rPr>
              <w:t>1</w:t>
            </w:r>
          </w:p>
        </w:tc>
        <w:tc>
          <w:tcPr>
            <w:tcW w:w="844" w:type="dxa"/>
          </w:tcPr>
          <w:p w14:paraId="05F98CAC" w14:textId="61C86F49" w:rsidR="0015598D" w:rsidRPr="00F110F6" w:rsidRDefault="0015598D" w:rsidP="002D3A0D">
            <w:pPr>
              <w:pStyle w:val="TableBody0"/>
              <w:spacing w:line="288" w:lineRule="auto"/>
              <w:jc w:val="right"/>
            </w:pPr>
            <w:r w:rsidRPr="00F110F6">
              <w:rPr>
                <w:rStyle w:val="normaltextrun"/>
              </w:rPr>
              <w:t>8</w:t>
            </w:r>
          </w:p>
        </w:tc>
        <w:tc>
          <w:tcPr>
            <w:tcW w:w="737" w:type="dxa"/>
          </w:tcPr>
          <w:p w14:paraId="51964B65" w14:textId="789FA04C" w:rsidR="0015598D" w:rsidRPr="00F110F6" w:rsidRDefault="0015598D" w:rsidP="002D3A0D">
            <w:pPr>
              <w:pStyle w:val="TableBody0"/>
              <w:spacing w:line="288" w:lineRule="auto"/>
              <w:jc w:val="right"/>
            </w:pPr>
            <w:r w:rsidRPr="00F110F6">
              <w:rPr>
                <w:rStyle w:val="normaltextrun"/>
              </w:rPr>
              <w:t>0</w:t>
            </w:r>
          </w:p>
        </w:tc>
        <w:tc>
          <w:tcPr>
            <w:tcW w:w="737" w:type="dxa"/>
          </w:tcPr>
          <w:p w14:paraId="0DD74247" w14:textId="7F975759" w:rsidR="0015598D" w:rsidRPr="00F110F6" w:rsidRDefault="0015598D" w:rsidP="002D3A0D">
            <w:pPr>
              <w:pStyle w:val="TableBody0"/>
              <w:spacing w:line="288" w:lineRule="auto"/>
              <w:jc w:val="right"/>
            </w:pPr>
            <w:r w:rsidRPr="00F110F6">
              <w:rPr>
                <w:rStyle w:val="normaltextrun"/>
              </w:rPr>
              <w:t>0</w:t>
            </w:r>
          </w:p>
        </w:tc>
        <w:tc>
          <w:tcPr>
            <w:tcW w:w="567" w:type="dxa"/>
          </w:tcPr>
          <w:p w14:paraId="16165671" w14:textId="75ACF3DB" w:rsidR="0015598D" w:rsidRPr="00F110F6" w:rsidRDefault="0015598D" w:rsidP="002D3A0D">
            <w:pPr>
              <w:pStyle w:val="TableBody0"/>
              <w:spacing w:line="288" w:lineRule="auto"/>
              <w:jc w:val="right"/>
            </w:pPr>
            <w:r w:rsidRPr="00F110F6">
              <w:rPr>
                <w:rStyle w:val="normaltextrun"/>
              </w:rPr>
              <w:t>0</w:t>
            </w:r>
          </w:p>
        </w:tc>
        <w:tc>
          <w:tcPr>
            <w:tcW w:w="844" w:type="dxa"/>
          </w:tcPr>
          <w:p w14:paraId="71FEECD0" w14:textId="79C1D49F" w:rsidR="0015598D" w:rsidRPr="00F110F6" w:rsidRDefault="0015598D" w:rsidP="002D3A0D">
            <w:pPr>
              <w:pStyle w:val="TableBody0"/>
              <w:spacing w:line="288" w:lineRule="auto"/>
              <w:jc w:val="right"/>
            </w:pPr>
            <w:r w:rsidRPr="00F110F6">
              <w:rPr>
                <w:rStyle w:val="normaltextrun"/>
              </w:rPr>
              <w:t>0</w:t>
            </w:r>
          </w:p>
        </w:tc>
        <w:tc>
          <w:tcPr>
            <w:tcW w:w="844" w:type="dxa"/>
          </w:tcPr>
          <w:p w14:paraId="5BCFD781" w14:textId="353B6E08" w:rsidR="0015598D" w:rsidRPr="00F110F6" w:rsidRDefault="0015598D" w:rsidP="002D3A0D">
            <w:pPr>
              <w:pStyle w:val="TableBody0"/>
              <w:spacing w:line="288" w:lineRule="auto"/>
              <w:jc w:val="right"/>
            </w:pPr>
            <w:r w:rsidRPr="00F110F6">
              <w:rPr>
                <w:rStyle w:val="normaltextrun"/>
              </w:rPr>
              <w:t>0</w:t>
            </w:r>
          </w:p>
        </w:tc>
        <w:tc>
          <w:tcPr>
            <w:tcW w:w="844" w:type="dxa"/>
          </w:tcPr>
          <w:p w14:paraId="4F8B5817" w14:textId="4965F9A6" w:rsidR="0015598D" w:rsidRPr="00F110F6" w:rsidRDefault="0015598D" w:rsidP="002D3A0D">
            <w:pPr>
              <w:pStyle w:val="TableBody0"/>
              <w:spacing w:line="288" w:lineRule="auto"/>
              <w:jc w:val="right"/>
            </w:pPr>
            <w:r w:rsidRPr="00F110F6">
              <w:rPr>
                <w:rStyle w:val="normaltextrun"/>
              </w:rPr>
              <w:t>0</w:t>
            </w:r>
          </w:p>
        </w:tc>
        <w:tc>
          <w:tcPr>
            <w:tcW w:w="844" w:type="dxa"/>
          </w:tcPr>
          <w:p w14:paraId="2FBF373C" w14:textId="76DCE502" w:rsidR="0015598D" w:rsidRPr="00F110F6" w:rsidRDefault="0015598D" w:rsidP="002D3A0D">
            <w:pPr>
              <w:pStyle w:val="TableBody0"/>
              <w:spacing w:line="288" w:lineRule="auto"/>
              <w:jc w:val="right"/>
            </w:pPr>
            <w:r w:rsidRPr="00F110F6">
              <w:rPr>
                <w:rStyle w:val="normaltextrun"/>
              </w:rPr>
              <w:t>0</w:t>
            </w:r>
          </w:p>
        </w:tc>
        <w:tc>
          <w:tcPr>
            <w:tcW w:w="850" w:type="dxa"/>
          </w:tcPr>
          <w:p w14:paraId="55B6BA35" w14:textId="42469AD9" w:rsidR="0015598D" w:rsidRPr="00F110F6" w:rsidRDefault="0015598D" w:rsidP="002D3A0D">
            <w:pPr>
              <w:pStyle w:val="TableBody0"/>
              <w:spacing w:line="288" w:lineRule="auto"/>
              <w:jc w:val="right"/>
            </w:pPr>
            <w:r w:rsidRPr="00F110F6">
              <w:rPr>
                <w:rStyle w:val="normaltextrun"/>
              </w:rPr>
              <w:t>0</w:t>
            </w:r>
          </w:p>
        </w:tc>
        <w:tc>
          <w:tcPr>
            <w:tcW w:w="850" w:type="dxa"/>
          </w:tcPr>
          <w:p w14:paraId="5E12730C" w14:textId="5DB0A8F2" w:rsidR="0015598D" w:rsidRPr="00F110F6" w:rsidRDefault="0015598D" w:rsidP="002D3A0D">
            <w:pPr>
              <w:pStyle w:val="TableBody0"/>
              <w:spacing w:line="288" w:lineRule="auto"/>
              <w:jc w:val="right"/>
            </w:pPr>
            <w:r w:rsidRPr="00F110F6">
              <w:rPr>
                <w:rStyle w:val="normaltextrun"/>
              </w:rPr>
              <w:t>0</w:t>
            </w:r>
          </w:p>
        </w:tc>
        <w:tc>
          <w:tcPr>
            <w:tcW w:w="838" w:type="dxa"/>
          </w:tcPr>
          <w:p w14:paraId="04D46D81" w14:textId="22B48A2C" w:rsidR="0015598D" w:rsidRPr="00F110F6" w:rsidRDefault="0015598D" w:rsidP="002D3A0D">
            <w:pPr>
              <w:pStyle w:val="TableBody0"/>
              <w:spacing w:line="288" w:lineRule="auto"/>
              <w:jc w:val="right"/>
            </w:pPr>
            <w:r w:rsidRPr="00F110F6">
              <w:rPr>
                <w:rStyle w:val="normaltextrun"/>
              </w:rPr>
              <w:t>18</w:t>
            </w:r>
          </w:p>
        </w:tc>
      </w:tr>
      <w:tr w:rsidR="0015598D" w:rsidRPr="00F110F6" w14:paraId="7BE81121"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2663987B" w14:textId="77777777" w:rsidR="0015598D" w:rsidRPr="00F110F6" w:rsidRDefault="0015598D" w:rsidP="002D3A0D">
            <w:pPr>
              <w:pStyle w:val="TableBody0"/>
              <w:spacing w:line="288" w:lineRule="auto"/>
            </w:pPr>
            <w:r w:rsidRPr="00F110F6">
              <w:t>NT</w:t>
            </w:r>
          </w:p>
        </w:tc>
        <w:tc>
          <w:tcPr>
            <w:tcW w:w="844" w:type="dxa"/>
          </w:tcPr>
          <w:p w14:paraId="55DD7668" w14:textId="74D0ED1A" w:rsidR="0015598D" w:rsidRPr="00F110F6" w:rsidRDefault="0015598D" w:rsidP="002D3A0D">
            <w:pPr>
              <w:pStyle w:val="TableBody0"/>
              <w:spacing w:line="288" w:lineRule="auto"/>
              <w:jc w:val="right"/>
            </w:pPr>
            <w:r w:rsidRPr="00F110F6">
              <w:rPr>
                <w:rStyle w:val="normaltextrun"/>
              </w:rPr>
              <w:t>2</w:t>
            </w:r>
          </w:p>
        </w:tc>
        <w:tc>
          <w:tcPr>
            <w:tcW w:w="844" w:type="dxa"/>
          </w:tcPr>
          <w:p w14:paraId="2C1457D0" w14:textId="0E24E374" w:rsidR="0015598D" w:rsidRPr="00F110F6" w:rsidRDefault="0015598D" w:rsidP="002D3A0D">
            <w:pPr>
              <w:pStyle w:val="TableBody0"/>
              <w:spacing w:line="288" w:lineRule="auto"/>
              <w:jc w:val="right"/>
            </w:pPr>
            <w:r w:rsidRPr="00F110F6">
              <w:rPr>
                <w:rStyle w:val="normaltextrun"/>
              </w:rPr>
              <w:t>0</w:t>
            </w:r>
          </w:p>
        </w:tc>
        <w:tc>
          <w:tcPr>
            <w:tcW w:w="844" w:type="dxa"/>
          </w:tcPr>
          <w:p w14:paraId="23798CD9" w14:textId="383686EC" w:rsidR="0015598D" w:rsidRPr="00F110F6" w:rsidRDefault="0015598D" w:rsidP="002D3A0D">
            <w:pPr>
              <w:pStyle w:val="TableBody0"/>
              <w:spacing w:line="288" w:lineRule="auto"/>
              <w:jc w:val="right"/>
            </w:pPr>
            <w:r w:rsidRPr="00F110F6">
              <w:rPr>
                <w:rStyle w:val="normaltextrun"/>
              </w:rPr>
              <w:t>2</w:t>
            </w:r>
          </w:p>
        </w:tc>
        <w:tc>
          <w:tcPr>
            <w:tcW w:w="844" w:type="dxa"/>
          </w:tcPr>
          <w:p w14:paraId="091D22D9" w14:textId="1EE2E4E7" w:rsidR="0015598D" w:rsidRPr="00F110F6" w:rsidRDefault="0015598D" w:rsidP="002D3A0D">
            <w:pPr>
              <w:pStyle w:val="TableBody0"/>
              <w:spacing w:line="288" w:lineRule="auto"/>
              <w:jc w:val="right"/>
            </w:pPr>
            <w:r w:rsidRPr="00F110F6">
              <w:rPr>
                <w:rStyle w:val="normaltextrun"/>
              </w:rPr>
              <w:t>5</w:t>
            </w:r>
          </w:p>
        </w:tc>
        <w:tc>
          <w:tcPr>
            <w:tcW w:w="844" w:type="dxa"/>
          </w:tcPr>
          <w:p w14:paraId="3DCE9348" w14:textId="724D4CAE" w:rsidR="0015598D" w:rsidRPr="00F110F6" w:rsidRDefault="0015598D" w:rsidP="002D3A0D">
            <w:pPr>
              <w:pStyle w:val="TableBody0"/>
              <w:spacing w:line="288" w:lineRule="auto"/>
              <w:jc w:val="right"/>
            </w:pPr>
            <w:r w:rsidRPr="00F110F6">
              <w:rPr>
                <w:rStyle w:val="normaltextrun"/>
              </w:rPr>
              <w:t>1</w:t>
            </w:r>
          </w:p>
        </w:tc>
        <w:tc>
          <w:tcPr>
            <w:tcW w:w="844" w:type="dxa"/>
          </w:tcPr>
          <w:p w14:paraId="38F510B1" w14:textId="2CB105F3" w:rsidR="0015598D" w:rsidRPr="00F110F6" w:rsidRDefault="0015598D" w:rsidP="002D3A0D">
            <w:pPr>
              <w:pStyle w:val="TableBody0"/>
              <w:spacing w:line="288" w:lineRule="auto"/>
              <w:jc w:val="right"/>
            </w:pPr>
            <w:r w:rsidRPr="00F110F6">
              <w:rPr>
                <w:rStyle w:val="normaltextrun"/>
              </w:rPr>
              <w:t>6</w:t>
            </w:r>
          </w:p>
        </w:tc>
        <w:tc>
          <w:tcPr>
            <w:tcW w:w="737" w:type="dxa"/>
          </w:tcPr>
          <w:p w14:paraId="2C8E207B" w14:textId="1B4CF48B" w:rsidR="0015598D" w:rsidRPr="00F110F6" w:rsidRDefault="0015598D" w:rsidP="002D3A0D">
            <w:pPr>
              <w:pStyle w:val="TableBody0"/>
              <w:spacing w:line="288" w:lineRule="auto"/>
              <w:jc w:val="right"/>
            </w:pPr>
            <w:r w:rsidRPr="00F110F6">
              <w:rPr>
                <w:rStyle w:val="normaltextrun"/>
              </w:rPr>
              <w:t>0</w:t>
            </w:r>
          </w:p>
        </w:tc>
        <w:tc>
          <w:tcPr>
            <w:tcW w:w="737" w:type="dxa"/>
          </w:tcPr>
          <w:p w14:paraId="6380E1C7" w14:textId="14403CE1" w:rsidR="0015598D" w:rsidRPr="00F110F6" w:rsidRDefault="0015598D" w:rsidP="002D3A0D">
            <w:pPr>
              <w:pStyle w:val="TableBody0"/>
              <w:spacing w:line="288" w:lineRule="auto"/>
              <w:jc w:val="right"/>
            </w:pPr>
            <w:r w:rsidRPr="00F110F6">
              <w:rPr>
                <w:rStyle w:val="normaltextrun"/>
              </w:rPr>
              <w:t>0</w:t>
            </w:r>
          </w:p>
        </w:tc>
        <w:tc>
          <w:tcPr>
            <w:tcW w:w="567" w:type="dxa"/>
          </w:tcPr>
          <w:p w14:paraId="626279FD" w14:textId="4E01177E" w:rsidR="0015598D" w:rsidRPr="00F110F6" w:rsidRDefault="0015598D" w:rsidP="002D3A0D">
            <w:pPr>
              <w:pStyle w:val="TableBody0"/>
              <w:spacing w:line="288" w:lineRule="auto"/>
              <w:jc w:val="right"/>
            </w:pPr>
            <w:r w:rsidRPr="00F110F6">
              <w:rPr>
                <w:rStyle w:val="normaltextrun"/>
              </w:rPr>
              <w:t>0</w:t>
            </w:r>
          </w:p>
        </w:tc>
        <w:tc>
          <w:tcPr>
            <w:tcW w:w="844" w:type="dxa"/>
          </w:tcPr>
          <w:p w14:paraId="76EED1EC" w14:textId="705035FC" w:rsidR="0015598D" w:rsidRPr="00F110F6" w:rsidRDefault="0015598D" w:rsidP="002D3A0D">
            <w:pPr>
              <w:pStyle w:val="TableBody0"/>
              <w:spacing w:line="288" w:lineRule="auto"/>
              <w:jc w:val="right"/>
            </w:pPr>
            <w:r w:rsidRPr="00F110F6">
              <w:rPr>
                <w:rStyle w:val="normaltextrun"/>
              </w:rPr>
              <w:t>0</w:t>
            </w:r>
          </w:p>
        </w:tc>
        <w:tc>
          <w:tcPr>
            <w:tcW w:w="844" w:type="dxa"/>
          </w:tcPr>
          <w:p w14:paraId="42F843F8" w14:textId="35DFD5FD" w:rsidR="0015598D" w:rsidRPr="00F110F6" w:rsidRDefault="0015598D" w:rsidP="002D3A0D">
            <w:pPr>
              <w:pStyle w:val="TableBody0"/>
              <w:spacing w:line="288" w:lineRule="auto"/>
              <w:jc w:val="right"/>
            </w:pPr>
            <w:r w:rsidRPr="00F110F6">
              <w:rPr>
                <w:rStyle w:val="normaltextrun"/>
              </w:rPr>
              <w:t>0</w:t>
            </w:r>
          </w:p>
        </w:tc>
        <w:tc>
          <w:tcPr>
            <w:tcW w:w="844" w:type="dxa"/>
          </w:tcPr>
          <w:p w14:paraId="49545709" w14:textId="72804D42" w:rsidR="0015598D" w:rsidRPr="00F110F6" w:rsidRDefault="0015598D" w:rsidP="002D3A0D">
            <w:pPr>
              <w:pStyle w:val="TableBody0"/>
              <w:spacing w:line="288" w:lineRule="auto"/>
              <w:jc w:val="right"/>
            </w:pPr>
            <w:r w:rsidRPr="00F110F6">
              <w:rPr>
                <w:rStyle w:val="normaltextrun"/>
              </w:rPr>
              <w:t>0</w:t>
            </w:r>
          </w:p>
        </w:tc>
        <w:tc>
          <w:tcPr>
            <w:tcW w:w="844" w:type="dxa"/>
          </w:tcPr>
          <w:p w14:paraId="439BDB39" w14:textId="55E1FB92" w:rsidR="0015598D" w:rsidRPr="00F110F6" w:rsidRDefault="0015598D" w:rsidP="002D3A0D">
            <w:pPr>
              <w:pStyle w:val="TableBody0"/>
              <w:spacing w:line="288" w:lineRule="auto"/>
              <w:jc w:val="right"/>
            </w:pPr>
            <w:r w:rsidRPr="00F110F6">
              <w:rPr>
                <w:rStyle w:val="normaltextrun"/>
              </w:rPr>
              <w:t>0</w:t>
            </w:r>
          </w:p>
        </w:tc>
        <w:tc>
          <w:tcPr>
            <w:tcW w:w="850" w:type="dxa"/>
          </w:tcPr>
          <w:p w14:paraId="4D35E336" w14:textId="7BC583E7" w:rsidR="0015598D" w:rsidRPr="00F110F6" w:rsidRDefault="0015598D" w:rsidP="002D3A0D">
            <w:pPr>
              <w:pStyle w:val="TableBody0"/>
              <w:spacing w:line="288" w:lineRule="auto"/>
              <w:jc w:val="right"/>
            </w:pPr>
            <w:r w:rsidRPr="00F110F6">
              <w:rPr>
                <w:rStyle w:val="normaltextrun"/>
              </w:rPr>
              <w:t>0</w:t>
            </w:r>
          </w:p>
        </w:tc>
        <w:tc>
          <w:tcPr>
            <w:tcW w:w="850" w:type="dxa"/>
          </w:tcPr>
          <w:p w14:paraId="275A6FBA" w14:textId="06DB8EBB" w:rsidR="0015598D" w:rsidRPr="00F110F6" w:rsidRDefault="0015598D" w:rsidP="002D3A0D">
            <w:pPr>
              <w:pStyle w:val="TableBody0"/>
              <w:spacing w:line="288" w:lineRule="auto"/>
              <w:jc w:val="right"/>
            </w:pPr>
            <w:r w:rsidRPr="00F110F6">
              <w:rPr>
                <w:rStyle w:val="normaltextrun"/>
              </w:rPr>
              <w:t>0</w:t>
            </w:r>
          </w:p>
        </w:tc>
        <w:tc>
          <w:tcPr>
            <w:tcW w:w="838" w:type="dxa"/>
          </w:tcPr>
          <w:p w14:paraId="537CF5A1" w14:textId="15568CF4" w:rsidR="0015598D" w:rsidRPr="00F110F6" w:rsidRDefault="0015598D" w:rsidP="002D3A0D">
            <w:pPr>
              <w:pStyle w:val="TableBody0"/>
              <w:spacing w:line="288" w:lineRule="auto"/>
              <w:jc w:val="right"/>
            </w:pPr>
            <w:r w:rsidRPr="00F110F6">
              <w:rPr>
                <w:rStyle w:val="normaltextrun"/>
              </w:rPr>
              <w:t>8</w:t>
            </w:r>
          </w:p>
        </w:tc>
      </w:tr>
      <w:tr w:rsidR="0015598D" w:rsidRPr="00F110F6" w14:paraId="5AA40C35"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10E6118F" w14:textId="77777777" w:rsidR="0015598D" w:rsidRPr="00F110F6" w:rsidRDefault="0015598D" w:rsidP="002D3A0D">
            <w:pPr>
              <w:pStyle w:val="TableBody0"/>
              <w:spacing w:line="288" w:lineRule="auto"/>
            </w:pPr>
            <w:r w:rsidRPr="00F110F6">
              <w:t>External territories</w:t>
            </w:r>
          </w:p>
        </w:tc>
        <w:tc>
          <w:tcPr>
            <w:tcW w:w="844" w:type="dxa"/>
          </w:tcPr>
          <w:p w14:paraId="653C4415" w14:textId="01742B3E" w:rsidR="0015598D" w:rsidRPr="00F110F6" w:rsidRDefault="0015598D" w:rsidP="002D3A0D">
            <w:pPr>
              <w:pStyle w:val="TableBody0"/>
              <w:spacing w:line="288" w:lineRule="auto"/>
              <w:jc w:val="right"/>
            </w:pPr>
            <w:r w:rsidRPr="00F110F6">
              <w:rPr>
                <w:rStyle w:val="normaltextrun"/>
              </w:rPr>
              <w:t>0</w:t>
            </w:r>
          </w:p>
        </w:tc>
        <w:tc>
          <w:tcPr>
            <w:tcW w:w="844" w:type="dxa"/>
          </w:tcPr>
          <w:p w14:paraId="540CCF1E" w14:textId="60AB9B46" w:rsidR="0015598D" w:rsidRPr="00F110F6" w:rsidRDefault="0015598D" w:rsidP="002D3A0D">
            <w:pPr>
              <w:pStyle w:val="TableBody0"/>
              <w:spacing w:line="288" w:lineRule="auto"/>
              <w:jc w:val="right"/>
            </w:pPr>
            <w:r w:rsidRPr="00F110F6">
              <w:rPr>
                <w:rStyle w:val="normaltextrun"/>
              </w:rPr>
              <w:t>0</w:t>
            </w:r>
          </w:p>
        </w:tc>
        <w:tc>
          <w:tcPr>
            <w:tcW w:w="844" w:type="dxa"/>
          </w:tcPr>
          <w:p w14:paraId="0A72848C" w14:textId="3270BDA6" w:rsidR="0015598D" w:rsidRPr="00F110F6" w:rsidRDefault="0015598D" w:rsidP="002D3A0D">
            <w:pPr>
              <w:pStyle w:val="TableBody0"/>
              <w:spacing w:line="288" w:lineRule="auto"/>
              <w:jc w:val="right"/>
            </w:pPr>
            <w:r w:rsidRPr="00F110F6">
              <w:rPr>
                <w:rStyle w:val="normaltextrun"/>
              </w:rPr>
              <w:t>0</w:t>
            </w:r>
          </w:p>
        </w:tc>
        <w:tc>
          <w:tcPr>
            <w:tcW w:w="844" w:type="dxa"/>
          </w:tcPr>
          <w:p w14:paraId="6653AFBF" w14:textId="2A2859DB" w:rsidR="0015598D" w:rsidRPr="00F110F6" w:rsidRDefault="0015598D" w:rsidP="002D3A0D">
            <w:pPr>
              <w:pStyle w:val="TableBody0"/>
              <w:spacing w:line="288" w:lineRule="auto"/>
              <w:jc w:val="right"/>
            </w:pPr>
            <w:r w:rsidRPr="00F110F6">
              <w:rPr>
                <w:rStyle w:val="normaltextrun"/>
              </w:rPr>
              <w:t>0</w:t>
            </w:r>
          </w:p>
        </w:tc>
        <w:tc>
          <w:tcPr>
            <w:tcW w:w="844" w:type="dxa"/>
          </w:tcPr>
          <w:p w14:paraId="338A17C4" w14:textId="60B26BB0" w:rsidR="0015598D" w:rsidRPr="00F110F6" w:rsidRDefault="0015598D" w:rsidP="002D3A0D">
            <w:pPr>
              <w:pStyle w:val="TableBody0"/>
              <w:spacing w:line="288" w:lineRule="auto"/>
              <w:jc w:val="right"/>
            </w:pPr>
            <w:r w:rsidRPr="00F110F6">
              <w:rPr>
                <w:rStyle w:val="normaltextrun"/>
              </w:rPr>
              <w:t>0</w:t>
            </w:r>
          </w:p>
        </w:tc>
        <w:tc>
          <w:tcPr>
            <w:tcW w:w="844" w:type="dxa"/>
          </w:tcPr>
          <w:p w14:paraId="53BE8AD3" w14:textId="5405FC38" w:rsidR="0015598D" w:rsidRPr="00F110F6" w:rsidRDefault="0015598D" w:rsidP="002D3A0D">
            <w:pPr>
              <w:pStyle w:val="TableBody0"/>
              <w:spacing w:line="288" w:lineRule="auto"/>
              <w:jc w:val="right"/>
            </w:pPr>
            <w:r w:rsidRPr="00F110F6">
              <w:rPr>
                <w:rStyle w:val="normaltextrun"/>
              </w:rPr>
              <w:t>0</w:t>
            </w:r>
          </w:p>
        </w:tc>
        <w:tc>
          <w:tcPr>
            <w:tcW w:w="737" w:type="dxa"/>
          </w:tcPr>
          <w:p w14:paraId="4FE0AB93" w14:textId="1439F0A5" w:rsidR="0015598D" w:rsidRPr="00F110F6" w:rsidRDefault="0015598D" w:rsidP="002D3A0D">
            <w:pPr>
              <w:pStyle w:val="TableBody0"/>
              <w:spacing w:line="288" w:lineRule="auto"/>
              <w:jc w:val="right"/>
            </w:pPr>
            <w:r w:rsidRPr="00F110F6">
              <w:rPr>
                <w:rStyle w:val="normaltextrun"/>
              </w:rPr>
              <w:t>0</w:t>
            </w:r>
          </w:p>
        </w:tc>
        <w:tc>
          <w:tcPr>
            <w:tcW w:w="737" w:type="dxa"/>
          </w:tcPr>
          <w:p w14:paraId="792307F5" w14:textId="4782B1A7" w:rsidR="0015598D" w:rsidRPr="00F110F6" w:rsidRDefault="0015598D" w:rsidP="002D3A0D">
            <w:pPr>
              <w:pStyle w:val="TableBody0"/>
              <w:spacing w:line="288" w:lineRule="auto"/>
              <w:jc w:val="right"/>
            </w:pPr>
            <w:r w:rsidRPr="00F110F6">
              <w:rPr>
                <w:rStyle w:val="normaltextrun"/>
              </w:rPr>
              <w:t>0</w:t>
            </w:r>
          </w:p>
        </w:tc>
        <w:tc>
          <w:tcPr>
            <w:tcW w:w="567" w:type="dxa"/>
          </w:tcPr>
          <w:p w14:paraId="4FF52EE0" w14:textId="66B08483" w:rsidR="0015598D" w:rsidRPr="00F110F6" w:rsidRDefault="0015598D" w:rsidP="002D3A0D">
            <w:pPr>
              <w:pStyle w:val="TableBody0"/>
              <w:spacing w:line="288" w:lineRule="auto"/>
              <w:jc w:val="right"/>
            </w:pPr>
            <w:r w:rsidRPr="00F110F6">
              <w:rPr>
                <w:rStyle w:val="normaltextrun"/>
              </w:rPr>
              <w:t>0</w:t>
            </w:r>
          </w:p>
        </w:tc>
        <w:tc>
          <w:tcPr>
            <w:tcW w:w="844" w:type="dxa"/>
          </w:tcPr>
          <w:p w14:paraId="0C141E5F" w14:textId="45C272F7" w:rsidR="0015598D" w:rsidRPr="00F110F6" w:rsidRDefault="0015598D" w:rsidP="002D3A0D">
            <w:pPr>
              <w:pStyle w:val="TableBody0"/>
              <w:spacing w:line="288" w:lineRule="auto"/>
              <w:jc w:val="right"/>
            </w:pPr>
            <w:r w:rsidRPr="00F110F6">
              <w:rPr>
                <w:rStyle w:val="normaltextrun"/>
              </w:rPr>
              <w:t>0</w:t>
            </w:r>
          </w:p>
        </w:tc>
        <w:tc>
          <w:tcPr>
            <w:tcW w:w="844" w:type="dxa"/>
          </w:tcPr>
          <w:p w14:paraId="7ADDD190" w14:textId="0FEB8EBC" w:rsidR="0015598D" w:rsidRPr="00F110F6" w:rsidRDefault="0015598D" w:rsidP="002D3A0D">
            <w:pPr>
              <w:pStyle w:val="TableBody0"/>
              <w:spacing w:line="288" w:lineRule="auto"/>
              <w:jc w:val="right"/>
            </w:pPr>
            <w:r w:rsidRPr="00F110F6">
              <w:rPr>
                <w:rStyle w:val="normaltextrun"/>
              </w:rPr>
              <w:t>0</w:t>
            </w:r>
          </w:p>
        </w:tc>
        <w:tc>
          <w:tcPr>
            <w:tcW w:w="844" w:type="dxa"/>
          </w:tcPr>
          <w:p w14:paraId="2ABD8437" w14:textId="19694758" w:rsidR="0015598D" w:rsidRPr="00F110F6" w:rsidRDefault="0015598D" w:rsidP="002D3A0D">
            <w:pPr>
              <w:pStyle w:val="TableBody0"/>
              <w:spacing w:line="288" w:lineRule="auto"/>
              <w:jc w:val="right"/>
            </w:pPr>
            <w:r w:rsidRPr="00F110F6">
              <w:rPr>
                <w:rStyle w:val="normaltextrun"/>
              </w:rPr>
              <w:t>0</w:t>
            </w:r>
          </w:p>
        </w:tc>
        <w:tc>
          <w:tcPr>
            <w:tcW w:w="844" w:type="dxa"/>
          </w:tcPr>
          <w:p w14:paraId="4385F20B" w14:textId="7308E4EC" w:rsidR="0015598D" w:rsidRPr="00F110F6" w:rsidRDefault="0015598D" w:rsidP="002D3A0D">
            <w:pPr>
              <w:pStyle w:val="TableBody0"/>
              <w:spacing w:line="288" w:lineRule="auto"/>
              <w:jc w:val="right"/>
            </w:pPr>
            <w:r w:rsidRPr="00F110F6">
              <w:rPr>
                <w:rStyle w:val="normaltextrun"/>
              </w:rPr>
              <w:t>0</w:t>
            </w:r>
          </w:p>
        </w:tc>
        <w:tc>
          <w:tcPr>
            <w:tcW w:w="850" w:type="dxa"/>
          </w:tcPr>
          <w:p w14:paraId="04A37574" w14:textId="5CFB5DFF" w:rsidR="0015598D" w:rsidRPr="00F110F6" w:rsidRDefault="0015598D" w:rsidP="002D3A0D">
            <w:pPr>
              <w:pStyle w:val="TableBody0"/>
              <w:spacing w:line="288" w:lineRule="auto"/>
              <w:jc w:val="right"/>
            </w:pPr>
            <w:r w:rsidRPr="00F110F6">
              <w:rPr>
                <w:rStyle w:val="normaltextrun"/>
              </w:rPr>
              <w:t>0</w:t>
            </w:r>
          </w:p>
        </w:tc>
        <w:tc>
          <w:tcPr>
            <w:tcW w:w="850" w:type="dxa"/>
          </w:tcPr>
          <w:p w14:paraId="0DDD945F" w14:textId="1107588D" w:rsidR="0015598D" w:rsidRPr="00F110F6" w:rsidRDefault="0015598D" w:rsidP="002D3A0D">
            <w:pPr>
              <w:pStyle w:val="TableBody0"/>
              <w:spacing w:line="288" w:lineRule="auto"/>
              <w:jc w:val="right"/>
            </w:pPr>
            <w:r w:rsidRPr="00F110F6">
              <w:rPr>
                <w:rStyle w:val="normaltextrun"/>
              </w:rPr>
              <w:t>0</w:t>
            </w:r>
          </w:p>
        </w:tc>
        <w:tc>
          <w:tcPr>
            <w:tcW w:w="838" w:type="dxa"/>
          </w:tcPr>
          <w:p w14:paraId="0891C0F4" w14:textId="6123CD0D" w:rsidR="0015598D" w:rsidRPr="00F110F6" w:rsidRDefault="0015598D" w:rsidP="002D3A0D">
            <w:pPr>
              <w:pStyle w:val="TableBody0"/>
              <w:spacing w:line="288" w:lineRule="auto"/>
              <w:jc w:val="right"/>
            </w:pPr>
            <w:r w:rsidRPr="00F110F6">
              <w:rPr>
                <w:rStyle w:val="normaltextrun"/>
              </w:rPr>
              <w:t>0</w:t>
            </w:r>
          </w:p>
        </w:tc>
      </w:tr>
      <w:tr w:rsidR="0015598D" w:rsidRPr="00F110F6" w14:paraId="112CE243"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6275369A" w14:textId="77777777" w:rsidR="0015598D" w:rsidRPr="00F110F6" w:rsidRDefault="0015598D" w:rsidP="002D3A0D">
            <w:pPr>
              <w:pStyle w:val="TableBody0"/>
              <w:spacing w:line="288" w:lineRule="auto"/>
            </w:pPr>
            <w:r w:rsidRPr="00F110F6">
              <w:t>Overseas</w:t>
            </w:r>
          </w:p>
        </w:tc>
        <w:tc>
          <w:tcPr>
            <w:tcW w:w="844" w:type="dxa"/>
          </w:tcPr>
          <w:p w14:paraId="45BC9A9F" w14:textId="690BE426" w:rsidR="0015598D" w:rsidRPr="00F110F6" w:rsidRDefault="0015598D" w:rsidP="002D3A0D">
            <w:pPr>
              <w:pStyle w:val="TableBody0"/>
              <w:spacing w:line="288" w:lineRule="auto"/>
              <w:jc w:val="right"/>
            </w:pPr>
            <w:r w:rsidRPr="00F110F6">
              <w:rPr>
                <w:rStyle w:val="normaltextrun"/>
              </w:rPr>
              <w:t>0</w:t>
            </w:r>
          </w:p>
        </w:tc>
        <w:tc>
          <w:tcPr>
            <w:tcW w:w="844" w:type="dxa"/>
          </w:tcPr>
          <w:p w14:paraId="6F849615" w14:textId="083C6B7C" w:rsidR="0015598D" w:rsidRPr="00F110F6" w:rsidRDefault="0015598D" w:rsidP="002D3A0D">
            <w:pPr>
              <w:pStyle w:val="TableBody0"/>
              <w:spacing w:line="288" w:lineRule="auto"/>
              <w:jc w:val="right"/>
            </w:pPr>
            <w:r w:rsidRPr="00F110F6">
              <w:rPr>
                <w:rStyle w:val="normaltextrun"/>
              </w:rPr>
              <w:t>0</w:t>
            </w:r>
          </w:p>
        </w:tc>
        <w:tc>
          <w:tcPr>
            <w:tcW w:w="844" w:type="dxa"/>
          </w:tcPr>
          <w:p w14:paraId="4C7E990B" w14:textId="10F43A2F" w:rsidR="0015598D" w:rsidRPr="00F110F6" w:rsidRDefault="0015598D" w:rsidP="002D3A0D">
            <w:pPr>
              <w:pStyle w:val="TableBody0"/>
              <w:spacing w:line="288" w:lineRule="auto"/>
              <w:jc w:val="right"/>
            </w:pPr>
            <w:r w:rsidRPr="00F110F6">
              <w:rPr>
                <w:rStyle w:val="normaltextrun"/>
              </w:rPr>
              <w:t>0</w:t>
            </w:r>
          </w:p>
        </w:tc>
        <w:tc>
          <w:tcPr>
            <w:tcW w:w="844" w:type="dxa"/>
          </w:tcPr>
          <w:p w14:paraId="2FC206C0" w14:textId="0468D127" w:rsidR="0015598D" w:rsidRPr="00F110F6" w:rsidRDefault="0015598D" w:rsidP="002D3A0D">
            <w:pPr>
              <w:pStyle w:val="TableBody0"/>
              <w:spacing w:line="288" w:lineRule="auto"/>
              <w:jc w:val="right"/>
            </w:pPr>
            <w:r w:rsidRPr="00F110F6">
              <w:rPr>
                <w:rStyle w:val="normaltextrun"/>
              </w:rPr>
              <w:t>0</w:t>
            </w:r>
          </w:p>
        </w:tc>
        <w:tc>
          <w:tcPr>
            <w:tcW w:w="844" w:type="dxa"/>
          </w:tcPr>
          <w:p w14:paraId="4189BFBA" w14:textId="58059F84" w:rsidR="0015598D" w:rsidRPr="00F110F6" w:rsidRDefault="0015598D" w:rsidP="002D3A0D">
            <w:pPr>
              <w:pStyle w:val="TableBody0"/>
              <w:spacing w:line="288" w:lineRule="auto"/>
              <w:jc w:val="right"/>
            </w:pPr>
            <w:r w:rsidRPr="00F110F6">
              <w:rPr>
                <w:rStyle w:val="normaltextrun"/>
              </w:rPr>
              <w:t>0</w:t>
            </w:r>
          </w:p>
        </w:tc>
        <w:tc>
          <w:tcPr>
            <w:tcW w:w="844" w:type="dxa"/>
          </w:tcPr>
          <w:p w14:paraId="5C8D2374" w14:textId="136A2A21" w:rsidR="0015598D" w:rsidRPr="00F110F6" w:rsidRDefault="0015598D" w:rsidP="002D3A0D">
            <w:pPr>
              <w:pStyle w:val="TableBody0"/>
              <w:spacing w:line="288" w:lineRule="auto"/>
              <w:jc w:val="right"/>
            </w:pPr>
            <w:r w:rsidRPr="00F110F6">
              <w:rPr>
                <w:rStyle w:val="normaltextrun"/>
              </w:rPr>
              <w:t>0</w:t>
            </w:r>
          </w:p>
        </w:tc>
        <w:tc>
          <w:tcPr>
            <w:tcW w:w="737" w:type="dxa"/>
          </w:tcPr>
          <w:p w14:paraId="2D95EDA9" w14:textId="4B36AE90" w:rsidR="0015598D" w:rsidRPr="00F110F6" w:rsidRDefault="0015598D" w:rsidP="002D3A0D">
            <w:pPr>
              <w:pStyle w:val="TableBody0"/>
              <w:spacing w:line="288" w:lineRule="auto"/>
              <w:jc w:val="right"/>
            </w:pPr>
            <w:r w:rsidRPr="00F110F6">
              <w:rPr>
                <w:rStyle w:val="normaltextrun"/>
              </w:rPr>
              <w:t>0</w:t>
            </w:r>
          </w:p>
        </w:tc>
        <w:tc>
          <w:tcPr>
            <w:tcW w:w="737" w:type="dxa"/>
          </w:tcPr>
          <w:p w14:paraId="6BCB4209" w14:textId="3286AEA4" w:rsidR="0015598D" w:rsidRPr="00F110F6" w:rsidRDefault="0015598D" w:rsidP="002D3A0D">
            <w:pPr>
              <w:pStyle w:val="TableBody0"/>
              <w:spacing w:line="288" w:lineRule="auto"/>
              <w:jc w:val="right"/>
            </w:pPr>
            <w:r w:rsidRPr="00F110F6">
              <w:rPr>
                <w:rStyle w:val="normaltextrun"/>
              </w:rPr>
              <w:t>0</w:t>
            </w:r>
          </w:p>
        </w:tc>
        <w:tc>
          <w:tcPr>
            <w:tcW w:w="567" w:type="dxa"/>
          </w:tcPr>
          <w:p w14:paraId="6FB144B5" w14:textId="0E1B67D8" w:rsidR="0015598D" w:rsidRPr="00F110F6" w:rsidRDefault="0015598D" w:rsidP="002D3A0D">
            <w:pPr>
              <w:pStyle w:val="TableBody0"/>
              <w:spacing w:line="288" w:lineRule="auto"/>
              <w:jc w:val="right"/>
            </w:pPr>
            <w:r w:rsidRPr="00F110F6">
              <w:rPr>
                <w:rStyle w:val="normaltextrun"/>
              </w:rPr>
              <w:t>0</w:t>
            </w:r>
          </w:p>
        </w:tc>
        <w:tc>
          <w:tcPr>
            <w:tcW w:w="844" w:type="dxa"/>
          </w:tcPr>
          <w:p w14:paraId="7EA5D441" w14:textId="689A81EA" w:rsidR="0015598D" w:rsidRPr="00F110F6" w:rsidRDefault="0015598D" w:rsidP="002D3A0D">
            <w:pPr>
              <w:pStyle w:val="TableBody0"/>
              <w:spacing w:line="288" w:lineRule="auto"/>
              <w:jc w:val="right"/>
            </w:pPr>
            <w:r w:rsidRPr="00F110F6">
              <w:rPr>
                <w:rStyle w:val="normaltextrun"/>
              </w:rPr>
              <w:t>0</w:t>
            </w:r>
          </w:p>
        </w:tc>
        <w:tc>
          <w:tcPr>
            <w:tcW w:w="844" w:type="dxa"/>
          </w:tcPr>
          <w:p w14:paraId="3ACCAF3C" w14:textId="78B54A61" w:rsidR="0015598D" w:rsidRPr="00F110F6" w:rsidRDefault="0015598D" w:rsidP="002D3A0D">
            <w:pPr>
              <w:pStyle w:val="TableBody0"/>
              <w:spacing w:line="288" w:lineRule="auto"/>
              <w:jc w:val="right"/>
            </w:pPr>
            <w:r w:rsidRPr="00F110F6">
              <w:rPr>
                <w:rStyle w:val="normaltextrun"/>
              </w:rPr>
              <w:t>0</w:t>
            </w:r>
          </w:p>
        </w:tc>
        <w:tc>
          <w:tcPr>
            <w:tcW w:w="844" w:type="dxa"/>
          </w:tcPr>
          <w:p w14:paraId="596B60BE" w14:textId="05BC82C3" w:rsidR="0015598D" w:rsidRPr="00F110F6" w:rsidRDefault="0015598D" w:rsidP="002D3A0D">
            <w:pPr>
              <w:pStyle w:val="TableBody0"/>
              <w:spacing w:line="288" w:lineRule="auto"/>
              <w:jc w:val="right"/>
            </w:pPr>
            <w:r w:rsidRPr="00F110F6">
              <w:rPr>
                <w:rStyle w:val="normaltextrun"/>
              </w:rPr>
              <w:t>0</w:t>
            </w:r>
          </w:p>
        </w:tc>
        <w:tc>
          <w:tcPr>
            <w:tcW w:w="844" w:type="dxa"/>
          </w:tcPr>
          <w:p w14:paraId="076B51F6" w14:textId="2127D86A" w:rsidR="0015598D" w:rsidRPr="00F110F6" w:rsidRDefault="0015598D" w:rsidP="002D3A0D">
            <w:pPr>
              <w:pStyle w:val="TableBody0"/>
              <w:spacing w:line="288" w:lineRule="auto"/>
              <w:jc w:val="right"/>
            </w:pPr>
            <w:r w:rsidRPr="00F110F6">
              <w:rPr>
                <w:rStyle w:val="normaltextrun"/>
              </w:rPr>
              <w:t>0</w:t>
            </w:r>
          </w:p>
        </w:tc>
        <w:tc>
          <w:tcPr>
            <w:tcW w:w="850" w:type="dxa"/>
          </w:tcPr>
          <w:p w14:paraId="3B34044A" w14:textId="17E46EF4" w:rsidR="0015598D" w:rsidRPr="00F110F6" w:rsidRDefault="0015598D" w:rsidP="002D3A0D">
            <w:pPr>
              <w:pStyle w:val="TableBody0"/>
              <w:spacing w:line="288" w:lineRule="auto"/>
              <w:jc w:val="right"/>
            </w:pPr>
            <w:r w:rsidRPr="00F110F6">
              <w:rPr>
                <w:rStyle w:val="normaltextrun"/>
              </w:rPr>
              <w:t>0</w:t>
            </w:r>
          </w:p>
        </w:tc>
        <w:tc>
          <w:tcPr>
            <w:tcW w:w="850" w:type="dxa"/>
          </w:tcPr>
          <w:p w14:paraId="55954E04" w14:textId="0767C8ED" w:rsidR="0015598D" w:rsidRPr="00F110F6" w:rsidRDefault="0015598D" w:rsidP="002D3A0D">
            <w:pPr>
              <w:pStyle w:val="TableBody0"/>
              <w:spacing w:line="288" w:lineRule="auto"/>
              <w:jc w:val="right"/>
            </w:pPr>
            <w:r w:rsidRPr="00F110F6">
              <w:rPr>
                <w:rStyle w:val="normaltextrun"/>
              </w:rPr>
              <w:t>0</w:t>
            </w:r>
          </w:p>
        </w:tc>
        <w:tc>
          <w:tcPr>
            <w:tcW w:w="838" w:type="dxa"/>
          </w:tcPr>
          <w:p w14:paraId="5BDEE610" w14:textId="59001A86" w:rsidR="0015598D" w:rsidRPr="00F110F6" w:rsidRDefault="0015598D" w:rsidP="002D3A0D">
            <w:pPr>
              <w:pStyle w:val="TableBody0"/>
              <w:spacing w:line="288" w:lineRule="auto"/>
              <w:jc w:val="right"/>
            </w:pPr>
            <w:r w:rsidRPr="00F110F6">
              <w:rPr>
                <w:rStyle w:val="normaltextrun"/>
              </w:rPr>
              <w:t>0</w:t>
            </w:r>
          </w:p>
        </w:tc>
      </w:tr>
      <w:tr w:rsidR="0015598D" w:rsidRPr="00F110F6" w14:paraId="3961AE77"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01F0CDC8" w14:textId="77777777" w:rsidR="0015598D" w:rsidRPr="00F110F6" w:rsidRDefault="0015598D" w:rsidP="002D3A0D">
            <w:pPr>
              <w:pStyle w:val="TableBody0"/>
              <w:spacing w:line="288" w:lineRule="auto"/>
              <w:rPr>
                <w:b/>
                <w:bCs/>
              </w:rPr>
            </w:pPr>
            <w:r w:rsidRPr="00F110F6">
              <w:rPr>
                <w:b/>
                <w:bCs/>
              </w:rPr>
              <w:t>Total</w:t>
            </w:r>
          </w:p>
        </w:tc>
        <w:tc>
          <w:tcPr>
            <w:tcW w:w="844" w:type="dxa"/>
          </w:tcPr>
          <w:p w14:paraId="0E130FEE" w14:textId="442C81DC" w:rsidR="0015598D" w:rsidRPr="00F110F6" w:rsidRDefault="0015598D" w:rsidP="002D3A0D">
            <w:pPr>
              <w:pStyle w:val="TableBody0"/>
              <w:spacing w:line="288" w:lineRule="auto"/>
              <w:jc w:val="right"/>
              <w:rPr>
                <w:b/>
                <w:bCs/>
              </w:rPr>
            </w:pPr>
            <w:r w:rsidRPr="00F110F6">
              <w:rPr>
                <w:rStyle w:val="normaltextrun"/>
                <w:b/>
                <w:bCs/>
              </w:rPr>
              <w:t>77</w:t>
            </w:r>
          </w:p>
        </w:tc>
        <w:tc>
          <w:tcPr>
            <w:tcW w:w="844" w:type="dxa"/>
          </w:tcPr>
          <w:p w14:paraId="0C56DFA1" w14:textId="7A7EB3B4" w:rsidR="0015598D" w:rsidRPr="00F110F6" w:rsidRDefault="0015598D" w:rsidP="002D3A0D">
            <w:pPr>
              <w:pStyle w:val="TableBody0"/>
              <w:spacing w:line="288" w:lineRule="auto"/>
              <w:jc w:val="right"/>
              <w:rPr>
                <w:b/>
                <w:bCs/>
              </w:rPr>
            </w:pPr>
            <w:r w:rsidRPr="00F110F6">
              <w:rPr>
                <w:rStyle w:val="normaltextrun"/>
                <w:b/>
                <w:bCs/>
              </w:rPr>
              <w:t>3</w:t>
            </w:r>
          </w:p>
        </w:tc>
        <w:tc>
          <w:tcPr>
            <w:tcW w:w="844" w:type="dxa"/>
          </w:tcPr>
          <w:p w14:paraId="7BCDD683" w14:textId="69C0F7F9" w:rsidR="0015598D" w:rsidRPr="00F110F6" w:rsidRDefault="0015598D" w:rsidP="002D3A0D">
            <w:pPr>
              <w:pStyle w:val="TableBody0"/>
              <w:spacing w:line="288" w:lineRule="auto"/>
              <w:jc w:val="right"/>
              <w:rPr>
                <w:b/>
                <w:bCs/>
              </w:rPr>
            </w:pPr>
            <w:r w:rsidRPr="00F110F6">
              <w:rPr>
                <w:rStyle w:val="normaltextrun"/>
                <w:b/>
                <w:bCs/>
              </w:rPr>
              <w:t>80</w:t>
            </w:r>
          </w:p>
        </w:tc>
        <w:tc>
          <w:tcPr>
            <w:tcW w:w="844" w:type="dxa"/>
          </w:tcPr>
          <w:p w14:paraId="22AB542E" w14:textId="2AF607C4" w:rsidR="0015598D" w:rsidRPr="00F110F6" w:rsidRDefault="0015598D" w:rsidP="002D3A0D">
            <w:pPr>
              <w:pStyle w:val="TableBody0"/>
              <w:spacing w:line="288" w:lineRule="auto"/>
              <w:jc w:val="right"/>
              <w:rPr>
                <w:b/>
                <w:bCs/>
              </w:rPr>
            </w:pPr>
            <w:r w:rsidRPr="00F110F6">
              <w:rPr>
                <w:rStyle w:val="normaltextrun"/>
                <w:b/>
                <w:bCs/>
              </w:rPr>
              <w:t>150</w:t>
            </w:r>
          </w:p>
        </w:tc>
        <w:tc>
          <w:tcPr>
            <w:tcW w:w="844" w:type="dxa"/>
          </w:tcPr>
          <w:p w14:paraId="21C93477" w14:textId="3B94AACB" w:rsidR="0015598D" w:rsidRPr="00F110F6" w:rsidRDefault="0015598D" w:rsidP="002D3A0D">
            <w:pPr>
              <w:pStyle w:val="TableBody0"/>
              <w:spacing w:line="288" w:lineRule="auto"/>
              <w:jc w:val="right"/>
              <w:rPr>
                <w:b/>
                <w:bCs/>
              </w:rPr>
            </w:pPr>
            <w:r w:rsidRPr="00F110F6">
              <w:rPr>
                <w:rStyle w:val="normaltextrun"/>
                <w:b/>
                <w:bCs/>
              </w:rPr>
              <w:t>16</w:t>
            </w:r>
          </w:p>
        </w:tc>
        <w:tc>
          <w:tcPr>
            <w:tcW w:w="844" w:type="dxa"/>
          </w:tcPr>
          <w:p w14:paraId="3EEE8535" w14:textId="5168F740" w:rsidR="0015598D" w:rsidRPr="00F110F6" w:rsidRDefault="0015598D" w:rsidP="002D3A0D">
            <w:pPr>
              <w:pStyle w:val="TableBody0"/>
              <w:spacing w:line="288" w:lineRule="auto"/>
              <w:jc w:val="right"/>
              <w:rPr>
                <w:b/>
                <w:bCs/>
              </w:rPr>
            </w:pPr>
            <w:r w:rsidRPr="00F110F6">
              <w:rPr>
                <w:rStyle w:val="normaltextrun"/>
                <w:b/>
                <w:bCs/>
              </w:rPr>
              <w:t>166</w:t>
            </w:r>
          </w:p>
        </w:tc>
        <w:tc>
          <w:tcPr>
            <w:tcW w:w="737" w:type="dxa"/>
          </w:tcPr>
          <w:p w14:paraId="5F792322" w14:textId="42E2335B" w:rsidR="0015598D" w:rsidRPr="00F110F6" w:rsidRDefault="0015598D" w:rsidP="002D3A0D">
            <w:pPr>
              <w:pStyle w:val="TableBody0"/>
              <w:spacing w:line="288" w:lineRule="auto"/>
              <w:jc w:val="right"/>
              <w:rPr>
                <w:b/>
                <w:bCs/>
              </w:rPr>
            </w:pPr>
            <w:r w:rsidRPr="00F110F6">
              <w:rPr>
                <w:rStyle w:val="normaltextrun"/>
                <w:b/>
                <w:bCs/>
              </w:rPr>
              <w:t>3</w:t>
            </w:r>
          </w:p>
        </w:tc>
        <w:tc>
          <w:tcPr>
            <w:tcW w:w="737" w:type="dxa"/>
          </w:tcPr>
          <w:p w14:paraId="4545CA3C" w14:textId="7AD9137B" w:rsidR="0015598D" w:rsidRPr="00F110F6" w:rsidRDefault="0015598D" w:rsidP="002D3A0D">
            <w:pPr>
              <w:pStyle w:val="TableBody0"/>
              <w:spacing w:line="288" w:lineRule="auto"/>
              <w:jc w:val="right"/>
              <w:rPr>
                <w:b/>
                <w:bCs/>
              </w:rPr>
            </w:pPr>
            <w:r w:rsidRPr="00F110F6">
              <w:rPr>
                <w:rStyle w:val="normaltextrun"/>
                <w:b/>
                <w:bCs/>
              </w:rPr>
              <w:t>0</w:t>
            </w:r>
          </w:p>
        </w:tc>
        <w:tc>
          <w:tcPr>
            <w:tcW w:w="567" w:type="dxa"/>
          </w:tcPr>
          <w:p w14:paraId="216C3571" w14:textId="74CD4553" w:rsidR="0015598D" w:rsidRPr="00F110F6" w:rsidRDefault="0015598D" w:rsidP="002D3A0D">
            <w:pPr>
              <w:pStyle w:val="TableBody0"/>
              <w:spacing w:line="288" w:lineRule="auto"/>
              <w:jc w:val="right"/>
              <w:rPr>
                <w:b/>
                <w:bCs/>
              </w:rPr>
            </w:pPr>
            <w:r w:rsidRPr="00F110F6">
              <w:rPr>
                <w:rStyle w:val="normaltextrun"/>
                <w:b/>
                <w:bCs/>
              </w:rPr>
              <w:t>3</w:t>
            </w:r>
          </w:p>
        </w:tc>
        <w:tc>
          <w:tcPr>
            <w:tcW w:w="844" w:type="dxa"/>
          </w:tcPr>
          <w:p w14:paraId="4F4AFB21" w14:textId="01E973DF" w:rsidR="0015598D" w:rsidRPr="00F110F6" w:rsidRDefault="0015598D" w:rsidP="002D3A0D">
            <w:pPr>
              <w:pStyle w:val="TableBody0"/>
              <w:spacing w:line="288" w:lineRule="auto"/>
              <w:jc w:val="right"/>
              <w:rPr>
                <w:b/>
                <w:bCs/>
              </w:rPr>
            </w:pPr>
            <w:r w:rsidRPr="00F110F6">
              <w:rPr>
                <w:rStyle w:val="normaltextrun"/>
                <w:b/>
                <w:bCs/>
              </w:rPr>
              <w:t>0</w:t>
            </w:r>
          </w:p>
        </w:tc>
        <w:tc>
          <w:tcPr>
            <w:tcW w:w="844" w:type="dxa"/>
          </w:tcPr>
          <w:p w14:paraId="0A90FAFB" w14:textId="740EE915" w:rsidR="0015598D" w:rsidRPr="00F110F6" w:rsidRDefault="0015598D" w:rsidP="002D3A0D">
            <w:pPr>
              <w:pStyle w:val="TableBody0"/>
              <w:spacing w:line="288" w:lineRule="auto"/>
              <w:jc w:val="right"/>
              <w:rPr>
                <w:b/>
                <w:bCs/>
              </w:rPr>
            </w:pPr>
            <w:r w:rsidRPr="00F110F6">
              <w:rPr>
                <w:rStyle w:val="normaltextrun"/>
                <w:b/>
                <w:bCs/>
              </w:rPr>
              <w:t>0</w:t>
            </w:r>
          </w:p>
        </w:tc>
        <w:tc>
          <w:tcPr>
            <w:tcW w:w="844" w:type="dxa"/>
          </w:tcPr>
          <w:p w14:paraId="76F9286D" w14:textId="7B10B7E0" w:rsidR="0015598D" w:rsidRPr="00F110F6" w:rsidRDefault="0015598D" w:rsidP="002D3A0D">
            <w:pPr>
              <w:pStyle w:val="TableBody0"/>
              <w:spacing w:line="288" w:lineRule="auto"/>
              <w:jc w:val="right"/>
              <w:rPr>
                <w:b/>
                <w:bCs/>
              </w:rPr>
            </w:pPr>
            <w:r w:rsidRPr="00F110F6">
              <w:rPr>
                <w:rStyle w:val="normaltextrun"/>
                <w:b/>
                <w:bCs/>
              </w:rPr>
              <w:t>0</w:t>
            </w:r>
          </w:p>
        </w:tc>
        <w:tc>
          <w:tcPr>
            <w:tcW w:w="844" w:type="dxa"/>
          </w:tcPr>
          <w:p w14:paraId="4F90D51C" w14:textId="4B6AF6D9" w:rsidR="0015598D" w:rsidRPr="00F110F6" w:rsidRDefault="0015598D" w:rsidP="002D3A0D">
            <w:pPr>
              <w:pStyle w:val="TableBody0"/>
              <w:spacing w:line="288" w:lineRule="auto"/>
              <w:jc w:val="right"/>
              <w:rPr>
                <w:b/>
                <w:bCs/>
              </w:rPr>
            </w:pPr>
            <w:r w:rsidRPr="00F110F6">
              <w:rPr>
                <w:rStyle w:val="normaltextrun"/>
                <w:b/>
                <w:bCs/>
              </w:rPr>
              <w:t>0</w:t>
            </w:r>
          </w:p>
        </w:tc>
        <w:tc>
          <w:tcPr>
            <w:tcW w:w="850" w:type="dxa"/>
          </w:tcPr>
          <w:p w14:paraId="024C623A" w14:textId="618CC104" w:rsidR="0015598D" w:rsidRPr="00F110F6" w:rsidRDefault="0015598D" w:rsidP="002D3A0D">
            <w:pPr>
              <w:pStyle w:val="TableBody0"/>
              <w:spacing w:line="288" w:lineRule="auto"/>
              <w:jc w:val="right"/>
              <w:rPr>
                <w:b/>
                <w:bCs/>
              </w:rPr>
            </w:pPr>
            <w:r w:rsidRPr="00F110F6">
              <w:rPr>
                <w:rStyle w:val="normaltextrun"/>
                <w:b/>
                <w:bCs/>
              </w:rPr>
              <w:t>0</w:t>
            </w:r>
          </w:p>
        </w:tc>
        <w:tc>
          <w:tcPr>
            <w:tcW w:w="850" w:type="dxa"/>
          </w:tcPr>
          <w:p w14:paraId="4760F062" w14:textId="6FD59CA7" w:rsidR="0015598D" w:rsidRPr="00F110F6" w:rsidRDefault="0015598D" w:rsidP="002D3A0D">
            <w:pPr>
              <w:pStyle w:val="TableBody0"/>
              <w:spacing w:line="288" w:lineRule="auto"/>
              <w:jc w:val="right"/>
              <w:rPr>
                <w:b/>
                <w:bCs/>
              </w:rPr>
            </w:pPr>
            <w:r w:rsidRPr="00F110F6">
              <w:rPr>
                <w:rStyle w:val="normaltextrun"/>
                <w:b/>
                <w:bCs/>
              </w:rPr>
              <w:t>0</w:t>
            </w:r>
          </w:p>
        </w:tc>
        <w:tc>
          <w:tcPr>
            <w:tcW w:w="838" w:type="dxa"/>
          </w:tcPr>
          <w:p w14:paraId="6CF2CAF9" w14:textId="70E7A994" w:rsidR="0015598D" w:rsidRPr="00F110F6" w:rsidRDefault="0015598D" w:rsidP="002D3A0D">
            <w:pPr>
              <w:pStyle w:val="TableBody0"/>
              <w:spacing w:line="288" w:lineRule="auto"/>
              <w:jc w:val="right"/>
              <w:rPr>
                <w:b/>
                <w:bCs/>
              </w:rPr>
            </w:pPr>
            <w:r w:rsidRPr="00F110F6">
              <w:rPr>
                <w:rStyle w:val="normaltextrun"/>
                <w:b/>
                <w:bCs/>
              </w:rPr>
              <w:t>249</w:t>
            </w:r>
          </w:p>
        </w:tc>
      </w:tr>
    </w:tbl>
    <w:p w14:paraId="7D2C1077" w14:textId="77777777" w:rsidR="008458B6" w:rsidRPr="00F110F6" w:rsidRDefault="008458B6">
      <w:pPr>
        <w:spacing w:before="120" w:line="288" w:lineRule="auto"/>
      </w:pPr>
      <w:r w:rsidRPr="00F110F6">
        <w:br w:type="page"/>
      </w:r>
    </w:p>
    <w:p w14:paraId="1E80958D" w14:textId="5F5DCD1E" w:rsidR="00920D7D" w:rsidRPr="00F110F6" w:rsidRDefault="00300BE2" w:rsidP="00300BE2">
      <w:pPr>
        <w:pStyle w:val="Caption"/>
      </w:pPr>
      <w:r>
        <w:t xml:space="preserve">Table </w:t>
      </w:r>
      <w:r w:rsidR="0007555E">
        <w:t>2</w:t>
      </w:r>
      <w:r w:rsidR="0068179C">
        <w:t>5</w:t>
      </w:r>
      <w:r>
        <w:t xml:space="preserve">. </w:t>
      </w:r>
      <w:r w:rsidR="00920D7D" w:rsidRPr="00F110F6">
        <w:t>All ongoing employees – previous reporting period (2024–25)</w:t>
      </w:r>
    </w:p>
    <w:tbl>
      <w:tblPr>
        <w:tblStyle w:val="NDISTable1"/>
        <w:tblW w:w="14213" w:type="dxa"/>
        <w:tblLayout w:type="fixed"/>
        <w:tblCellMar>
          <w:left w:w="57" w:type="dxa"/>
          <w:right w:w="28" w:type="dxa"/>
        </w:tblCellMar>
        <w:tblLook w:val="0420" w:firstRow="1" w:lastRow="0" w:firstColumn="0" w:lastColumn="0" w:noHBand="0" w:noVBand="1"/>
        <w:tblDescription w:val="[Insert table description] with columns for [Insert column headings]. The table has [insert number] columns and [insert number] rows."/>
      </w:tblPr>
      <w:tblGrid>
        <w:gridCol w:w="1194"/>
        <w:gridCol w:w="844"/>
        <w:gridCol w:w="844"/>
        <w:gridCol w:w="844"/>
        <w:gridCol w:w="844"/>
        <w:gridCol w:w="844"/>
        <w:gridCol w:w="844"/>
        <w:gridCol w:w="737"/>
        <w:gridCol w:w="737"/>
        <w:gridCol w:w="567"/>
        <w:gridCol w:w="844"/>
        <w:gridCol w:w="844"/>
        <w:gridCol w:w="844"/>
        <w:gridCol w:w="844"/>
        <w:gridCol w:w="850"/>
        <w:gridCol w:w="850"/>
        <w:gridCol w:w="838"/>
      </w:tblGrid>
      <w:tr w:rsidR="007A6856" w:rsidRPr="00D92DA6" w14:paraId="4FC868FD" w14:textId="77777777" w:rsidTr="006C1EDF">
        <w:trPr>
          <w:cnfStyle w:val="100000000000" w:firstRow="1" w:lastRow="0" w:firstColumn="0" w:lastColumn="0" w:oddVBand="0" w:evenVBand="0" w:oddHBand="0" w:evenHBand="0" w:firstRowFirstColumn="0" w:firstRowLastColumn="0" w:lastRowFirstColumn="0" w:lastRowLastColumn="0"/>
          <w:trHeight w:val="1928"/>
        </w:trPr>
        <w:tc>
          <w:tcPr>
            <w:tcW w:w="1194" w:type="dxa"/>
            <w:textDirection w:val="tbRl"/>
            <w:vAlign w:val="bottom"/>
          </w:tcPr>
          <w:p w14:paraId="611F85B8" w14:textId="77777777" w:rsidR="007A6856" w:rsidRPr="00D92DA6" w:rsidRDefault="007A6856" w:rsidP="0039474A">
            <w:pPr>
              <w:pStyle w:val="TableBody0"/>
              <w:spacing w:line="288" w:lineRule="auto"/>
              <w:ind w:left="113" w:right="113"/>
            </w:pPr>
            <w:r w:rsidRPr="004D5FC7">
              <w:t>State or territory</w:t>
            </w:r>
          </w:p>
        </w:tc>
        <w:tc>
          <w:tcPr>
            <w:tcW w:w="844" w:type="dxa"/>
            <w:textDirection w:val="tbRl"/>
            <w:vAlign w:val="center"/>
          </w:tcPr>
          <w:p w14:paraId="1159CD92" w14:textId="026176CD" w:rsidR="007A6856" w:rsidRPr="00D92DA6" w:rsidRDefault="007A6856" w:rsidP="00A72564">
            <w:pPr>
              <w:pStyle w:val="TableBody0"/>
              <w:spacing w:line="288" w:lineRule="auto"/>
              <w:ind w:left="113" w:right="113"/>
            </w:pPr>
            <w:r w:rsidRPr="00D92DA6">
              <w:t>Man/</w:t>
            </w:r>
            <w:r w:rsidR="00E25EEF" w:rsidRPr="00D92DA6">
              <w:t>m</w:t>
            </w:r>
            <w:r w:rsidRPr="00D92DA6">
              <w:t>ale full time</w:t>
            </w:r>
          </w:p>
        </w:tc>
        <w:tc>
          <w:tcPr>
            <w:tcW w:w="844" w:type="dxa"/>
            <w:textDirection w:val="tbRl"/>
            <w:vAlign w:val="center"/>
          </w:tcPr>
          <w:p w14:paraId="3D3018D4" w14:textId="70173677" w:rsidR="007A6856" w:rsidRPr="00D92DA6" w:rsidRDefault="007A6856" w:rsidP="00A72564">
            <w:pPr>
              <w:pStyle w:val="TableBody0"/>
              <w:spacing w:line="288" w:lineRule="auto"/>
              <w:ind w:left="113" w:right="113"/>
            </w:pPr>
            <w:r w:rsidRPr="00D92DA6">
              <w:t>Man/</w:t>
            </w:r>
            <w:r w:rsidR="00E25EEF" w:rsidRPr="00D92DA6">
              <w:t>m</w:t>
            </w:r>
            <w:r w:rsidRPr="00D92DA6">
              <w:t>ale part time</w:t>
            </w:r>
          </w:p>
        </w:tc>
        <w:tc>
          <w:tcPr>
            <w:tcW w:w="844" w:type="dxa"/>
            <w:textDirection w:val="tbRl"/>
            <w:vAlign w:val="center"/>
          </w:tcPr>
          <w:p w14:paraId="79355F18" w14:textId="45916294" w:rsidR="007A6856" w:rsidRPr="00D92DA6" w:rsidRDefault="007A6856" w:rsidP="00A72564">
            <w:pPr>
              <w:pStyle w:val="TableBody0"/>
              <w:spacing w:line="288" w:lineRule="auto"/>
              <w:ind w:left="113" w:right="113"/>
            </w:pPr>
            <w:r w:rsidRPr="00D92DA6">
              <w:t>Man/</w:t>
            </w:r>
            <w:r w:rsidR="00E25EEF" w:rsidRPr="00D92DA6">
              <w:t>m</w:t>
            </w:r>
            <w:r w:rsidRPr="00D92DA6">
              <w:t>ale total</w:t>
            </w:r>
          </w:p>
        </w:tc>
        <w:tc>
          <w:tcPr>
            <w:tcW w:w="844" w:type="dxa"/>
            <w:textDirection w:val="tbRl"/>
            <w:vAlign w:val="center"/>
          </w:tcPr>
          <w:p w14:paraId="0F8E1302" w14:textId="757F8F2B" w:rsidR="007A6856" w:rsidRPr="00D92DA6" w:rsidRDefault="007A6856" w:rsidP="00A72564">
            <w:pPr>
              <w:pStyle w:val="TableBody0"/>
              <w:spacing w:line="288" w:lineRule="auto"/>
              <w:ind w:left="113" w:right="113"/>
            </w:pPr>
            <w:r w:rsidRPr="00D92DA6">
              <w:t>Woman/</w:t>
            </w:r>
            <w:r w:rsidR="00E25EEF" w:rsidRPr="00D92DA6">
              <w:t>f</w:t>
            </w:r>
            <w:r w:rsidRPr="00D92DA6">
              <w:t>emale full time</w:t>
            </w:r>
          </w:p>
        </w:tc>
        <w:tc>
          <w:tcPr>
            <w:tcW w:w="844" w:type="dxa"/>
            <w:textDirection w:val="tbRl"/>
            <w:vAlign w:val="center"/>
          </w:tcPr>
          <w:p w14:paraId="587BEDCB" w14:textId="39A468CC" w:rsidR="007A6856" w:rsidRPr="00D92DA6" w:rsidRDefault="007A6856" w:rsidP="00A72564">
            <w:pPr>
              <w:pStyle w:val="TableBody0"/>
              <w:spacing w:line="288" w:lineRule="auto"/>
              <w:ind w:left="113" w:right="113"/>
            </w:pPr>
            <w:r w:rsidRPr="00D92DA6">
              <w:t>Woman/</w:t>
            </w:r>
            <w:r w:rsidR="00E25EEF" w:rsidRPr="00D92DA6">
              <w:t>f</w:t>
            </w:r>
            <w:r w:rsidRPr="00D92DA6">
              <w:t>emale part time</w:t>
            </w:r>
          </w:p>
        </w:tc>
        <w:tc>
          <w:tcPr>
            <w:tcW w:w="844" w:type="dxa"/>
            <w:textDirection w:val="tbRl"/>
            <w:vAlign w:val="center"/>
          </w:tcPr>
          <w:p w14:paraId="255E7C2F" w14:textId="73551D78" w:rsidR="007A6856" w:rsidRPr="00D92DA6" w:rsidRDefault="007A6856" w:rsidP="00A72564">
            <w:pPr>
              <w:pStyle w:val="TableBody0"/>
              <w:spacing w:line="288" w:lineRule="auto"/>
              <w:ind w:left="113" w:right="113"/>
            </w:pPr>
            <w:r w:rsidRPr="00D92DA6">
              <w:t>Woman/</w:t>
            </w:r>
            <w:r w:rsidR="00E25EEF" w:rsidRPr="00D92DA6">
              <w:t>f</w:t>
            </w:r>
            <w:r w:rsidRPr="00D92DA6">
              <w:t>emale total</w:t>
            </w:r>
          </w:p>
        </w:tc>
        <w:tc>
          <w:tcPr>
            <w:tcW w:w="737" w:type="dxa"/>
            <w:textDirection w:val="tbRl"/>
            <w:vAlign w:val="center"/>
          </w:tcPr>
          <w:p w14:paraId="34CEDF15" w14:textId="77777777" w:rsidR="007A6856" w:rsidRPr="00D92DA6" w:rsidRDefault="007A6856" w:rsidP="00A72564">
            <w:pPr>
              <w:pStyle w:val="TableBody0"/>
              <w:spacing w:line="288" w:lineRule="auto"/>
              <w:ind w:left="113" w:right="113"/>
            </w:pPr>
            <w:r w:rsidRPr="00D92DA6">
              <w:t>Non-binary full time</w:t>
            </w:r>
          </w:p>
        </w:tc>
        <w:tc>
          <w:tcPr>
            <w:tcW w:w="737" w:type="dxa"/>
            <w:textDirection w:val="tbRl"/>
            <w:vAlign w:val="center"/>
          </w:tcPr>
          <w:p w14:paraId="7F50F175" w14:textId="77777777" w:rsidR="007A6856" w:rsidRPr="00D92DA6" w:rsidRDefault="007A6856" w:rsidP="00A72564">
            <w:pPr>
              <w:pStyle w:val="TableBody0"/>
              <w:spacing w:line="288" w:lineRule="auto"/>
              <w:ind w:left="113" w:right="113"/>
            </w:pPr>
            <w:r w:rsidRPr="00D92DA6">
              <w:t>Non-binary part time</w:t>
            </w:r>
          </w:p>
        </w:tc>
        <w:tc>
          <w:tcPr>
            <w:tcW w:w="567" w:type="dxa"/>
            <w:textDirection w:val="tbRl"/>
            <w:vAlign w:val="center"/>
          </w:tcPr>
          <w:p w14:paraId="5F4C049F" w14:textId="77777777" w:rsidR="007A6856" w:rsidRPr="00D92DA6" w:rsidRDefault="007A6856" w:rsidP="00A72564">
            <w:pPr>
              <w:pStyle w:val="TableBody0"/>
              <w:spacing w:line="288" w:lineRule="auto"/>
              <w:ind w:left="113" w:right="113"/>
            </w:pPr>
            <w:r w:rsidRPr="00D92DA6">
              <w:t>Non-binary total</w:t>
            </w:r>
          </w:p>
        </w:tc>
        <w:tc>
          <w:tcPr>
            <w:tcW w:w="844" w:type="dxa"/>
            <w:textDirection w:val="tbRl"/>
            <w:vAlign w:val="center"/>
          </w:tcPr>
          <w:p w14:paraId="025A2FFE" w14:textId="77777777" w:rsidR="007A6856" w:rsidRPr="00D92DA6" w:rsidRDefault="007A6856" w:rsidP="00A72564">
            <w:pPr>
              <w:pStyle w:val="TableBody0"/>
              <w:spacing w:line="288" w:lineRule="auto"/>
              <w:ind w:left="113" w:right="113"/>
            </w:pPr>
            <w:r w:rsidRPr="00D92DA6">
              <w:t>Prefers not to answer full time</w:t>
            </w:r>
          </w:p>
        </w:tc>
        <w:tc>
          <w:tcPr>
            <w:tcW w:w="844" w:type="dxa"/>
            <w:textDirection w:val="tbRl"/>
            <w:vAlign w:val="center"/>
          </w:tcPr>
          <w:p w14:paraId="58EFC9C9" w14:textId="77777777" w:rsidR="007A6856" w:rsidRPr="00D92DA6" w:rsidRDefault="007A6856" w:rsidP="00A72564">
            <w:pPr>
              <w:pStyle w:val="TableBody0"/>
              <w:spacing w:line="288" w:lineRule="auto"/>
              <w:ind w:left="113" w:right="113"/>
            </w:pPr>
            <w:r w:rsidRPr="00D92DA6">
              <w:t>Prefers not to answer part time</w:t>
            </w:r>
          </w:p>
        </w:tc>
        <w:tc>
          <w:tcPr>
            <w:tcW w:w="844" w:type="dxa"/>
            <w:textDirection w:val="tbRl"/>
            <w:vAlign w:val="center"/>
          </w:tcPr>
          <w:p w14:paraId="021D0BCD" w14:textId="77777777" w:rsidR="007A6856" w:rsidRPr="00D92DA6" w:rsidRDefault="007A6856" w:rsidP="00A72564">
            <w:pPr>
              <w:pStyle w:val="TableBody0"/>
              <w:spacing w:line="288" w:lineRule="auto"/>
              <w:ind w:left="113" w:right="113"/>
            </w:pPr>
            <w:r w:rsidRPr="00D92DA6">
              <w:t>Prefers not to answer total</w:t>
            </w:r>
          </w:p>
        </w:tc>
        <w:tc>
          <w:tcPr>
            <w:tcW w:w="844" w:type="dxa"/>
            <w:textDirection w:val="tbRl"/>
            <w:vAlign w:val="center"/>
          </w:tcPr>
          <w:p w14:paraId="2F5A718B" w14:textId="77777777" w:rsidR="007A6856" w:rsidRPr="00D92DA6" w:rsidRDefault="007A6856" w:rsidP="00A72564">
            <w:pPr>
              <w:pStyle w:val="TableBody0"/>
              <w:spacing w:line="288" w:lineRule="auto"/>
              <w:ind w:left="113" w:right="113"/>
            </w:pPr>
            <w:r w:rsidRPr="00D92DA6">
              <w:t>Uses a different term full time</w:t>
            </w:r>
          </w:p>
        </w:tc>
        <w:tc>
          <w:tcPr>
            <w:tcW w:w="850" w:type="dxa"/>
            <w:textDirection w:val="tbRl"/>
            <w:vAlign w:val="center"/>
          </w:tcPr>
          <w:p w14:paraId="3BC2B292" w14:textId="77777777" w:rsidR="007A6856" w:rsidRPr="00D92DA6" w:rsidRDefault="007A6856" w:rsidP="00A72564">
            <w:pPr>
              <w:pStyle w:val="TableBody0"/>
              <w:spacing w:line="288" w:lineRule="auto"/>
              <w:ind w:left="113" w:right="113"/>
            </w:pPr>
            <w:r w:rsidRPr="00D92DA6">
              <w:t>Uses a different term part time</w:t>
            </w:r>
          </w:p>
        </w:tc>
        <w:tc>
          <w:tcPr>
            <w:tcW w:w="850" w:type="dxa"/>
            <w:textDirection w:val="tbRl"/>
            <w:vAlign w:val="center"/>
          </w:tcPr>
          <w:p w14:paraId="37496A0D" w14:textId="77777777" w:rsidR="007A6856" w:rsidRPr="00D92DA6" w:rsidRDefault="007A6856" w:rsidP="00A72564">
            <w:pPr>
              <w:pStyle w:val="TableBody0"/>
              <w:spacing w:line="288" w:lineRule="auto"/>
              <w:ind w:left="113" w:right="113"/>
            </w:pPr>
            <w:r w:rsidRPr="00D92DA6">
              <w:t>Uses a different term total</w:t>
            </w:r>
          </w:p>
        </w:tc>
        <w:tc>
          <w:tcPr>
            <w:tcW w:w="838" w:type="dxa"/>
            <w:textDirection w:val="tbRl"/>
            <w:vAlign w:val="center"/>
          </w:tcPr>
          <w:p w14:paraId="1676347D" w14:textId="77777777" w:rsidR="007A6856" w:rsidRPr="00D92DA6" w:rsidRDefault="007A6856" w:rsidP="00A72564">
            <w:pPr>
              <w:pStyle w:val="TableBody0"/>
              <w:spacing w:line="288" w:lineRule="auto"/>
              <w:ind w:left="113" w:right="113"/>
            </w:pPr>
            <w:r w:rsidRPr="00D92DA6">
              <w:t>Total</w:t>
            </w:r>
          </w:p>
        </w:tc>
      </w:tr>
      <w:tr w:rsidR="007A6856" w:rsidRPr="00F110F6" w14:paraId="7AE42577"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567099FC" w14:textId="77777777" w:rsidR="007A6856" w:rsidRPr="00F110F6" w:rsidRDefault="007A6856" w:rsidP="002D3A0D">
            <w:pPr>
              <w:pStyle w:val="TableBody0"/>
              <w:spacing w:line="288" w:lineRule="auto"/>
            </w:pPr>
            <w:r w:rsidRPr="00F110F6">
              <w:t>NSW</w:t>
            </w:r>
          </w:p>
        </w:tc>
        <w:tc>
          <w:tcPr>
            <w:tcW w:w="844" w:type="dxa"/>
          </w:tcPr>
          <w:p w14:paraId="38D03DDA" w14:textId="34099FF6" w:rsidR="007A6856" w:rsidRPr="00F110F6" w:rsidRDefault="007A6856" w:rsidP="002D3A0D">
            <w:pPr>
              <w:pStyle w:val="TableBody0"/>
              <w:spacing w:line="288" w:lineRule="auto"/>
              <w:jc w:val="right"/>
            </w:pPr>
            <w:r w:rsidRPr="00F110F6">
              <w:rPr>
                <w:rStyle w:val="normaltextrun"/>
              </w:rPr>
              <w:t>471</w:t>
            </w:r>
          </w:p>
        </w:tc>
        <w:tc>
          <w:tcPr>
            <w:tcW w:w="844" w:type="dxa"/>
          </w:tcPr>
          <w:p w14:paraId="27E19DDA" w14:textId="65A7BB8B" w:rsidR="007A6856" w:rsidRPr="00F110F6" w:rsidRDefault="007A6856" w:rsidP="002D3A0D">
            <w:pPr>
              <w:pStyle w:val="TableBody0"/>
              <w:spacing w:line="288" w:lineRule="auto"/>
              <w:jc w:val="right"/>
            </w:pPr>
            <w:r w:rsidRPr="00F110F6">
              <w:rPr>
                <w:rStyle w:val="normaltextrun"/>
              </w:rPr>
              <w:t>26</w:t>
            </w:r>
          </w:p>
        </w:tc>
        <w:tc>
          <w:tcPr>
            <w:tcW w:w="844" w:type="dxa"/>
          </w:tcPr>
          <w:p w14:paraId="15717CE1" w14:textId="6D7AFFBE" w:rsidR="007A6856" w:rsidRPr="00F110F6" w:rsidRDefault="007A6856" w:rsidP="002D3A0D">
            <w:pPr>
              <w:pStyle w:val="TableBody0"/>
              <w:spacing w:line="288" w:lineRule="auto"/>
              <w:jc w:val="right"/>
            </w:pPr>
            <w:r w:rsidRPr="00F110F6">
              <w:rPr>
                <w:rStyle w:val="normaltextrun"/>
              </w:rPr>
              <w:t>497</w:t>
            </w:r>
          </w:p>
        </w:tc>
        <w:tc>
          <w:tcPr>
            <w:tcW w:w="844" w:type="dxa"/>
          </w:tcPr>
          <w:p w14:paraId="3DD07E8F" w14:textId="21FEF370" w:rsidR="007A6856" w:rsidRPr="00F110F6" w:rsidRDefault="007A6856" w:rsidP="002D3A0D">
            <w:pPr>
              <w:pStyle w:val="TableBody0"/>
              <w:spacing w:line="288" w:lineRule="auto"/>
              <w:jc w:val="right"/>
            </w:pPr>
            <w:r w:rsidRPr="00F110F6">
              <w:rPr>
                <w:rStyle w:val="normaltextrun"/>
              </w:rPr>
              <w:t>1,387</w:t>
            </w:r>
          </w:p>
        </w:tc>
        <w:tc>
          <w:tcPr>
            <w:tcW w:w="844" w:type="dxa"/>
          </w:tcPr>
          <w:p w14:paraId="0293FDFC" w14:textId="28A636FA" w:rsidR="007A6856" w:rsidRPr="00F110F6" w:rsidRDefault="007A6856" w:rsidP="002D3A0D">
            <w:pPr>
              <w:pStyle w:val="TableBody0"/>
              <w:spacing w:line="288" w:lineRule="auto"/>
              <w:jc w:val="right"/>
            </w:pPr>
            <w:r w:rsidRPr="00F110F6">
              <w:rPr>
                <w:rStyle w:val="normaltextrun"/>
              </w:rPr>
              <w:t>258</w:t>
            </w:r>
          </w:p>
        </w:tc>
        <w:tc>
          <w:tcPr>
            <w:tcW w:w="844" w:type="dxa"/>
          </w:tcPr>
          <w:p w14:paraId="02834B59" w14:textId="5A6D2088" w:rsidR="007A6856" w:rsidRPr="00F110F6" w:rsidRDefault="007A6856" w:rsidP="002D3A0D">
            <w:pPr>
              <w:pStyle w:val="TableBody0"/>
              <w:spacing w:line="288" w:lineRule="auto"/>
              <w:jc w:val="right"/>
            </w:pPr>
            <w:r w:rsidRPr="00F110F6">
              <w:rPr>
                <w:rStyle w:val="normaltextrun"/>
              </w:rPr>
              <w:t>1,645</w:t>
            </w:r>
          </w:p>
        </w:tc>
        <w:tc>
          <w:tcPr>
            <w:tcW w:w="737" w:type="dxa"/>
          </w:tcPr>
          <w:p w14:paraId="01EE3B8D" w14:textId="1AB5F71A" w:rsidR="007A6856" w:rsidRPr="00F110F6" w:rsidRDefault="007A6856" w:rsidP="002D3A0D">
            <w:pPr>
              <w:pStyle w:val="TableBody0"/>
              <w:spacing w:line="288" w:lineRule="auto"/>
              <w:jc w:val="right"/>
            </w:pPr>
            <w:r w:rsidRPr="00F110F6">
              <w:rPr>
                <w:rStyle w:val="normaltextrun"/>
              </w:rPr>
              <w:t>9</w:t>
            </w:r>
          </w:p>
        </w:tc>
        <w:tc>
          <w:tcPr>
            <w:tcW w:w="737" w:type="dxa"/>
          </w:tcPr>
          <w:p w14:paraId="2B6F4CC3" w14:textId="72260D39" w:rsidR="007A6856" w:rsidRPr="00F110F6" w:rsidRDefault="007A6856" w:rsidP="002D3A0D">
            <w:pPr>
              <w:pStyle w:val="TableBody0"/>
              <w:spacing w:line="288" w:lineRule="auto"/>
              <w:jc w:val="right"/>
            </w:pPr>
            <w:r w:rsidRPr="00F110F6">
              <w:rPr>
                <w:rStyle w:val="normaltextrun"/>
              </w:rPr>
              <w:t>1</w:t>
            </w:r>
          </w:p>
        </w:tc>
        <w:tc>
          <w:tcPr>
            <w:tcW w:w="567" w:type="dxa"/>
          </w:tcPr>
          <w:p w14:paraId="67E09E0F" w14:textId="2C03DC4A" w:rsidR="007A6856" w:rsidRPr="00F110F6" w:rsidRDefault="007A6856" w:rsidP="002D3A0D">
            <w:pPr>
              <w:pStyle w:val="TableBody0"/>
              <w:spacing w:line="288" w:lineRule="auto"/>
              <w:jc w:val="right"/>
            </w:pPr>
            <w:r w:rsidRPr="00F110F6">
              <w:rPr>
                <w:rStyle w:val="normaltextrun"/>
              </w:rPr>
              <w:t>10</w:t>
            </w:r>
          </w:p>
        </w:tc>
        <w:tc>
          <w:tcPr>
            <w:tcW w:w="844" w:type="dxa"/>
          </w:tcPr>
          <w:p w14:paraId="2F1C9894" w14:textId="3CA776BE" w:rsidR="007A6856" w:rsidRPr="00F110F6" w:rsidRDefault="007A6856" w:rsidP="002D3A0D">
            <w:pPr>
              <w:pStyle w:val="TableBody0"/>
              <w:spacing w:line="288" w:lineRule="auto"/>
              <w:jc w:val="right"/>
            </w:pPr>
            <w:r w:rsidRPr="00F110F6">
              <w:rPr>
                <w:rStyle w:val="normaltextrun"/>
              </w:rPr>
              <w:t>0</w:t>
            </w:r>
          </w:p>
        </w:tc>
        <w:tc>
          <w:tcPr>
            <w:tcW w:w="844" w:type="dxa"/>
          </w:tcPr>
          <w:p w14:paraId="77162FF1" w14:textId="615EA8FD" w:rsidR="007A6856" w:rsidRPr="00F110F6" w:rsidRDefault="007A6856" w:rsidP="002D3A0D">
            <w:pPr>
              <w:pStyle w:val="TableBody0"/>
              <w:spacing w:line="288" w:lineRule="auto"/>
              <w:jc w:val="right"/>
            </w:pPr>
            <w:r w:rsidRPr="00F110F6">
              <w:rPr>
                <w:rStyle w:val="normaltextrun"/>
              </w:rPr>
              <w:t>0</w:t>
            </w:r>
          </w:p>
        </w:tc>
        <w:tc>
          <w:tcPr>
            <w:tcW w:w="844" w:type="dxa"/>
          </w:tcPr>
          <w:p w14:paraId="293A2A03" w14:textId="60E3AFE3" w:rsidR="007A6856" w:rsidRPr="00F110F6" w:rsidRDefault="007A6856" w:rsidP="002D3A0D">
            <w:pPr>
              <w:pStyle w:val="TableBody0"/>
              <w:spacing w:line="288" w:lineRule="auto"/>
              <w:jc w:val="right"/>
            </w:pPr>
            <w:r w:rsidRPr="00F110F6">
              <w:rPr>
                <w:rStyle w:val="normaltextrun"/>
              </w:rPr>
              <w:t>0</w:t>
            </w:r>
          </w:p>
        </w:tc>
        <w:tc>
          <w:tcPr>
            <w:tcW w:w="844" w:type="dxa"/>
          </w:tcPr>
          <w:p w14:paraId="376A7980" w14:textId="3DA47441" w:rsidR="007A6856" w:rsidRPr="00F110F6" w:rsidRDefault="007A6856" w:rsidP="002D3A0D">
            <w:pPr>
              <w:pStyle w:val="TableBody0"/>
              <w:spacing w:line="288" w:lineRule="auto"/>
              <w:jc w:val="right"/>
            </w:pPr>
            <w:r w:rsidRPr="00F110F6">
              <w:rPr>
                <w:rStyle w:val="normaltextrun"/>
              </w:rPr>
              <w:t>0</w:t>
            </w:r>
          </w:p>
        </w:tc>
        <w:tc>
          <w:tcPr>
            <w:tcW w:w="850" w:type="dxa"/>
          </w:tcPr>
          <w:p w14:paraId="0AC3F720" w14:textId="19B46DD0" w:rsidR="007A6856" w:rsidRPr="00F110F6" w:rsidRDefault="007A6856" w:rsidP="002D3A0D">
            <w:pPr>
              <w:pStyle w:val="TableBody0"/>
              <w:spacing w:line="288" w:lineRule="auto"/>
              <w:jc w:val="right"/>
            </w:pPr>
            <w:r w:rsidRPr="00F110F6">
              <w:rPr>
                <w:rStyle w:val="normaltextrun"/>
              </w:rPr>
              <w:t>0</w:t>
            </w:r>
          </w:p>
        </w:tc>
        <w:tc>
          <w:tcPr>
            <w:tcW w:w="850" w:type="dxa"/>
          </w:tcPr>
          <w:p w14:paraId="1AEC2F04" w14:textId="7D0A961B" w:rsidR="007A6856" w:rsidRPr="00F110F6" w:rsidRDefault="007A6856" w:rsidP="002D3A0D">
            <w:pPr>
              <w:pStyle w:val="TableBody0"/>
              <w:spacing w:line="288" w:lineRule="auto"/>
              <w:jc w:val="right"/>
            </w:pPr>
            <w:r w:rsidRPr="00F110F6">
              <w:rPr>
                <w:rStyle w:val="normaltextrun"/>
              </w:rPr>
              <w:t>0</w:t>
            </w:r>
          </w:p>
        </w:tc>
        <w:tc>
          <w:tcPr>
            <w:tcW w:w="838" w:type="dxa"/>
          </w:tcPr>
          <w:p w14:paraId="71D45C41" w14:textId="0B1533C0" w:rsidR="007A6856" w:rsidRPr="00F110F6" w:rsidRDefault="007A6856" w:rsidP="002D3A0D">
            <w:pPr>
              <w:pStyle w:val="TableBody0"/>
              <w:spacing w:line="288" w:lineRule="auto"/>
              <w:jc w:val="right"/>
            </w:pPr>
            <w:r w:rsidRPr="00F110F6">
              <w:rPr>
                <w:rStyle w:val="normaltextrun"/>
              </w:rPr>
              <w:t>2,152</w:t>
            </w:r>
          </w:p>
        </w:tc>
      </w:tr>
      <w:tr w:rsidR="007A6856" w:rsidRPr="00F110F6" w14:paraId="23202E35"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1D7E502D" w14:textId="235869C0" w:rsidR="007A6856" w:rsidRPr="00F110F6" w:rsidRDefault="007A6856" w:rsidP="002D3A0D">
            <w:pPr>
              <w:pStyle w:val="TableBody0"/>
              <w:spacing w:line="288" w:lineRule="auto"/>
            </w:pPr>
            <w:r w:rsidRPr="00F110F6">
              <w:t>Q</w:t>
            </w:r>
            <w:r w:rsidR="00F612FF" w:rsidRPr="00F110F6">
              <w:t>ld</w:t>
            </w:r>
          </w:p>
        </w:tc>
        <w:tc>
          <w:tcPr>
            <w:tcW w:w="844" w:type="dxa"/>
          </w:tcPr>
          <w:p w14:paraId="11D69143" w14:textId="2D86966B" w:rsidR="007A6856" w:rsidRPr="00F110F6" w:rsidRDefault="007A6856" w:rsidP="002D3A0D">
            <w:pPr>
              <w:pStyle w:val="TableBody0"/>
              <w:spacing w:line="288" w:lineRule="auto"/>
              <w:jc w:val="right"/>
            </w:pPr>
            <w:r w:rsidRPr="00F110F6">
              <w:rPr>
                <w:rStyle w:val="normaltextrun"/>
              </w:rPr>
              <w:t>437</w:t>
            </w:r>
          </w:p>
        </w:tc>
        <w:tc>
          <w:tcPr>
            <w:tcW w:w="844" w:type="dxa"/>
          </w:tcPr>
          <w:p w14:paraId="6F8F72AE" w14:textId="632E126C" w:rsidR="007A6856" w:rsidRPr="00F110F6" w:rsidRDefault="007A6856" w:rsidP="002D3A0D">
            <w:pPr>
              <w:pStyle w:val="TableBody0"/>
              <w:spacing w:line="288" w:lineRule="auto"/>
              <w:jc w:val="right"/>
            </w:pPr>
            <w:r w:rsidRPr="00F110F6">
              <w:rPr>
                <w:rStyle w:val="normaltextrun"/>
              </w:rPr>
              <w:t>16</w:t>
            </w:r>
          </w:p>
        </w:tc>
        <w:tc>
          <w:tcPr>
            <w:tcW w:w="844" w:type="dxa"/>
          </w:tcPr>
          <w:p w14:paraId="6D2F7804" w14:textId="2EB5743B" w:rsidR="007A6856" w:rsidRPr="00F110F6" w:rsidRDefault="007A6856" w:rsidP="002D3A0D">
            <w:pPr>
              <w:pStyle w:val="TableBody0"/>
              <w:spacing w:line="288" w:lineRule="auto"/>
              <w:jc w:val="right"/>
            </w:pPr>
            <w:r w:rsidRPr="00F110F6">
              <w:rPr>
                <w:rStyle w:val="normaltextrun"/>
              </w:rPr>
              <w:t>453</w:t>
            </w:r>
          </w:p>
        </w:tc>
        <w:tc>
          <w:tcPr>
            <w:tcW w:w="844" w:type="dxa"/>
          </w:tcPr>
          <w:p w14:paraId="511C2691" w14:textId="04BA5136" w:rsidR="007A6856" w:rsidRPr="00F110F6" w:rsidRDefault="007A6856" w:rsidP="002D3A0D">
            <w:pPr>
              <w:pStyle w:val="TableBody0"/>
              <w:spacing w:line="288" w:lineRule="auto"/>
              <w:jc w:val="right"/>
            </w:pPr>
            <w:r w:rsidRPr="00F110F6">
              <w:rPr>
                <w:rStyle w:val="normaltextrun"/>
              </w:rPr>
              <w:t>1,283</w:t>
            </w:r>
          </w:p>
        </w:tc>
        <w:tc>
          <w:tcPr>
            <w:tcW w:w="844" w:type="dxa"/>
          </w:tcPr>
          <w:p w14:paraId="40005EEB" w14:textId="7DC467EF" w:rsidR="007A6856" w:rsidRPr="00F110F6" w:rsidRDefault="007A6856" w:rsidP="002D3A0D">
            <w:pPr>
              <w:pStyle w:val="TableBody0"/>
              <w:spacing w:line="288" w:lineRule="auto"/>
              <w:jc w:val="right"/>
            </w:pPr>
            <w:r w:rsidRPr="00F110F6">
              <w:rPr>
                <w:rStyle w:val="normaltextrun"/>
              </w:rPr>
              <w:t>204</w:t>
            </w:r>
          </w:p>
        </w:tc>
        <w:tc>
          <w:tcPr>
            <w:tcW w:w="844" w:type="dxa"/>
          </w:tcPr>
          <w:p w14:paraId="694639D5" w14:textId="49E9A1AB" w:rsidR="007A6856" w:rsidRPr="00F110F6" w:rsidRDefault="007A6856" w:rsidP="002D3A0D">
            <w:pPr>
              <w:pStyle w:val="TableBody0"/>
              <w:spacing w:line="288" w:lineRule="auto"/>
              <w:jc w:val="right"/>
            </w:pPr>
            <w:r w:rsidRPr="00F110F6">
              <w:rPr>
                <w:rStyle w:val="normaltextrun"/>
              </w:rPr>
              <w:t>1,487</w:t>
            </w:r>
          </w:p>
        </w:tc>
        <w:tc>
          <w:tcPr>
            <w:tcW w:w="737" w:type="dxa"/>
          </w:tcPr>
          <w:p w14:paraId="46257FC3" w14:textId="7C86FF7E" w:rsidR="007A6856" w:rsidRPr="00F110F6" w:rsidRDefault="007A6856" w:rsidP="002D3A0D">
            <w:pPr>
              <w:pStyle w:val="TableBody0"/>
              <w:spacing w:line="288" w:lineRule="auto"/>
              <w:jc w:val="right"/>
            </w:pPr>
            <w:r w:rsidRPr="00F110F6">
              <w:rPr>
                <w:rStyle w:val="normaltextrun"/>
              </w:rPr>
              <w:t>4</w:t>
            </w:r>
          </w:p>
        </w:tc>
        <w:tc>
          <w:tcPr>
            <w:tcW w:w="737" w:type="dxa"/>
          </w:tcPr>
          <w:p w14:paraId="27A33E73" w14:textId="311A328A" w:rsidR="007A6856" w:rsidRPr="00F110F6" w:rsidRDefault="007A6856" w:rsidP="002D3A0D">
            <w:pPr>
              <w:pStyle w:val="TableBody0"/>
              <w:spacing w:line="288" w:lineRule="auto"/>
              <w:jc w:val="right"/>
            </w:pPr>
            <w:r w:rsidRPr="00F110F6">
              <w:rPr>
                <w:rStyle w:val="normaltextrun"/>
              </w:rPr>
              <w:t>0</w:t>
            </w:r>
          </w:p>
        </w:tc>
        <w:tc>
          <w:tcPr>
            <w:tcW w:w="567" w:type="dxa"/>
          </w:tcPr>
          <w:p w14:paraId="3C9F76C1" w14:textId="2613F7D2" w:rsidR="007A6856" w:rsidRPr="00F110F6" w:rsidRDefault="007A6856" w:rsidP="002D3A0D">
            <w:pPr>
              <w:pStyle w:val="TableBody0"/>
              <w:spacing w:line="288" w:lineRule="auto"/>
              <w:jc w:val="right"/>
            </w:pPr>
            <w:r w:rsidRPr="00F110F6">
              <w:rPr>
                <w:rStyle w:val="normaltextrun"/>
              </w:rPr>
              <w:t>4</w:t>
            </w:r>
          </w:p>
        </w:tc>
        <w:tc>
          <w:tcPr>
            <w:tcW w:w="844" w:type="dxa"/>
          </w:tcPr>
          <w:p w14:paraId="4C9B8DB3" w14:textId="1C07BE9A" w:rsidR="007A6856" w:rsidRPr="00F110F6" w:rsidRDefault="007A6856" w:rsidP="002D3A0D">
            <w:pPr>
              <w:pStyle w:val="TableBody0"/>
              <w:spacing w:line="288" w:lineRule="auto"/>
              <w:jc w:val="right"/>
            </w:pPr>
            <w:r w:rsidRPr="00F110F6">
              <w:rPr>
                <w:rStyle w:val="normaltextrun"/>
              </w:rPr>
              <w:t>0</w:t>
            </w:r>
          </w:p>
        </w:tc>
        <w:tc>
          <w:tcPr>
            <w:tcW w:w="844" w:type="dxa"/>
          </w:tcPr>
          <w:p w14:paraId="0697DFBA" w14:textId="56E1ADB7" w:rsidR="007A6856" w:rsidRPr="00F110F6" w:rsidRDefault="007A6856" w:rsidP="002D3A0D">
            <w:pPr>
              <w:pStyle w:val="TableBody0"/>
              <w:spacing w:line="288" w:lineRule="auto"/>
              <w:jc w:val="right"/>
            </w:pPr>
            <w:r w:rsidRPr="00F110F6">
              <w:rPr>
                <w:rStyle w:val="normaltextrun"/>
              </w:rPr>
              <w:t>0</w:t>
            </w:r>
          </w:p>
        </w:tc>
        <w:tc>
          <w:tcPr>
            <w:tcW w:w="844" w:type="dxa"/>
          </w:tcPr>
          <w:p w14:paraId="0B6E91EE" w14:textId="7D69CFE8" w:rsidR="007A6856" w:rsidRPr="00F110F6" w:rsidRDefault="007A6856" w:rsidP="002D3A0D">
            <w:pPr>
              <w:pStyle w:val="TableBody0"/>
              <w:spacing w:line="288" w:lineRule="auto"/>
              <w:jc w:val="right"/>
            </w:pPr>
            <w:r w:rsidRPr="00F110F6">
              <w:rPr>
                <w:rStyle w:val="normaltextrun"/>
              </w:rPr>
              <w:t>0</w:t>
            </w:r>
          </w:p>
        </w:tc>
        <w:tc>
          <w:tcPr>
            <w:tcW w:w="844" w:type="dxa"/>
          </w:tcPr>
          <w:p w14:paraId="2BE10325" w14:textId="32BF668C" w:rsidR="007A6856" w:rsidRPr="00F110F6" w:rsidRDefault="007A6856" w:rsidP="002D3A0D">
            <w:pPr>
              <w:pStyle w:val="TableBody0"/>
              <w:spacing w:line="288" w:lineRule="auto"/>
              <w:jc w:val="right"/>
            </w:pPr>
            <w:r w:rsidRPr="00F110F6">
              <w:rPr>
                <w:rStyle w:val="normaltextrun"/>
              </w:rPr>
              <w:t>0</w:t>
            </w:r>
          </w:p>
        </w:tc>
        <w:tc>
          <w:tcPr>
            <w:tcW w:w="850" w:type="dxa"/>
          </w:tcPr>
          <w:p w14:paraId="7242784E" w14:textId="73CCAF7D" w:rsidR="007A6856" w:rsidRPr="00F110F6" w:rsidRDefault="007A6856" w:rsidP="002D3A0D">
            <w:pPr>
              <w:pStyle w:val="TableBody0"/>
              <w:spacing w:line="288" w:lineRule="auto"/>
              <w:jc w:val="right"/>
            </w:pPr>
            <w:r w:rsidRPr="00F110F6">
              <w:rPr>
                <w:rStyle w:val="normaltextrun"/>
              </w:rPr>
              <w:t>0</w:t>
            </w:r>
          </w:p>
        </w:tc>
        <w:tc>
          <w:tcPr>
            <w:tcW w:w="850" w:type="dxa"/>
          </w:tcPr>
          <w:p w14:paraId="7B0E4EAE" w14:textId="5154E67D" w:rsidR="007A6856" w:rsidRPr="00F110F6" w:rsidRDefault="007A6856" w:rsidP="002D3A0D">
            <w:pPr>
              <w:pStyle w:val="TableBody0"/>
              <w:spacing w:line="288" w:lineRule="auto"/>
              <w:jc w:val="right"/>
            </w:pPr>
            <w:r w:rsidRPr="00F110F6">
              <w:rPr>
                <w:rStyle w:val="normaltextrun"/>
              </w:rPr>
              <w:t>0</w:t>
            </w:r>
          </w:p>
        </w:tc>
        <w:tc>
          <w:tcPr>
            <w:tcW w:w="838" w:type="dxa"/>
          </w:tcPr>
          <w:p w14:paraId="6EED5D46" w14:textId="0D26EF5D" w:rsidR="007A6856" w:rsidRPr="00F110F6" w:rsidRDefault="007A6856" w:rsidP="002D3A0D">
            <w:pPr>
              <w:pStyle w:val="TableBody0"/>
              <w:spacing w:line="288" w:lineRule="auto"/>
              <w:jc w:val="right"/>
            </w:pPr>
            <w:r w:rsidRPr="00F110F6">
              <w:rPr>
                <w:rStyle w:val="normaltextrun"/>
              </w:rPr>
              <w:t>1,944</w:t>
            </w:r>
          </w:p>
        </w:tc>
      </w:tr>
      <w:tr w:rsidR="007A6856" w:rsidRPr="00F110F6" w14:paraId="61A0269B"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249970C3" w14:textId="77777777" w:rsidR="007A6856" w:rsidRPr="00F110F6" w:rsidRDefault="007A6856" w:rsidP="002D3A0D">
            <w:pPr>
              <w:pStyle w:val="TableBody0"/>
              <w:spacing w:line="288" w:lineRule="auto"/>
            </w:pPr>
            <w:r w:rsidRPr="00F110F6">
              <w:t>SA</w:t>
            </w:r>
          </w:p>
        </w:tc>
        <w:tc>
          <w:tcPr>
            <w:tcW w:w="844" w:type="dxa"/>
          </w:tcPr>
          <w:p w14:paraId="2D87A396" w14:textId="3CAD0703" w:rsidR="007A6856" w:rsidRPr="00F110F6" w:rsidRDefault="007A6856" w:rsidP="002D3A0D">
            <w:pPr>
              <w:pStyle w:val="TableBody0"/>
              <w:spacing w:line="288" w:lineRule="auto"/>
              <w:jc w:val="right"/>
            </w:pPr>
            <w:r w:rsidRPr="00F110F6">
              <w:rPr>
                <w:rStyle w:val="normaltextrun"/>
              </w:rPr>
              <w:t>243</w:t>
            </w:r>
          </w:p>
        </w:tc>
        <w:tc>
          <w:tcPr>
            <w:tcW w:w="844" w:type="dxa"/>
          </w:tcPr>
          <w:p w14:paraId="479B748E" w14:textId="72069CA1" w:rsidR="007A6856" w:rsidRPr="00F110F6" w:rsidRDefault="007A6856" w:rsidP="002D3A0D">
            <w:pPr>
              <w:pStyle w:val="TableBody0"/>
              <w:spacing w:line="288" w:lineRule="auto"/>
              <w:jc w:val="right"/>
            </w:pPr>
            <w:r w:rsidRPr="00F110F6">
              <w:rPr>
                <w:rStyle w:val="normaltextrun"/>
              </w:rPr>
              <w:t>12</w:t>
            </w:r>
          </w:p>
        </w:tc>
        <w:tc>
          <w:tcPr>
            <w:tcW w:w="844" w:type="dxa"/>
          </w:tcPr>
          <w:p w14:paraId="31D334DE" w14:textId="07849345" w:rsidR="007A6856" w:rsidRPr="00F110F6" w:rsidRDefault="007A6856" w:rsidP="002D3A0D">
            <w:pPr>
              <w:pStyle w:val="TableBody0"/>
              <w:spacing w:line="288" w:lineRule="auto"/>
              <w:jc w:val="right"/>
            </w:pPr>
            <w:r w:rsidRPr="00F110F6">
              <w:rPr>
                <w:rStyle w:val="normaltextrun"/>
              </w:rPr>
              <w:t>255</w:t>
            </w:r>
          </w:p>
        </w:tc>
        <w:tc>
          <w:tcPr>
            <w:tcW w:w="844" w:type="dxa"/>
          </w:tcPr>
          <w:p w14:paraId="0E9FF4DB" w14:textId="24864CBA" w:rsidR="007A6856" w:rsidRPr="00F110F6" w:rsidRDefault="007A6856" w:rsidP="002D3A0D">
            <w:pPr>
              <w:pStyle w:val="TableBody0"/>
              <w:spacing w:line="288" w:lineRule="auto"/>
              <w:jc w:val="right"/>
            </w:pPr>
            <w:r w:rsidRPr="00F110F6">
              <w:rPr>
                <w:rStyle w:val="normaltextrun"/>
              </w:rPr>
              <w:t>534</w:t>
            </w:r>
          </w:p>
        </w:tc>
        <w:tc>
          <w:tcPr>
            <w:tcW w:w="844" w:type="dxa"/>
          </w:tcPr>
          <w:p w14:paraId="29811E9F" w14:textId="360708A7" w:rsidR="007A6856" w:rsidRPr="00F110F6" w:rsidRDefault="007A6856" w:rsidP="002D3A0D">
            <w:pPr>
              <w:pStyle w:val="TableBody0"/>
              <w:spacing w:line="288" w:lineRule="auto"/>
              <w:jc w:val="right"/>
            </w:pPr>
            <w:r w:rsidRPr="00F110F6">
              <w:rPr>
                <w:rStyle w:val="normaltextrun"/>
              </w:rPr>
              <w:t>125</w:t>
            </w:r>
          </w:p>
        </w:tc>
        <w:tc>
          <w:tcPr>
            <w:tcW w:w="844" w:type="dxa"/>
          </w:tcPr>
          <w:p w14:paraId="598081EB" w14:textId="4E5958CF" w:rsidR="007A6856" w:rsidRPr="00F110F6" w:rsidRDefault="007A6856" w:rsidP="002D3A0D">
            <w:pPr>
              <w:pStyle w:val="TableBody0"/>
              <w:spacing w:line="288" w:lineRule="auto"/>
              <w:jc w:val="right"/>
            </w:pPr>
            <w:r w:rsidRPr="00F110F6">
              <w:rPr>
                <w:rStyle w:val="normaltextrun"/>
              </w:rPr>
              <w:t>659</w:t>
            </w:r>
          </w:p>
        </w:tc>
        <w:tc>
          <w:tcPr>
            <w:tcW w:w="737" w:type="dxa"/>
          </w:tcPr>
          <w:p w14:paraId="3204EB24" w14:textId="09A2E788" w:rsidR="007A6856" w:rsidRPr="00F110F6" w:rsidRDefault="007A6856" w:rsidP="002D3A0D">
            <w:pPr>
              <w:pStyle w:val="TableBody0"/>
              <w:spacing w:line="288" w:lineRule="auto"/>
              <w:jc w:val="right"/>
            </w:pPr>
            <w:r w:rsidRPr="00F110F6">
              <w:rPr>
                <w:rStyle w:val="normaltextrun"/>
              </w:rPr>
              <w:t>5</w:t>
            </w:r>
          </w:p>
        </w:tc>
        <w:tc>
          <w:tcPr>
            <w:tcW w:w="737" w:type="dxa"/>
          </w:tcPr>
          <w:p w14:paraId="01BD8498" w14:textId="25089162" w:rsidR="007A6856" w:rsidRPr="00F110F6" w:rsidRDefault="007A6856" w:rsidP="002D3A0D">
            <w:pPr>
              <w:pStyle w:val="TableBody0"/>
              <w:spacing w:line="288" w:lineRule="auto"/>
              <w:jc w:val="right"/>
            </w:pPr>
            <w:r w:rsidRPr="00F110F6">
              <w:rPr>
                <w:rStyle w:val="normaltextrun"/>
              </w:rPr>
              <w:t>0</w:t>
            </w:r>
          </w:p>
        </w:tc>
        <w:tc>
          <w:tcPr>
            <w:tcW w:w="567" w:type="dxa"/>
          </w:tcPr>
          <w:p w14:paraId="5E947DC1" w14:textId="47D844B7" w:rsidR="007A6856" w:rsidRPr="00F110F6" w:rsidRDefault="007A6856" w:rsidP="002D3A0D">
            <w:pPr>
              <w:pStyle w:val="TableBody0"/>
              <w:spacing w:line="288" w:lineRule="auto"/>
              <w:jc w:val="right"/>
            </w:pPr>
            <w:r w:rsidRPr="00F110F6">
              <w:rPr>
                <w:rStyle w:val="normaltextrun"/>
              </w:rPr>
              <w:t>5</w:t>
            </w:r>
          </w:p>
        </w:tc>
        <w:tc>
          <w:tcPr>
            <w:tcW w:w="844" w:type="dxa"/>
          </w:tcPr>
          <w:p w14:paraId="01A93A59" w14:textId="0463A312" w:rsidR="007A6856" w:rsidRPr="00F110F6" w:rsidRDefault="007A6856" w:rsidP="002D3A0D">
            <w:pPr>
              <w:pStyle w:val="TableBody0"/>
              <w:spacing w:line="288" w:lineRule="auto"/>
              <w:jc w:val="right"/>
            </w:pPr>
            <w:r w:rsidRPr="00F110F6">
              <w:rPr>
                <w:rStyle w:val="normaltextrun"/>
              </w:rPr>
              <w:t>0</w:t>
            </w:r>
          </w:p>
        </w:tc>
        <w:tc>
          <w:tcPr>
            <w:tcW w:w="844" w:type="dxa"/>
          </w:tcPr>
          <w:p w14:paraId="54301BA8" w14:textId="171721C3" w:rsidR="007A6856" w:rsidRPr="00F110F6" w:rsidRDefault="007A6856" w:rsidP="002D3A0D">
            <w:pPr>
              <w:pStyle w:val="TableBody0"/>
              <w:spacing w:line="288" w:lineRule="auto"/>
              <w:jc w:val="right"/>
            </w:pPr>
            <w:r w:rsidRPr="00F110F6">
              <w:rPr>
                <w:rStyle w:val="normaltextrun"/>
              </w:rPr>
              <w:t>0</w:t>
            </w:r>
          </w:p>
        </w:tc>
        <w:tc>
          <w:tcPr>
            <w:tcW w:w="844" w:type="dxa"/>
          </w:tcPr>
          <w:p w14:paraId="54A1E621" w14:textId="772C07F7" w:rsidR="007A6856" w:rsidRPr="00F110F6" w:rsidRDefault="007A6856" w:rsidP="002D3A0D">
            <w:pPr>
              <w:pStyle w:val="TableBody0"/>
              <w:spacing w:line="288" w:lineRule="auto"/>
              <w:jc w:val="right"/>
            </w:pPr>
            <w:r w:rsidRPr="00F110F6">
              <w:rPr>
                <w:rStyle w:val="normaltextrun"/>
              </w:rPr>
              <w:t>0</w:t>
            </w:r>
          </w:p>
        </w:tc>
        <w:tc>
          <w:tcPr>
            <w:tcW w:w="844" w:type="dxa"/>
          </w:tcPr>
          <w:p w14:paraId="62066D15" w14:textId="313DCE93" w:rsidR="007A6856" w:rsidRPr="00F110F6" w:rsidRDefault="007A6856" w:rsidP="002D3A0D">
            <w:pPr>
              <w:pStyle w:val="TableBody0"/>
              <w:spacing w:line="288" w:lineRule="auto"/>
              <w:jc w:val="right"/>
            </w:pPr>
            <w:r w:rsidRPr="00F110F6">
              <w:rPr>
                <w:rStyle w:val="normaltextrun"/>
              </w:rPr>
              <w:t>0</w:t>
            </w:r>
          </w:p>
        </w:tc>
        <w:tc>
          <w:tcPr>
            <w:tcW w:w="850" w:type="dxa"/>
          </w:tcPr>
          <w:p w14:paraId="2B93AA74" w14:textId="77AB4BB5" w:rsidR="007A6856" w:rsidRPr="00F110F6" w:rsidRDefault="007A6856" w:rsidP="002D3A0D">
            <w:pPr>
              <w:pStyle w:val="TableBody0"/>
              <w:spacing w:line="288" w:lineRule="auto"/>
              <w:jc w:val="right"/>
            </w:pPr>
            <w:r w:rsidRPr="00F110F6">
              <w:rPr>
                <w:rStyle w:val="normaltextrun"/>
              </w:rPr>
              <w:t>0</w:t>
            </w:r>
          </w:p>
        </w:tc>
        <w:tc>
          <w:tcPr>
            <w:tcW w:w="850" w:type="dxa"/>
          </w:tcPr>
          <w:p w14:paraId="5AFEE63A" w14:textId="70DDC398" w:rsidR="007A6856" w:rsidRPr="00F110F6" w:rsidRDefault="007A6856" w:rsidP="002D3A0D">
            <w:pPr>
              <w:pStyle w:val="TableBody0"/>
              <w:spacing w:line="288" w:lineRule="auto"/>
              <w:jc w:val="right"/>
            </w:pPr>
            <w:r w:rsidRPr="00F110F6">
              <w:rPr>
                <w:rStyle w:val="normaltextrun"/>
              </w:rPr>
              <w:t>0</w:t>
            </w:r>
          </w:p>
        </w:tc>
        <w:tc>
          <w:tcPr>
            <w:tcW w:w="838" w:type="dxa"/>
          </w:tcPr>
          <w:p w14:paraId="7FD320D9" w14:textId="4F4F191E" w:rsidR="007A6856" w:rsidRPr="00F110F6" w:rsidRDefault="007A6856" w:rsidP="002D3A0D">
            <w:pPr>
              <w:pStyle w:val="TableBody0"/>
              <w:spacing w:line="288" w:lineRule="auto"/>
              <w:jc w:val="right"/>
            </w:pPr>
            <w:r w:rsidRPr="00F110F6">
              <w:rPr>
                <w:rStyle w:val="normaltextrun"/>
              </w:rPr>
              <w:t>919</w:t>
            </w:r>
          </w:p>
        </w:tc>
      </w:tr>
      <w:tr w:rsidR="007A6856" w:rsidRPr="00F110F6" w14:paraId="5714E361"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57F5F939" w14:textId="77777777" w:rsidR="007A6856" w:rsidRPr="00F110F6" w:rsidRDefault="007A6856" w:rsidP="002D3A0D">
            <w:pPr>
              <w:pStyle w:val="TableBody0"/>
              <w:spacing w:line="288" w:lineRule="auto"/>
            </w:pPr>
            <w:r w:rsidRPr="00F110F6">
              <w:t>Tas</w:t>
            </w:r>
          </w:p>
        </w:tc>
        <w:tc>
          <w:tcPr>
            <w:tcW w:w="844" w:type="dxa"/>
          </w:tcPr>
          <w:p w14:paraId="1266F5A6" w14:textId="03F1612E" w:rsidR="007A6856" w:rsidRPr="00F110F6" w:rsidRDefault="007A6856" w:rsidP="002D3A0D">
            <w:pPr>
              <w:pStyle w:val="TableBody0"/>
              <w:spacing w:line="288" w:lineRule="auto"/>
              <w:jc w:val="right"/>
            </w:pPr>
            <w:r w:rsidRPr="00F110F6">
              <w:rPr>
                <w:rStyle w:val="normaltextrun"/>
              </w:rPr>
              <w:t>40</w:t>
            </w:r>
          </w:p>
        </w:tc>
        <w:tc>
          <w:tcPr>
            <w:tcW w:w="844" w:type="dxa"/>
          </w:tcPr>
          <w:p w14:paraId="12EA9109" w14:textId="21FDD462" w:rsidR="007A6856" w:rsidRPr="00F110F6" w:rsidRDefault="007A6856" w:rsidP="002D3A0D">
            <w:pPr>
              <w:pStyle w:val="TableBody0"/>
              <w:spacing w:line="288" w:lineRule="auto"/>
              <w:jc w:val="right"/>
            </w:pPr>
            <w:r w:rsidRPr="00F110F6">
              <w:rPr>
                <w:rStyle w:val="normaltextrun"/>
              </w:rPr>
              <w:t>6</w:t>
            </w:r>
          </w:p>
        </w:tc>
        <w:tc>
          <w:tcPr>
            <w:tcW w:w="844" w:type="dxa"/>
          </w:tcPr>
          <w:p w14:paraId="4BCAD4CB" w14:textId="68E7EB8E" w:rsidR="007A6856" w:rsidRPr="00F110F6" w:rsidRDefault="007A6856" w:rsidP="002D3A0D">
            <w:pPr>
              <w:pStyle w:val="TableBody0"/>
              <w:spacing w:line="288" w:lineRule="auto"/>
              <w:jc w:val="right"/>
            </w:pPr>
            <w:r w:rsidRPr="00F110F6">
              <w:rPr>
                <w:rStyle w:val="normaltextrun"/>
              </w:rPr>
              <w:t>46</w:t>
            </w:r>
          </w:p>
        </w:tc>
        <w:tc>
          <w:tcPr>
            <w:tcW w:w="844" w:type="dxa"/>
          </w:tcPr>
          <w:p w14:paraId="3F52575F" w14:textId="1127F076" w:rsidR="007A6856" w:rsidRPr="00F110F6" w:rsidRDefault="007A6856" w:rsidP="002D3A0D">
            <w:pPr>
              <w:pStyle w:val="TableBody0"/>
              <w:spacing w:line="288" w:lineRule="auto"/>
              <w:jc w:val="right"/>
            </w:pPr>
            <w:r w:rsidRPr="00F110F6">
              <w:rPr>
                <w:rStyle w:val="normaltextrun"/>
              </w:rPr>
              <w:t>87</w:t>
            </w:r>
          </w:p>
        </w:tc>
        <w:tc>
          <w:tcPr>
            <w:tcW w:w="844" w:type="dxa"/>
          </w:tcPr>
          <w:p w14:paraId="54EEB95E" w14:textId="360676D7" w:rsidR="007A6856" w:rsidRPr="00F110F6" w:rsidRDefault="007A6856" w:rsidP="002D3A0D">
            <w:pPr>
              <w:pStyle w:val="TableBody0"/>
              <w:spacing w:line="288" w:lineRule="auto"/>
              <w:jc w:val="right"/>
            </w:pPr>
            <w:r w:rsidRPr="00F110F6">
              <w:rPr>
                <w:rStyle w:val="normaltextrun"/>
              </w:rPr>
              <w:t>21</w:t>
            </w:r>
          </w:p>
        </w:tc>
        <w:tc>
          <w:tcPr>
            <w:tcW w:w="844" w:type="dxa"/>
          </w:tcPr>
          <w:p w14:paraId="654A2D87" w14:textId="4865030C" w:rsidR="007A6856" w:rsidRPr="00F110F6" w:rsidRDefault="007A6856" w:rsidP="002D3A0D">
            <w:pPr>
              <w:pStyle w:val="TableBody0"/>
              <w:spacing w:line="288" w:lineRule="auto"/>
              <w:jc w:val="right"/>
            </w:pPr>
            <w:r w:rsidRPr="00F110F6">
              <w:rPr>
                <w:rStyle w:val="normaltextrun"/>
              </w:rPr>
              <w:t>108</w:t>
            </w:r>
          </w:p>
        </w:tc>
        <w:tc>
          <w:tcPr>
            <w:tcW w:w="737" w:type="dxa"/>
          </w:tcPr>
          <w:p w14:paraId="69C180D6" w14:textId="38686D0F" w:rsidR="007A6856" w:rsidRPr="00F110F6" w:rsidRDefault="007A6856" w:rsidP="002D3A0D">
            <w:pPr>
              <w:pStyle w:val="TableBody0"/>
              <w:spacing w:line="288" w:lineRule="auto"/>
              <w:jc w:val="right"/>
            </w:pPr>
            <w:r w:rsidRPr="00F110F6">
              <w:rPr>
                <w:rStyle w:val="normaltextrun"/>
              </w:rPr>
              <w:t>1</w:t>
            </w:r>
          </w:p>
        </w:tc>
        <w:tc>
          <w:tcPr>
            <w:tcW w:w="737" w:type="dxa"/>
          </w:tcPr>
          <w:p w14:paraId="3F78880E" w14:textId="79D41E7A" w:rsidR="007A6856" w:rsidRPr="00F110F6" w:rsidRDefault="007A6856" w:rsidP="002D3A0D">
            <w:pPr>
              <w:pStyle w:val="TableBody0"/>
              <w:spacing w:line="288" w:lineRule="auto"/>
              <w:jc w:val="right"/>
            </w:pPr>
            <w:r w:rsidRPr="00F110F6">
              <w:rPr>
                <w:rStyle w:val="normaltextrun"/>
              </w:rPr>
              <w:t>0</w:t>
            </w:r>
          </w:p>
        </w:tc>
        <w:tc>
          <w:tcPr>
            <w:tcW w:w="567" w:type="dxa"/>
          </w:tcPr>
          <w:p w14:paraId="0E0853A9" w14:textId="5A3AA424" w:rsidR="007A6856" w:rsidRPr="00F110F6" w:rsidRDefault="007A6856" w:rsidP="002D3A0D">
            <w:pPr>
              <w:pStyle w:val="TableBody0"/>
              <w:spacing w:line="288" w:lineRule="auto"/>
              <w:jc w:val="right"/>
            </w:pPr>
            <w:r w:rsidRPr="00F110F6">
              <w:rPr>
                <w:rStyle w:val="normaltextrun"/>
              </w:rPr>
              <w:t>1</w:t>
            </w:r>
          </w:p>
        </w:tc>
        <w:tc>
          <w:tcPr>
            <w:tcW w:w="844" w:type="dxa"/>
          </w:tcPr>
          <w:p w14:paraId="707E3450" w14:textId="17CE9578" w:rsidR="007A6856" w:rsidRPr="00F110F6" w:rsidRDefault="007A6856" w:rsidP="002D3A0D">
            <w:pPr>
              <w:pStyle w:val="TableBody0"/>
              <w:spacing w:line="288" w:lineRule="auto"/>
              <w:jc w:val="right"/>
            </w:pPr>
            <w:r w:rsidRPr="00F110F6">
              <w:rPr>
                <w:rStyle w:val="normaltextrun"/>
              </w:rPr>
              <w:t>0</w:t>
            </w:r>
          </w:p>
        </w:tc>
        <w:tc>
          <w:tcPr>
            <w:tcW w:w="844" w:type="dxa"/>
          </w:tcPr>
          <w:p w14:paraId="34A9CA90" w14:textId="08AC9A70" w:rsidR="007A6856" w:rsidRPr="00F110F6" w:rsidRDefault="007A6856" w:rsidP="002D3A0D">
            <w:pPr>
              <w:pStyle w:val="TableBody0"/>
              <w:spacing w:line="288" w:lineRule="auto"/>
              <w:jc w:val="right"/>
            </w:pPr>
            <w:r w:rsidRPr="00F110F6">
              <w:rPr>
                <w:rStyle w:val="normaltextrun"/>
              </w:rPr>
              <w:t>0</w:t>
            </w:r>
          </w:p>
        </w:tc>
        <w:tc>
          <w:tcPr>
            <w:tcW w:w="844" w:type="dxa"/>
          </w:tcPr>
          <w:p w14:paraId="70CCC68F" w14:textId="076B1E40" w:rsidR="007A6856" w:rsidRPr="00F110F6" w:rsidRDefault="007A6856" w:rsidP="002D3A0D">
            <w:pPr>
              <w:pStyle w:val="TableBody0"/>
              <w:spacing w:line="288" w:lineRule="auto"/>
              <w:jc w:val="right"/>
            </w:pPr>
            <w:r w:rsidRPr="00F110F6">
              <w:rPr>
                <w:rStyle w:val="normaltextrun"/>
              </w:rPr>
              <w:t>0</w:t>
            </w:r>
          </w:p>
        </w:tc>
        <w:tc>
          <w:tcPr>
            <w:tcW w:w="844" w:type="dxa"/>
          </w:tcPr>
          <w:p w14:paraId="7AEA4A64" w14:textId="20251488" w:rsidR="007A6856" w:rsidRPr="00F110F6" w:rsidRDefault="007A6856" w:rsidP="002D3A0D">
            <w:pPr>
              <w:pStyle w:val="TableBody0"/>
              <w:spacing w:line="288" w:lineRule="auto"/>
              <w:jc w:val="right"/>
            </w:pPr>
            <w:r w:rsidRPr="00F110F6">
              <w:rPr>
                <w:rStyle w:val="normaltextrun"/>
              </w:rPr>
              <w:t>0</w:t>
            </w:r>
          </w:p>
        </w:tc>
        <w:tc>
          <w:tcPr>
            <w:tcW w:w="850" w:type="dxa"/>
          </w:tcPr>
          <w:p w14:paraId="0934D4A5" w14:textId="0D508D75" w:rsidR="007A6856" w:rsidRPr="00F110F6" w:rsidRDefault="007A6856" w:rsidP="002D3A0D">
            <w:pPr>
              <w:pStyle w:val="TableBody0"/>
              <w:spacing w:line="288" w:lineRule="auto"/>
              <w:jc w:val="right"/>
            </w:pPr>
            <w:r w:rsidRPr="00F110F6">
              <w:rPr>
                <w:rStyle w:val="normaltextrun"/>
              </w:rPr>
              <w:t>0</w:t>
            </w:r>
          </w:p>
        </w:tc>
        <w:tc>
          <w:tcPr>
            <w:tcW w:w="850" w:type="dxa"/>
          </w:tcPr>
          <w:p w14:paraId="4ACE6A39" w14:textId="2BA76517" w:rsidR="007A6856" w:rsidRPr="00F110F6" w:rsidRDefault="007A6856" w:rsidP="002D3A0D">
            <w:pPr>
              <w:pStyle w:val="TableBody0"/>
              <w:spacing w:line="288" w:lineRule="auto"/>
              <w:jc w:val="right"/>
            </w:pPr>
            <w:r w:rsidRPr="00F110F6">
              <w:rPr>
                <w:rStyle w:val="normaltextrun"/>
              </w:rPr>
              <w:t>0</w:t>
            </w:r>
          </w:p>
        </w:tc>
        <w:tc>
          <w:tcPr>
            <w:tcW w:w="838" w:type="dxa"/>
          </w:tcPr>
          <w:p w14:paraId="6BCDF3F5" w14:textId="7C5AC1FC" w:rsidR="007A6856" w:rsidRPr="00F110F6" w:rsidRDefault="007A6856" w:rsidP="002D3A0D">
            <w:pPr>
              <w:pStyle w:val="TableBody0"/>
              <w:spacing w:line="288" w:lineRule="auto"/>
              <w:jc w:val="right"/>
            </w:pPr>
            <w:r w:rsidRPr="00F110F6">
              <w:rPr>
                <w:rStyle w:val="normaltextrun"/>
              </w:rPr>
              <w:t>155</w:t>
            </w:r>
          </w:p>
        </w:tc>
      </w:tr>
      <w:tr w:rsidR="007A6856" w:rsidRPr="00F110F6" w14:paraId="1C50DA7C"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5763F74C" w14:textId="77777777" w:rsidR="007A6856" w:rsidRPr="00F110F6" w:rsidRDefault="007A6856" w:rsidP="002D3A0D">
            <w:pPr>
              <w:pStyle w:val="TableBody0"/>
              <w:spacing w:line="288" w:lineRule="auto"/>
            </w:pPr>
            <w:r w:rsidRPr="00F110F6">
              <w:t>Vic</w:t>
            </w:r>
          </w:p>
        </w:tc>
        <w:tc>
          <w:tcPr>
            <w:tcW w:w="844" w:type="dxa"/>
          </w:tcPr>
          <w:p w14:paraId="31131080" w14:textId="7D425552" w:rsidR="007A6856" w:rsidRPr="00F110F6" w:rsidRDefault="007A6856" w:rsidP="002D3A0D">
            <w:pPr>
              <w:pStyle w:val="TableBody0"/>
              <w:spacing w:line="288" w:lineRule="auto"/>
              <w:jc w:val="right"/>
            </w:pPr>
            <w:r w:rsidRPr="00F110F6">
              <w:rPr>
                <w:rStyle w:val="normaltextrun"/>
              </w:rPr>
              <w:t>970</w:t>
            </w:r>
          </w:p>
        </w:tc>
        <w:tc>
          <w:tcPr>
            <w:tcW w:w="844" w:type="dxa"/>
          </w:tcPr>
          <w:p w14:paraId="436CDBF0" w14:textId="068A7A77" w:rsidR="007A6856" w:rsidRPr="00F110F6" w:rsidRDefault="007A6856" w:rsidP="002D3A0D">
            <w:pPr>
              <w:pStyle w:val="TableBody0"/>
              <w:spacing w:line="288" w:lineRule="auto"/>
              <w:jc w:val="right"/>
            </w:pPr>
            <w:r w:rsidRPr="00F110F6">
              <w:rPr>
                <w:rStyle w:val="normaltextrun"/>
              </w:rPr>
              <w:t>54</w:t>
            </w:r>
          </w:p>
        </w:tc>
        <w:tc>
          <w:tcPr>
            <w:tcW w:w="844" w:type="dxa"/>
          </w:tcPr>
          <w:p w14:paraId="423E4D12" w14:textId="7B9702CC" w:rsidR="007A6856" w:rsidRPr="00F110F6" w:rsidRDefault="007A6856" w:rsidP="002D3A0D">
            <w:pPr>
              <w:pStyle w:val="TableBody0"/>
              <w:spacing w:line="288" w:lineRule="auto"/>
              <w:jc w:val="right"/>
            </w:pPr>
            <w:r w:rsidRPr="00F110F6">
              <w:rPr>
                <w:rStyle w:val="normaltextrun"/>
              </w:rPr>
              <w:t>1,024</w:t>
            </w:r>
          </w:p>
        </w:tc>
        <w:tc>
          <w:tcPr>
            <w:tcW w:w="844" w:type="dxa"/>
          </w:tcPr>
          <w:p w14:paraId="6B1F7EEF" w14:textId="1F837C8B" w:rsidR="007A6856" w:rsidRPr="00F110F6" w:rsidRDefault="007A6856" w:rsidP="002D3A0D">
            <w:pPr>
              <w:pStyle w:val="TableBody0"/>
              <w:spacing w:line="288" w:lineRule="auto"/>
              <w:jc w:val="right"/>
            </w:pPr>
            <w:r w:rsidRPr="00F110F6">
              <w:rPr>
                <w:rStyle w:val="normaltextrun"/>
              </w:rPr>
              <w:t>2,024</w:t>
            </w:r>
          </w:p>
        </w:tc>
        <w:tc>
          <w:tcPr>
            <w:tcW w:w="844" w:type="dxa"/>
          </w:tcPr>
          <w:p w14:paraId="32557709" w14:textId="16D863BF" w:rsidR="007A6856" w:rsidRPr="00F110F6" w:rsidRDefault="007A6856" w:rsidP="002D3A0D">
            <w:pPr>
              <w:pStyle w:val="TableBody0"/>
              <w:spacing w:line="288" w:lineRule="auto"/>
              <w:jc w:val="right"/>
            </w:pPr>
            <w:r w:rsidRPr="00F110F6">
              <w:rPr>
                <w:rStyle w:val="normaltextrun"/>
              </w:rPr>
              <w:t>398</w:t>
            </w:r>
          </w:p>
        </w:tc>
        <w:tc>
          <w:tcPr>
            <w:tcW w:w="844" w:type="dxa"/>
          </w:tcPr>
          <w:p w14:paraId="13C45071" w14:textId="684ED053" w:rsidR="007A6856" w:rsidRPr="00F110F6" w:rsidRDefault="007A6856" w:rsidP="002D3A0D">
            <w:pPr>
              <w:pStyle w:val="TableBody0"/>
              <w:spacing w:line="288" w:lineRule="auto"/>
              <w:jc w:val="right"/>
            </w:pPr>
            <w:r w:rsidRPr="00F110F6">
              <w:rPr>
                <w:rStyle w:val="normaltextrun"/>
              </w:rPr>
              <w:t>2,422</w:t>
            </w:r>
          </w:p>
        </w:tc>
        <w:tc>
          <w:tcPr>
            <w:tcW w:w="737" w:type="dxa"/>
          </w:tcPr>
          <w:p w14:paraId="6D4EAD0E" w14:textId="54D8D31E" w:rsidR="007A6856" w:rsidRPr="00F110F6" w:rsidRDefault="007A6856" w:rsidP="002D3A0D">
            <w:pPr>
              <w:pStyle w:val="TableBody0"/>
              <w:spacing w:line="288" w:lineRule="auto"/>
              <w:jc w:val="right"/>
            </w:pPr>
            <w:r w:rsidRPr="00F110F6">
              <w:rPr>
                <w:rStyle w:val="normaltextrun"/>
              </w:rPr>
              <w:t>22</w:t>
            </w:r>
          </w:p>
        </w:tc>
        <w:tc>
          <w:tcPr>
            <w:tcW w:w="737" w:type="dxa"/>
          </w:tcPr>
          <w:p w14:paraId="7E51E027" w14:textId="5B27578C" w:rsidR="007A6856" w:rsidRPr="00F110F6" w:rsidRDefault="007A6856" w:rsidP="002D3A0D">
            <w:pPr>
              <w:pStyle w:val="TableBody0"/>
              <w:spacing w:line="288" w:lineRule="auto"/>
              <w:jc w:val="right"/>
            </w:pPr>
            <w:r w:rsidRPr="00F110F6">
              <w:rPr>
                <w:rStyle w:val="normaltextrun"/>
              </w:rPr>
              <w:t>0</w:t>
            </w:r>
          </w:p>
        </w:tc>
        <w:tc>
          <w:tcPr>
            <w:tcW w:w="567" w:type="dxa"/>
          </w:tcPr>
          <w:p w14:paraId="261131EE" w14:textId="42CFB846" w:rsidR="007A6856" w:rsidRPr="00F110F6" w:rsidRDefault="007A6856" w:rsidP="002D3A0D">
            <w:pPr>
              <w:pStyle w:val="TableBody0"/>
              <w:spacing w:line="288" w:lineRule="auto"/>
              <w:jc w:val="right"/>
            </w:pPr>
            <w:r w:rsidRPr="00F110F6">
              <w:rPr>
                <w:rStyle w:val="normaltextrun"/>
              </w:rPr>
              <w:t>22</w:t>
            </w:r>
          </w:p>
        </w:tc>
        <w:tc>
          <w:tcPr>
            <w:tcW w:w="844" w:type="dxa"/>
          </w:tcPr>
          <w:p w14:paraId="7CB53161" w14:textId="1459B5CC" w:rsidR="007A6856" w:rsidRPr="00F110F6" w:rsidRDefault="007A6856" w:rsidP="002D3A0D">
            <w:pPr>
              <w:pStyle w:val="TableBody0"/>
              <w:spacing w:line="288" w:lineRule="auto"/>
              <w:jc w:val="right"/>
            </w:pPr>
            <w:r w:rsidRPr="00F110F6">
              <w:rPr>
                <w:rStyle w:val="normaltextrun"/>
              </w:rPr>
              <w:t>0</w:t>
            </w:r>
          </w:p>
        </w:tc>
        <w:tc>
          <w:tcPr>
            <w:tcW w:w="844" w:type="dxa"/>
          </w:tcPr>
          <w:p w14:paraId="4E343FBD" w14:textId="664D490D" w:rsidR="007A6856" w:rsidRPr="00F110F6" w:rsidRDefault="007A6856" w:rsidP="002D3A0D">
            <w:pPr>
              <w:pStyle w:val="TableBody0"/>
              <w:spacing w:line="288" w:lineRule="auto"/>
              <w:jc w:val="right"/>
            </w:pPr>
            <w:r w:rsidRPr="00F110F6">
              <w:rPr>
                <w:rStyle w:val="normaltextrun"/>
              </w:rPr>
              <w:t>0</w:t>
            </w:r>
          </w:p>
        </w:tc>
        <w:tc>
          <w:tcPr>
            <w:tcW w:w="844" w:type="dxa"/>
          </w:tcPr>
          <w:p w14:paraId="457E05E9" w14:textId="5B1ACDC0" w:rsidR="007A6856" w:rsidRPr="00F110F6" w:rsidRDefault="007A6856" w:rsidP="002D3A0D">
            <w:pPr>
              <w:pStyle w:val="TableBody0"/>
              <w:spacing w:line="288" w:lineRule="auto"/>
              <w:jc w:val="right"/>
            </w:pPr>
            <w:r w:rsidRPr="00F110F6">
              <w:rPr>
                <w:rStyle w:val="normaltextrun"/>
              </w:rPr>
              <w:t>0</w:t>
            </w:r>
          </w:p>
        </w:tc>
        <w:tc>
          <w:tcPr>
            <w:tcW w:w="844" w:type="dxa"/>
          </w:tcPr>
          <w:p w14:paraId="0EB583BB" w14:textId="0BEDD2E4" w:rsidR="007A6856" w:rsidRPr="00F110F6" w:rsidRDefault="007A6856" w:rsidP="002D3A0D">
            <w:pPr>
              <w:pStyle w:val="TableBody0"/>
              <w:spacing w:line="288" w:lineRule="auto"/>
              <w:jc w:val="right"/>
            </w:pPr>
            <w:r w:rsidRPr="00F110F6">
              <w:rPr>
                <w:rStyle w:val="normaltextrun"/>
              </w:rPr>
              <w:t>0</w:t>
            </w:r>
          </w:p>
        </w:tc>
        <w:tc>
          <w:tcPr>
            <w:tcW w:w="850" w:type="dxa"/>
          </w:tcPr>
          <w:p w14:paraId="648B465E" w14:textId="0FF423F3" w:rsidR="007A6856" w:rsidRPr="00F110F6" w:rsidRDefault="007A6856" w:rsidP="002D3A0D">
            <w:pPr>
              <w:pStyle w:val="TableBody0"/>
              <w:spacing w:line="288" w:lineRule="auto"/>
              <w:jc w:val="right"/>
            </w:pPr>
            <w:r w:rsidRPr="00F110F6">
              <w:rPr>
                <w:rStyle w:val="normaltextrun"/>
              </w:rPr>
              <w:t>0</w:t>
            </w:r>
          </w:p>
        </w:tc>
        <w:tc>
          <w:tcPr>
            <w:tcW w:w="850" w:type="dxa"/>
          </w:tcPr>
          <w:p w14:paraId="4E176F25" w14:textId="528201E1" w:rsidR="007A6856" w:rsidRPr="00F110F6" w:rsidRDefault="007A6856" w:rsidP="002D3A0D">
            <w:pPr>
              <w:pStyle w:val="TableBody0"/>
              <w:spacing w:line="288" w:lineRule="auto"/>
              <w:jc w:val="right"/>
            </w:pPr>
            <w:r w:rsidRPr="00F110F6">
              <w:rPr>
                <w:rStyle w:val="normaltextrun"/>
              </w:rPr>
              <w:t>0</w:t>
            </w:r>
          </w:p>
        </w:tc>
        <w:tc>
          <w:tcPr>
            <w:tcW w:w="838" w:type="dxa"/>
          </w:tcPr>
          <w:p w14:paraId="740FC6F7" w14:textId="50EEDB94" w:rsidR="007A6856" w:rsidRPr="00F110F6" w:rsidRDefault="007A6856" w:rsidP="002D3A0D">
            <w:pPr>
              <w:pStyle w:val="TableBody0"/>
              <w:spacing w:line="288" w:lineRule="auto"/>
              <w:jc w:val="right"/>
            </w:pPr>
            <w:r w:rsidRPr="00F110F6">
              <w:rPr>
                <w:rStyle w:val="normaltextrun"/>
              </w:rPr>
              <w:t>3,468</w:t>
            </w:r>
          </w:p>
        </w:tc>
      </w:tr>
      <w:tr w:rsidR="007A6856" w:rsidRPr="00F110F6" w14:paraId="4C832AFC"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64DA781F" w14:textId="77777777" w:rsidR="007A6856" w:rsidRPr="00F110F6" w:rsidRDefault="007A6856" w:rsidP="002D3A0D">
            <w:pPr>
              <w:pStyle w:val="TableBody0"/>
              <w:spacing w:line="288" w:lineRule="auto"/>
            </w:pPr>
            <w:r w:rsidRPr="00F110F6">
              <w:t>WA</w:t>
            </w:r>
          </w:p>
        </w:tc>
        <w:tc>
          <w:tcPr>
            <w:tcW w:w="844" w:type="dxa"/>
          </w:tcPr>
          <w:p w14:paraId="2C3F3C7E" w14:textId="16042788" w:rsidR="007A6856" w:rsidRPr="00F110F6" w:rsidRDefault="007A6856" w:rsidP="002D3A0D">
            <w:pPr>
              <w:pStyle w:val="TableBody0"/>
              <w:spacing w:line="288" w:lineRule="auto"/>
              <w:jc w:val="right"/>
            </w:pPr>
            <w:r w:rsidRPr="00F110F6">
              <w:rPr>
                <w:rStyle w:val="normaltextrun"/>
              </w:rPr>
              <w:t>182</w:t>
            </w:r>
          </w:p>
        </w:tc>
        <w:tc>
          <w:tcPr>
            <w:tcW w:w="844" w:type="dxa"/>
          </w:tcPr>
          <w:p w14:paraId="11007196" w14:textId="4066E6FF" w:rsidR="007A6856" w:rsidRPr="00F110F6" w:rsidRDefault="007A6856" w:rsidP="002D3A0D">
            <w:pPr>
              <w:pStyle w:val="TableBody0"/>
              <w:spacing w:line="288" w:lineRule="auto"/>
              <w:jc w:val="right"/>
            </w:pPr>
            <w:r w:rsidRPr="00F110F6">
              <w:rPr>
                <w:rStyle w:val="normaltextrun"/>
              </w:rPr>
              <w:t>14</w:t>
            </w:r>
          </w:p>
        </w:tc>
        <w:tc>
          <w:tcPr>
            <w:tcW w:w="844" w:type="dxa"/>
          </w:tcPr>
          <w:p w14:paraId="591249BA" w14:textId="7018D515" w:rsidR="007A6856" w:rsidRPr="00F110F6" w:rsidRDefault="007A6856" w:rsidP="002D3A0D">
            <w:pPr>
              <w:pStyle w:val="TableBody0"/>
              <w:spacing w:line="288" w:lineRule="auto"/>
              <w:jc w:val="right"/>
            </w:pPr>
            <w:r w:rsidRPr="00F110F6">
              <w:rPr>
                <w:rStyle w:val="normaltextrun"/>
              </w:rPr>
              <w:t>196</w:t>
            </w:r>
          </w:p>
        </w:tc>
        <w:tc>
          <w:tcPr>
            <w:tcW w:w="844" w:type="dxa"/>
          </w:tcPr>
          <w:p w14:paraId="2DA3544A" w14:textId="33B52C1F" w:rsidR="007A6856" w:rsidRPr="00F110F6" w:rsidRDefault="007A6856" w:rsidP="002D3A0D">
            <w:pPr>
              <w:pStyle w:val="TableBody0"/>
              <w:spacing w:line="288" w:lineRule="auto"/>
              <w:jc w:val="right"/>
            </w:pPr>
            <w:r w:rsidRPr="00F110F6">
              <w:rPr>
                <w:rStyle w:val="normaltextrun"/>
              </w:rPr>
              <w:t>432</w:t>
            </w:r>
          </w:p>
        </w:tc>
        <w:tc>
          <w:tcPr>
            <w:tcW w:w="844" w:type="dxa"/>
          </w:tcPr>
          <w:p w14:paraId="6DE56E0D" w14:textId="24A123F4" w:rsidR="007A6856" w:rsidRPr="00F110F6" w:rsidRDefault="007A6856" w:rsidP="002D3A0D">
            <w:pPr>
              <w:pStyle w:val="TableBody0"/>
              <w:spacing w:line="288" w:lineRule="auto"/>
              <w:jc w:val="right"/>
            </w:pPr>
            <w:r w:rsidRPr="00F110F6">
              <w:rPr>
                <w:rStyle w:val="normaltextrun"/>
              </w:rPr>
              <w:t>81</w:t>
            </w:r>
          </w:p>
        </w:tc>
        <w:tc>
          <w:tcPr>
            <w:tcW w:w="844" w:type="dxa"/>
          </w:tcPr>
          <w:p w14:paraId="15BBDA64" w14:textId="3011C76D" w:rsidR="007A6856" w:rsidRPr="00F110F6" w:rsidRDefault="007A6856" w:rsidP="002D3A0D">
            <w:pPr>
              <w:pStyle w:val="TableBody0"/>
              <w:spacing w:line="288" w:lineRule="auto"/>
              <w:jc w:val="right"/>
            </w:pPr>
            <w:r w:rsidRPr="00F110F6">
              <w:rPr>
                <w:rStyle w:val="normaltextrun"/>
              </w:rPr>
              <w:t>513</w:t>
            </w:r>
          </w:p>
        </w:tc>
        <w:tc>
          <w:tcPr>
            <w:tcW w:w="737" w:type="dxa"/>
          </w:tcPr>
          <w:p w14:paraId="62B5F6EF" w14:textId="68D33900" w:rsidR="007A6856" w:rsidRPr="00F110F6" w:rsidRDefault="007A6856" w:rsidP="002D3A0D">
            <w:pPr>
              <w:pStyle w:val="TableBody0"/>
              <w:spacing w:line="288" w:lineRule="auto"/>
              <w:jc w:val="right"/>
            </w:pPr>
            <w:r w:rsidRPr="00F110F6">
              <w:rPr>
                <w:rStyle w:val="normaltextrun"/>
              </w:rPr>
              <w:t>2</w:t>
            </w:r>
          </w:p>
        </w:tc>
        <w:tc>
          <w:tcPr>
            <w:tcW w:w="737" w:type="dxa"/>
          </w:tcPr>
          <w:p w14:paraId="79CF0909" w14:textId="72DE3B1A" w:rsidR="007A6856" w:rsidRPr="00F110F6" w:rsidRDefault="007A6856" w:rsidP="002D3A0D">
            <w:pPr>
              <w:pStyle w:val="TableBody0"/>
              <w:spacing w:line="288" w:lineRule="auto"/>
              <w:jc w:val="right"/>
            </w:pPr>
            <w:r w:rsidRPr="00F110F6">
              <w:rPr>
                <w:rStyle w:val="normaltextrun"/>
              </w:rPr>
              <w:t>0</w:t>
            </w:r>
          </w:p>
        </w:tc>
        <w:tc>
          <w:tcPr>
            <w:tcW w:w="567" w:type="dxa"/>
          </w:tcPr>
          <w:p w14:paraId="169A92C9" w14:textId="2FB94F25" w:rsidR="007A6856" w:rsidRPr="00F110F6" w:rsidRDefault="007A6856" w:rsidP="002D3A0D">
            <w:pPr>
              <w:pStyle w:val="TableBody0"/>
              <w:spacing w:line="288" w:lineRule="auto"/>
              <w:jc w:val="right"/>
            </w:pPr>
            <w:r w:rsidRPr="00F110F6">
              <w:rPr>
                <w:rStyle w:val="normaltextrun"/>
              </w:rPr>
              <w:t>2</w:t>
            </w:r>
          </w:p>
        </w:tc>
        <w:tc>
          <w:tcPr>
            <w:tcW w:w="844" w:type="dxa"/>
          </w:tcPr>
          <w:p w14:paraId="42FDEDE1" w14:textId="5520CF74" w:rsidR="007A6856" w:rsidRPr="00F110F6" w:rsidRDefault="007A6856" w:rsidP="002D3A0D">
            <w:pPr>
              <w:pStyle w:val="TableBody0"/>
              <w:spacing w:line="288" w:lineRule="auto"/>
              <w:jc w:val="right"/>
            </w:pPr>
            <w:r w:rsidRPr="00F110F6">
              <w:rPr>
                <w:rStyle w:val="normaltextrun"/>
              </w:rPr>
              <w:t>0</w:t>
            </w:r>
          </w:p>
        </w:tc>
        <w:tc>
          <w:tcPr>
            <w:tcW w:w="844" w:type="dxa"/>
          </w:tcPr>
          <w:p w14:paraId="229BA7CF" w14:textId="156B635B" w:rsidR="007A6856" w:rsidRPr="00F110F6" w:rsidRDefault="007A6856" w:rsidP="002D3A0D">
            <w:pPr>
              <w:pStyle w:val="TableBody0"/>
              <w:spacing w:line="288" w:lineRule="auto"/>
              <w:jc w:val="right"/>
            </w:pPr>
            <w:r w:rsidRPr="00F110F6">
              <w:rPr>
                <w:rStyle w:val="normaltextrun"/>
              </w:rPr>
              <w:t>0</w:t>
            </w:r>
          </w:p>
        </w:tc>
        <w:tc>
          <w:tcPr>
            <w:tcW w:w="844" w:type="dxa"/>
          </w:tcPr>
          <w:p w14:paraId="48816639" w14:textId="61D9E192" w:rsidR="007A6856" w:rsidRPr="00F110F6" w:rsidRDefault="007A6856" w:rsidP="002D3A0D">
            <w:pPr>
              <w:pStyle w:val="TableBody0"/>
              <w:spacing w:line="288" w:lineRule="auto"/>
              <w:jc w:val="right"/>
            </w:pPr>
            <w:r w:rsidRPr="00F110F6">
              <w:rPr>
                <w:rStyle w:val="normaltextrun"/>
              </w:rPr>
              <w:t>0</w:t>
            </w:r>
          </w:p>
        </w:tc>
        <w:tc>
          <w:tcPr>
            <w:tcW w:w="844" w:type="dxa"/>
          </w:tcPr>
          <w:p w14:paraId="273B7120" w14:textId="274F7675" w:rsidR="007A6856" w:rsidRPr="00F110F6" w:rsidRDefault="007A6856" w:rsidP="002D3A0D">
            <w:pPr>
              <w:pStyle w:val="TableBody0"/>
              <w:spacing w:line="288" w:lineRule="auto"/>
              <w:jc w:val="right"/>
            </w:pPr>
            <w:r w:rsidRPr="00F110F6">
              <w:rPr>
                <w:rStyle w:val="normaltextrun"/>
              </w:rPr>
              <w:t>0</w:t>
            </w:r>
          </w:p>
        </w:tc>
        <w:tc>
          <w:tcPr>
            <w:tcW w:w="850" w:type="dxa"/>
          </w:tcPr>
          <w:p w14:paraId="2E6F98FD" w14:textId="2FF16122" w:rsidR="007A6856" w:rsidRPr="00F110F6" w:rsidRDefault="007A6856" w:rsidP="002D3A0D">
            <w:pPr>
              <w:pStyle w:val="TableBody0"/>
              <w:spacing w:line="288" w:lineRule="auto"/>
              <w:jc w:val="right"/>
            </w:pPr>
            <w:r w:rsidRPr="00F110F6">
              <w:rPr>
                <w:rStyle w:val="normaltextrun"/>
              </w:rPr>
              <w:t>0</w:t>
            </w:r>
          </w:p>
        </w:tc>
        <w:tc>
          <w:tcPr>
            <w:tcW w:w="850" w:type="dxa"/>
          </w:tcPr>
          <w:p w14:paraId="0A4CFCE0" w14:textId="1DD79A83" w:rsidR="007A6856" w:rsidRPr="00F110F6" w:rsidRDefault="007A6856" w:rsidP="002D3A0D">
            <w:pPr>
              <w:pStyle w:val="TableBody0"/>
              <w:spacing w:line="288" w:lineRule="auto"/>
              <w:jc w:val="right"/>
            </w:pPr>
            <w:r w:rsidRPr="00F110F6">
              <w:rPr>
                <w:rStyle w:val="normaltextrun"/>
              </w:rPr>
              <w:t>0</w:t>
            </w:r>
          </w:p>
        </w:tc>
        <w:tc>
          <w:tcPr>
            <w:tcW w:w="838" w:type="dxa"/>
          </w:tcPr>
          <w:p w14:paraId="468DE47B" w14:textId="6ABAB465" w:rsidR="007A6856" w:rsidRPr="00F110F6" w:rsidRDefault="007A6856" w:rsidP="002D3A0D">
            <w:pPr>
              <w:pStyle w:val="TableBody0"/>
              <w:spacing w:line="288" w:lineRule="auto"/>
              <w:jc w:val="right"/>
            </w:pPr>
            <w:r w:rsidRPr="00F110F6">
              <w:rPr>
                <w:rStyle w:val="normaltextrun"/>
              </w:rPr>
              <w:t>71</w:t>
            </w:r>
            <w:r w:rsidR="00116879">
              <w:rPr>
                <w:rStyle w:val="normaltextrun"/>
              </w:rPr>
              <w:t>1</w:t>
            </w:r>
          </w:p>
        </w:tc>
      </w:tr>
      <w:tr w:rsidR="007A6856" w:rsidRPr="00F110F6" w14:paraId="1A61B70B"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5F14D964" w14:textId="77777777" w:rsidR="007A6856" w:rsidRPr="00F110F6" w:rsidRDefault="007A6856" w:rsidP="002D3A0D">
            <w:pPr>
              <w:pStyle w:val="TableBody0"/>
              <w:spacing w:line="288" w:lineRule="auto"/>
            </w:pPr>
            <w:r w:rsidRPr="00F110F6">
              <w:t>ACT</w:t>
            </w:r>
          </w:p>
        </w:tc>
        <w:tc>
          <w:tcPr>
            <w:tcW w:w="844" w:type="dxa"/>
          </w:tcPr>
          <w:p w14:paraId="3DE4B4FC" w14:textId="19BC5FD0" w:rsidR="007A6856" w:rsidRPr="00F110F6" w:rsidRDefault="007A6856" w:rsidP="002D3A0D">
            <w:pPr>
              <w:pStyle w:val="TableBody0"/>
              <w:spacing w:line="288" w:lineRule="auto"/>
              <w:jc w:val="right"/>
            </w:pPr>
            <w:r w:rsidRPr="00F110F6">
              <w:rPr>
                <w:rStyle w:val="normaltextrun"/>
              </w:rPr>
              <w:t>216</w:t>
            </w:r>
          </w:p>
        </w:tc>
        <w:tc>
          <w:tcPr>
            <w:tcW w:w="844" w:type="dxa"/>
          </w:tcPr>
          <w:p w14:paraId="09FFF15B" w14:textId="35BDAAE7" w:rsidR="007A6856" w:rsidRPr="00F110F6" w:rsidRDefault="007A6856" w:rsidP="002D3A0D">
            <w:pPr>
              <w:pStyle w:val="TableBody0"/>
              <w:spacing w:line="288" w:lineRule="auto"/>
              <w:jc w:val="right"/>
            </w:pPr>
            <w:r w:rsidRPr="00F110F6">
              <w:rPr>
                <w:rStyle w:val="normaltextrun"/>
              </w:rPr>
              <w:t>5</w:t>
            </w:r>
          </w:p>
        </w:tc>
        <w:tc>
          <w:tcPr>
            <w:tcW w:w="844" w:type="dxa"/>
          </w:tcPr>
          <w:p w14:paraId="3ADAE050" w14:textId="056AB99C" w:rsidR="007A6856" w:rsidRPr="00F110F6" w:rsidRDefault="007A6856" w:rsidP="002D3A0D">
            <w:pPr>
              <w:pStyle w:val="TableBody0"/>
              <w:spacing w:line="288" w:lineRule="auto"/>
              <w:jc w:val="right"/>
            </w:pPr>
            <w:r w:rsidRPr="00F110F6">
              <w:rPr>
                <w:rStyle w:val="normaltextrun"/>
              </w:rPr>
              <w:t>221</w:t>
            </w:r>
          </w:p>
        </w:tc>
        <w:tc>
          <w:tcPr>
            <w:tcW w:w="844" w:type="dxa"/>
          </w:tcPr>
          <w:p w14:paraId="79DC3600" w14:textId="32E5BF71" w:rsidR="007A6856" w:rsidRPr="00F110F6" w:rsidRDefault="007A6856" w:rsidP="002D3A0D">
            <w:pPr>
              <w:pStyle w:val="TableBody0"/>
              <w:spacing w:line="288" w:lineRule="auto"/>
              <w:jc w:val="right"/>
            </w:pPr>
            <w:r w:rsidRPr="00F110F6">
              <w:rPr>
                <w:rStyle w:val="normaltextrun"/>
              </w:rPr>
              <w:t>365</w:t>
            </w:r>
          </w:p>
        </w:tc>
        <w:tc>
          <w:tcPr>
            <w:tcW w:w="844" w:type="dxa"/>
          </w:tcPr>
          <w:p w14:paraId="10108F25" w14:textId="5B88B4A0" w:rsidR="007A6856" w:rsidRPr="00F110F6" w:rsidRDefault="007A6856" w:rsidP="002D3A0D">
            <w:pPr>
              <w:pStyle w:val="TableBody0"/>
              <w:spacing w:line="288" w:lineRule="auto"/>
              <w:jc w:val="right"/>
            </w:pPr>
            <w:r w:rsidRPr="00F110F6">
              <w:rPr>
                <w:rStyle w:val="normaltextrun"/>
              </w:rPr>
              <w:t>35</w:t>
            </w:r>
          </w:p>
        </w:tc>
        <w:tc>
          <w:tcPr>
            <w:tcW w:w="844" w:type="dxa"/>
          </w:tcPr>
          <w:p w14:paraId="66503CB4" w14:textId="1C04D9F1" w:rsidR="007A6856" w:rsidRPr="00F110F6" w:rsidRDefault="007A6856" w:rsidP="002D3A0D">
            <w:pPr>
              <w:pStyle w:val="TableBody0"/>
              <w:spacing w:line="288" w:lineRule="auto"/>
              <w:jc w:val="right"/>
            </w:pPr>
            <w:r w:rsidRPr="00F110F6">
              <w:rPr>
                <w:rStyle w:val="normaltextrun"/>
              </w:rPr>
              <w:t>400</w:t>
            </w:r>
          </w:p>
        </w:tc>
        <w:tc>
          <w:tcPr>
            <w:tcW w:w="737" w:type="dxa"/>
          </w:tcPr>
          <w:p w14:paraId="2F35C36C" w14:textId="1F31A16F" w:rsidR="007A6856" w:rsidRPr="00F110F6" w:rsidRDefault="007A6856" w:rsidP="002D3A0D">
            <w:pPr>
              <w:pStyle w:val="TableBody0"/>
              <w:spacing w:line="288" w:lineRule="auto"/>
              <w:jc w:val="right"/>
            </w:pPr>
            <w:r w:rsidRPr="00F110F6">
              <w:rPr>
                <w:rStyle w:val="normaltextrun"/>
              </w:rPr>
              <w:t>4</w:t>
            </w:r>
          </w:p>
        </w:tc>
        <w:tc>
          <w:tcPr>
            <w:tcW w:w="737" w:type="dxa"/>
          </w:tcPr>
          <w:p w14:paraId="3C96CDA4" w14:textId="0EE03009" w:rsidR="007A6856" w:rsidRPr="00F110F6" w:rsidRDefault="007A6856" w:rsidP="002D3A0D">
            <w:pPr>
              <w:pStyle w:val="TableBody0"/>
              <w:spacing w:line="288" w:lineRule="auto"/>
              <w:jc w:val="right"/>
            </w:pPr>
            <w:r w:rsidRPr="00F110F6">
              <w:rPr>
                <w:rStyle w:val="normaltextrun"/>
              </w:rPr>
              <w:t>0</w:t>
            </w:r>
          </w:p>
        </w:tc>
        <w:tc>
          <w:tcPr>
            <w:tcW w:w="567" w:type="dxa"/>
          </w:tcPr>
          <w:p w14:paraId="005BEA64" w14:textId="7C40EBF3" w:rsidR="007A6856" w:rsidRPr="00F110F6" w:rsidRDefault="007A6856" w:rsidP="002D3A0D">
            <w:pPr>
              <w:pStyle w:val="TableBody0"/>
              <w:spacing w:line="288" w:lineRule="auto"/>
              <w:jc w:val="right"/>
            </w:pPr>
            <w:r w:rsidRPr="00F110F6">
              <w:rPr>
                <w:rStyle w:val="normaltextrun"/>
              </w:rPr>
              <w:t>4</w:t>
            </w:r>
          </w:p>
        </w:tc>
        <w:tc>
          <w:tcPr>
            <w:tcW w:w="844" w:type="dxa"/>
          </w:tcPr>
          <w:p w14:paraId="613BC1B0" w14:textId="1A420E33" w:rsidR="007A6856" w:rsidRPr="00F110F6" w:rsidRDefault="007A6856" w:rsidP="002D3A0D">
            <w:pPr>
              <w:pStyle w:val="TableBody0"/>
              <w:spacing w:line="288" w:lineRule="auto"/>
              <w:jc w:val="right"/>
            </w:pPr>
            <w:r w:rsidRPr="00F110F6">
              <w:rPr>
                <w:rStyle w:val="normaltextrun"/>
              </w:rPr>
              <w:t>0</w:t>
            </w:r>
          </w:p>
        </w:tc>
        <w:tc>
          <w:tcPr>
            <w:tcW w:w="844" w:type="dxa"/>
          </w:tcPr>
          <w:p w14:paraId="4C826217" w14:textId="31266705" w:rsidR="007A6856" w:rsidRPr="00F110F6" w:rsidRDefault="007A6856" w:rsidP="002D3A0D">
            <w:pPr>
              <w:pStyle w:val="TableBody0"/>
              <w:spacing w:line="288" w:lineRule="auto"/>
              <w:jc w:val="right"/>
            </w:pPr>
            <w:r w:rsidRPr="00F110F6">
              <w:rPr>
                <w:rStyle w:val="normaltextrun"/>
              </w:rPr>
              <w:t>0</w:t>
            </w:r>
          </w:p>
        </w:tc>
        <w:tc>
          <w:tcPr>
            <w:tcW w:w="844" w:type="dxa"/>
          </w:tcPr>
          <w:p w14:paraId="40F9FCD3" w14:textId="515B0305" w:rsidR="007A6856" w:rsidRPr="00F110F6" w:rsidRDefault="007A6856" w:rsidP="002D3A0D">
            <w:pPr>
              <w:pStyle w:val="TableBody0"/>
              <w:spacing w:line="288" w:lineRule="auto"/>
              <w:jc w:val="right"/>
            </w:pPr>
            <w:r w:rsidRPr="00F110F6">
              <w:rPr>
                <w:rStyle w:val="normaltextrun"/>
              </w:rPr>
              <w:t>0</w:t>
            </w:r>
          </w:p>
        </w:tc>
        <w:tc>
          <w:tcPr>
            <w:tcW w:w="844" w:type="dxa"/>
          </w:tcPr>
          <w:p w14:paraId="5164F6C7" w14:textId="75F5DBFD" w:rsidR="007A6856" w:rsidRPr="00F110F6" w:rsidRDefault="007A6856" w:rsidP="002D3A0D">
            <w:pPr>
              <w:pStyle w:val="TableBody0"/>
              <w:spacing w:line="288" w:lineRule="auto"/>
              <w:jc w:val="right"/>
            </w:pPr>
            <w:r w:rsidRPr="00F110F6">
              <w:rPr>
                <w:rStyle w:val="normaltextrun"/>
              </w:rPr>
              <w:t>0</w:t>
            </w:r>
          </w:p>
        </w:tc>
        <w:tc>
          <w:tcPr>
            <w:tcW w:w="850" w:type="dxa"/>
          </w:tcPr>
          <w:p w14:paraId="295C1F1D" w14:textId="1767F501" w:rsidR="007A6856" w:rsidRPr="00F110F6" w:rsidRDefault="007A6856" w:rsidP="002D3A0D">
            <w:pPr>
              <w:pStyle w:val="TableBody0"/>
              <w:spacing w:line="288" w:lineRule="auto"/>
              <w:jc w:val="right"/>
            </w:pPr>
            <w:r w:rsidRPr="00F110F6">
              <w:rPr>
                <w:rStyle w:val="normaltextrun"/>
              </w:rPr>
              <w:t>0</w:t>
            </w:r>
          </w:p>
        </w:tc>
        <w:tc>
          <w:tcPr>
            <w:tcW w:w="850" w:type="dxa"/>
          </w:tcPr>
          <w:p w14:paraId="4E2267D0" w14:textId="7F116434" w:rsidR="007A6856" w:rsidRPr="00F110F6" w:rsidRDefault="007A6856" w:rsidP="002D3A0D">
            <w:pPr>
              <w:pStyle w:val="TableBody0"/>
              <w:spacing w:line="288" w:lineRule="auto"/>
              <w:jc w:val="right"/>
            </w:pPr>
            <w:r w:rsidRPr="00F110F6">
              <w:rPr>
                <w:rStyle w:val="normaltextrun"/>
              </w:rPr>
              <w:t>0</w:t>
            </w:r>
          </w:p>
        </w:tc>
        <w:tc>
          <w:tcPr>
            <w:tcW w:w="838" w:type="dxa"/>
          </w:tcPr>
          <w:p w14:paraId="18F56CF5" w14:textId="2DC76384" w:rsidR="007A6856" w:rsidRPr="00F110F6" w:rsidRDefault="007A6856" w:rsidP="002D3A0D">
            <w:pPr>
              <w:pStyle w:val="TableBody0"/>
              <w:spacing w:line="288" w:lineRule="auto"/>
              <w:jc w:val="right"/>
            </w:pPr>
            <w:r w:rsidRPr="00F110F6">
              <w:rPr>
                <w:rStyle w:val="normaltextrun"/>
              </w:rPr>
              <w:t>625</w:t>
            </w:r>
          </w:p>
        </w:tc>
      </w:tr>
      <w:tr w:rsidR="007A6856" w:rsidRPr="00F110F6" w14:paraId="4DE8B6AF"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31B7D1C7" w14:textId="77777777" w:rsidR="007A6856" w:rsidRPr="00F110F6" w:rsidRDefault="007A6856" w:rsidP="002D3A0D">
            <w:pPr>
              <w:pStyle w:val="TableBody0"/>
              <w:spacing w:line="288" w:lineRule="auto"/>
            </w:pPr>
            <w:r w:rsidRPr="00F110F6">
              <w:t>NT</w:t>
            </w:r>
          </w:p>
        </w:tc>
        <w:tc>
          <w:tcPr>
            <w:tcW w:w="844" w:type="dxa"/>
          </w:tcPr>
          <w:p w14:paraId="73F77C48" w14:textId="0539BDAF" w:rsidR="007A6856" w:rsidRPr="00F110F6" w:rsidRDefault="007A6856" w:rsidP="002D3A0D">
            <w:pPr>
              <w:pStyle w:val="TableBody0"/>
              <w:spacing w:line="288" w:lineRule="auto"/>
              <w:jc w:val="right"/>
            </w:pPr>
            <w:r w:rsidRPr="00F110F6">
              <w:rPr>
                <w:rStyle w:val="normaltextrun"/>
              </w:rPr>
              <w:t>22</w:t>
            </w:r>
          </w:p>
        </w:tc>
        <w:tc>
          <w:tcPr>
            <w:tcW w:w="844" w:type="dxa"/>
          </w:tcPr>
          <w:p w14:paraId="7867D0D0" w14:textId="690D9489" w:rsidR="007A6856" w:rsidRPr="00F110F6" w:rsidRDefault="007A6856" w:rsidP="002D3A0D">
            <w:pPr>
              <w:pStyle w:val="TableBody0"/>
              <w:spacing w:line="288" w:lineRule="auto"/>
              <w:jc w:val="right"/>
            </w:pPr>
            <w:r w:rsidRPr="00F110F6">
              <w:rPr>
                <w:rStyle w:val="normaltextrun"/>
              </w:rPr>
              <w:t>1</w:t>
            </w:r>
          </w:p>
        </w:tc>
        <w:tc>
          <w:tcPr>
            <w:tcW w:w="844" w:type="dxa"/>
          </w:tcPr>
          <w:p w14:paraId="41C2A2BD" w14:textId="482CA9E3" w:rsidR="007A6856" w:rsidRPr="00F110F6" w:rsidRDefault="007A6856" w:rsidP="002D3A0D">
            <w:pPr>
              <w:pStyle w:val="TableBody0"/>
              <w:spacing w:line="288" w:lineRule="auto"/>
              <w:jc w:val="right"/>
            </w:pPr>
            <w:r w:rsidRPr="00F110F6">
              <w:rPr>
                <w:rStyle w:val="normaltextrun"/>
              </w:rPr>
              <w:t>23</w:t>
            </w:r>
          </w:p>
        </w:tc>
        <w:tc>
          <w:tcPr>
            <w:tcW w:w="844" w:type="dxa"/>
          </w:tcPr>
          <w:p w14:paraId="62EA0B25" w14:textId="2683A89D" w:rsidR="007A6856" w:rsidRPr="00F110F6" w:rsidRDefault="007A6856" w:rsidP="002D3A0D">
            <w:pPr>
              <w:pStyle w:val="TableBody0"/>
              <w:spacing w:line="288" w:lineRule="auto"/>
              <w:jc w:val="right"/>
            </w:pPr>
            <w:r w:rsidRPr="00F110F6">
              <w:rPr>
                <w:rStyle w:val="normaltextrun"/>
              </w:rPr>
              <w:t>126</w:t>
            </w:r>
          </w:p>
        </w:tc>
        <w:tc>
          <w:tcPr>
            <w:tcW w:w="844" w:type="dxa"/>
          </w:tcPr>
          <w:p w14:paraId="47BA6627" w14:textId="0BDC66C2" w:rsidR="007A6856" w:rsidRPr="00F110F6" w:rsidRDefault="007A6856" w:rsidP="002D3A0D">
            <w:pPr>
              <w:pStyle w:val="TableBody0"/>
              <w:spacing w:line="288" w:lineRule="auto"/>
              <w:jc w:val="right"/>
            </w:pPr>
            <w:r w:rsidRPr="00F110F6">
              <w:rPr>
                <w:rStyle w:val="normaltextrun"/>
              </w:rPr>
              <w:t>11</w:t>
            </w:r>
          </w:p>
        </w:tc>
        <w:tc>
          <w:tcPr>
            <w:tcW w:w="844" w:type="dxa"/>
          </w:tcPr>
          <w:p w14:paraId="54EDCC98" w14:textId="64E04B82" w:rsidR="007A6856" w:rsidRPr="00F110F6" w:rsidRDefault="007A6856" w:rsidP="002D3A0D">
            <w:pPr>
              <w:pStyle w:val="TableBody0"/>
              <w:spacing w:line="288" w:lineRule="auto"/>
              <w:jc w:val="right"/>
            </w:pPr>
            <w:r w:rsidRPr="00F110F6">
              <w:rPr>
                <w:rStyle w:val="normaltextrun"/>
              </w:rPr>
              <w:t>137</w:t>
            </w:r>
          </w:p>
        </w:tc>
        <w:tc>
          <w:tcPr>
            <w:tcW w:w="737" w:type="dxa"/>
          </w:tcPr>
          <w:p w14:paraId="41CEC8AC" w14:textId="164527C9" w:rsidR="007A6856" w:rsidRPr="00F110F6" w:rsidRDefault="007A6856" w:rsidP="002D3A0D">
            <w:pPr>
              <w:pStyle w:val="TableBody0"/>
              <w:spacing w:line="288" w:lineRule="auto"/>
              <w:jc w:val="right"/>
            </w:pPr>
            <w:r w:rsidRPr="00F110F6">
              <w:rPr>
                <w:rStyle w:val="normaltextrun"/>
              </w:rPr>
              <w:t>0</w:t>
            </w:r>
          </w:p>
        </w:tc>
        <w:tc>
          <w:tcPr>
            <w:tcW w:w="737" w:type="dxa"/>
          </w:tcPr>
          <w:p w14:paraId="34F54614" w14:textId="78165030" w:rsidR="007A6856" w:rsidRPr="00F110F6" w:rsidRDefault="007A6856" w:rsidP="002D3A0D">
            <w:pPr>
              <w:pStyle w:val="TableBody0"/>
              <w:spacing w:line="288" w:lineRule="auto"/>
              <w:jc w:val="right"/>
            </w:pPr>
            <w:r w:rsidRPr="00F110F6">
              <w:rPr>
                <w:rStyle w:val="normaltextrun"/>
              </w:rPr>
              <w:t>0</w:t>
            </w:r>
          </w:p>
        </w:tc>
        <w:tc>
          <w:tcPr>
            <w:tcW w:w="567" w:type="dxa"/>
          </w:tcPr>
          <w:p w14:paraId="408E2DB4" w14:textId="3C607174" w:rsidR="007A6856" w:rsidRPr="00F110F6" w:rsidRDefault="007A6856" w:rsidP="002D3A0D">
            <w:pPr>
              <w:pStyle w:val="TableBody0"/>
              <w:spacing w:line="288" w:lineRule="auto"/>
              <w:jc w:val="right"/>
            </w:pPr>
            <w:r w:rsidRPr="00F110F6">
              <w:rPr>
                <w:rStyle w:val="normaltextrun"/>
              </w:rPr>
              <w:t>0</w:t>
            </w:r>
          </w:p>
        </w:tc>
        <w:tc>
          <w:tcPr>
            <w:tcW w:w="844" w:type="dxa"/>
          </w:tcPr>
          <w:p w14:paraId="297C3453" w14:textId="6B9EBB0D" w:rsidR="007A6856" w:rsidRPr="00F110F6" w:rsidRDefault="007A6856" w:rsidP="002D3A0D">
            <w:pPr>
              <w:pStyle w:val="TableBody0"/>
              <w:spacing w:line="288" w:lineRule="auto"/>
              <w:jc w:val="right"/>
            </w:pPr>
            <w:r w:rsidRPr="00F110F6">
              <w:rPr>
                <w:rStyle w:val="normaltextrun"/>
              </w:rPr>
              <w:t>0</w:t>
            </w:r>
          </w:p>
        </w:tc>
        <w:tc>
          <w:tcPr>
            <w:tcW w:w="844" w:type="dxa"/>
          </w:tcPr>
          <w:p w14:paraId="1CF01724" w14:textId="39EE8DF2" w:rsidR="007A6856" w:rsidRPr="00F110F6" w:rsidRDefault="007A6856" w:rsidP="002D3A0D">
            <w:pPr>
              <w:pStyle w:val="TableBody0"/>
              <w:spacing w:line="288" w:lineRule="auto"/>
              <w:jc w:val="right"/>
            </w:pPr>
            <w:r w:rsidRPr="00F110F6">
              <w:rPr>
                <w:rStyle w:val="normaltextrun"/>
              </w:rPr>
              <w:t>0</w:t>
            </w:r>
          </w:p>
        </w:tc>
        <w:tc>
          <w:tcPr>
            <w:tcW w:w="844" w:type="dxa"/>
          </w:tcPr>
          <w:p w14:paraId="41B48264" w14:textId="75D20E7E" w:rsidR="007A6856" w:rsidRPr="00F110F6" w:rsidRDefault="007A6856" w:rsidP="002D3A0D">
            <w:pPr>
              <w:pStyle w:val="TableBody0"/>
              <w:spacing w:line="288" w:lineRule="auto"/>
              <w:jc w:val="right"/>
            </w:pPr>
            <w:r w:rsidRPr="00F110F6">
              <w:rPr>
                <w:rStyle w:val="normaltextrun"/>
              </w:rPr>
              <w:t>0</w:t>
            </w:r>
          </w:p>
        </w:tc>
        <w:tc>
          <w:tcPr>
            <w:tcW w:w="844" w:type="dxa"/>
          </w:tcPr>
          <w:p w14:paraId="44FB06A7" w14:textId="4A042FF8" w:rsidR="007A6856" w:rsidRPr="00F110F6" w:rsidRDefault="007A6856" w:rsidP="002D3A0D">
            <w:pPr>
              <w:pStyle w:val="TableBody0"/>
              <w:spacing w:line="288" w:lineRule="auto"/>
              <w:jc w:val="right"/>
            </w:pPr>
            <w:r w:rsidRPr="00F110F6">
              <w:rPr>
                <w:rStyle w:val="normaltextrun"/>
              </w:rPr>
              <w:t>0</w:t>
            </w:r>
          </w:p>
        </w:tc>
        <w:tc>
          <w:tcPr>
            <w:tcW w:w="850" w:type="dxa"/>
          </w:tcPr>
          <w:p w14:paraId="6D3B03B7" w14:textId="7E5FDE36" w:rsidR="007A6856" w:rsidRPr="00F110F6" w:rsidRDefault="007A6856" w:rsidP="002D3A0D">
            <w:pPr>
              <w:pStyle w:val="TableBody0"/>
              <w:spacing w:line="288" w:lineRule="auto"/>
              <w:jc w:val="right"/>
            </w:pPr>
            <w:r w:rsidRPr="00F110F6">
              <w:rPr>
                <w:rStyle w:val="normaltextrun"/>
              </w:rPr>
              <w:t>0</w:t>
            </w:r>
          </w:p>
        </w:tc>
        <w:tc>
          <w:tcPr>
            <w:tcW w:w="850" w:type="dxa"/>
          </w:tcPr>
          <w:p w14:paraId="0C0A7586" w14:textId="179F2F6C" w:rsidR="007A6856" w:rsidRPr="00F110F6" w:rsidRDefault="007A6856" w:rsidP="002D3A0D">
            <w:pPr>
              <w:pStyle w:val="TableBody0"/>
              <w:spacing w:line="288" w:lineRule="auto"/>
              <w:jc w:val="right"/>
            </w:pPr>
            <w:r w:rsidRPr="00F110F6">
              <w:rPr>
                <w:rStyle w:val="normaltextrun"/>
              </w:rPr>
              <w:t>0</w:t>
            </w:r>
          </w:p>
        </w:tc>
        <w:tc>
          <w:tcPr>
            <w:tcW w:w="838" w:type="dxa"/>
          </w:tcPr>
          <w:p w14:paraId="084B5AD8" w14:textId="0F47D945" w:rsidR="007A6856" w:rsidRPr="00F110F6" w:rsidRDefault="007A6856" w:rsidP="002D3A0D">
            <w:pPr>
              <w:pStyle w:val="TableBody0"/>
              <w:spacing w:line="288" w:lineRule="auto"/>
              <w:jc w:val="right"/>
            </w:pPr>
            <w:r w:rsidRPr="00F110F6">
              <w:rPr>
                <w:rStyle w:val="normaltextrun"/>
              </w:rPr>
              <w:t>160</w:t>
            </w:r>
          </w:p>
        </w:tc>
      </w:tr>
      <w:tr w:rsidR="007A6856" w:rsidRPr="00F110F6" w14:paraId="6573AC5C"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73B52379" w14:textId="77777777" w:rsidR="007A6856" w:rsidRPr="00F110F6" w:rsidRDefault="007A6856" w:rsidP="002D3A0D">
            <w:pPr>
              <w:pStyle w:val="TableBody0"/>
              <w:spacing w:line="288" w:lineRule="auto"/>
            </w:pPr>
            <w:r w:rsidRPr="00F110F6">
              <w:t>External territories</w:t>
            </w:r>
          </w:p>
        </w:tc>
        <w:tc>
          <w:tcPr>
            <w:tcW w:w="844" w:type="dxa"/>
          </w:tcPr>
          <w:p w14:paraId="071ED93D" w14:textId="75246D8F" w:rsidR="007A6856" w:rsidRPr="00F110F6" w:rsidRDefault="007A6856" w:rsidP="002D3A0D">
            <w:pPr>
              <w:pStyle w:val="TableBody0"/>
              <w:spacing w:line="288" w:lineRule="auto"/>
              <w:jc w:val="right"/>
            </w:pPr>
            <w:r w:rsidRPr="00F110F6">
              <w:rPr>
                <w:rStyle w:val="normaltextrun"/>
              </w:rPr>
              <w:t>0</w:t>
            </w:r>
          </w:p>
        </w:tc>
        <w:tc>
          <w:tcPr>
            <w:tcW w:w="844" w:type="dxa"/>
          </w:tcPr>
          <w:p w14:paraId="4580AB70" w14:textId="0BB8FB5D" w:rsidR="007A6856" w:rsidRPr="00F110F6" w:rsidRDefault="007A6856" w:rsidP="002D3A0D">
            <w:pPr>
              <w:pStyle w:val="TableBody0"/>
              <w:spacing w:line="288" w:lineRule="auto"/>
              <w:jc w:val="right"/>
            </w:pPr>
            <w:r w:rsidRPr="00F110F6">
              <w:rPr>
                <w:rStyle w:val="normaltextrun"/>
              </w:rPr>
              <w:t>0</w:t>
            </w:r>
          </w:p>
        </w:tc>
        <w:tc>
          <w:tcPr>
            <w:tcW w:w="844" w:type="dxa"/>
          </w:tcPr>
          <w:p w14:paraId="743DBCF4" w14:textId="1A86404C" w:rsidR="007A6856" w:rsidRPr="00F110F6" w:rsidRDefault="007A6856" w:rsidP="002D3A0D">
            <w:pPr>
              <w:pStyle w:val="TableBody0"/>
              <w:spacing w:line="288" w:lineRule="auto"/>
              <w:jc w:val="right"/>
            </w:pPr>
            <w:r w:rsidRPr="00F110F6">
              <w:rPr>
                <w:rStyle w:val="normaltextrun"/>
              </w:rPr>
              <w:t>0</w:t>
            </w:r>
          </w:p>
        </w:tc>
        <w:tc>
          <w:tcPr>
            <w:tcW w:w="844" w:type="dxa"/>
          </w:tcPr>
          <w:p w14:paraId="7F86D19A" w14:textId="27AFF13F" w:rsidR="007A6856" w:rsidRPr="00F110F6" w:rsidRDefault="007A6856" w:rsidP="002D3A0D">
            <w:pPr>
              <w:pStyle w:val="TableBody0"/>
              <w:spacing w:line="288" w:lineRule="auto"/>
              <w:jc w:val="right"/>
            </w:pPr>
            <w:r w:rsidRPr="00F110F6">
              <w:rPr>
                <w:rStyle w:val="normaltextrun"/>
              </w:rPr>
              <w:t>0</w:t>
            </w:r>
          </w:p>
        </w:tc>
        <w:tc>
          <w:tcPr>
            <w:tcW w:w="844" w:type="dxa"/>
          </w:tcPr>
          <w:p w14:paraId="7223EF9D" w14:textId="4AA59130" w:rsidR="007A6856" w:rsidRPr="00F110F6" w:rsidRDefault="007A6856" w:rsidP="002D3A0D">
            <w:pPr>
              <w:pStyle w:val="TableBody0"/>
              <w:spacing w:line="288" w:lineRule="auto"/>
              <w:jc w:val="right"/>
            </w:pPr>
            <w:r w:rsidRPr="00F110F6">
              <w:rPr>
                <w:rStyle w:val="normaltextrun"/>
              </w:rPr>
              <w:t>0</w:t>
            </w:r>
          </w:p>
        </w:tc>
        <w:tc>
          <w:tcPr>
            <w:tcW w:w="844" w:type="dxa"/>
          </w:tcPr>
          <w:p w14:paraId="67AC3ED0" w14:textId="4FE74AD4" w:rsidR="007A6856" w:rsidRPr="00F110F6" w:rsidRDefault="007A6856" w:rsidP="002D3A0D">
            <w:pPr>
              <w:pStyle w:val="TableBody0"/>
              <w:spacing w:line="288" w:lineRule="auto"/>
              <w:jc w:val="right"/>
            </w:pPr>
            <w:r w:rsidRPr="00F110F6">
              <w:rPr>
                <w:rStyle w:val="normaltextrun"/>
              </w:rPr>
              <w:t>0</w:t>
            </w:r>
          </w:p>
        </w:tc>
        <w:tc>
          <w:tcPr>
            <w:tcW w:w="737" w:type="dxa"/>
          </w:tcPr>
          <w:p w14:paraId="55F2973D" w14:textId="4F50EF08" w:rsidR="007A6856" w:rsidRPr="00F110F6" w:rsidRDefault="007A6856" w:rsidP="002D3A0D">
            <w:pPr>
              <w:pStyle w:val="TableBody0"/>
              <w:spacing w:line="288" w:lineRule="auto"/>
              <w:jc w:val="right"/>
            </w:pPr>
            <w:r w:rsidRPr="00F110F6">
              <w:rPr>
                <w:rStyle w:val="normaltextrun"/>
              </w:rPr>
              <w:t>0</w:t>
            </w:r>
          </w:p>
        </w:tc>
        <w:tc>
          <w:tcPr>
            <w:tcW w:w="737" w:type="dxa"/>
          </w:tcPr>
          <w:p w14:paraId="56A0EBA8" w14:textId="3818C91F" w:rsidR="007A6856" w:rsidRPr="00F110F6" w:rsidRDefault="007A6856" w:rsidP="002D3A0D">
            <w:pPr>
              <w:pStyle w:val="TableBody0"/>
              <w:spacing w:line="288" w:lineRule="auto"/>
              <w:jc w:val="right"/>
            </w:pPr>
            <w:r w:rsidRPr="00F110F6">
              <w:rPr>
                <w:rStyle w:val="normaltextrun"/>
              </w:rPr>
              <w:t>0</w:t>
            </w:r>
          </w:p>
        </w:tc>
        <w:tc>
          <w:tcPr>
            <w:tcW w:w="567" w:type="dxa"/>
          </w:tcPr>
          <w:p w14:paraId="767D6677" w14:textId="16A8626E" w:rsidR="007A6856" w:rsidRPr="00F110F6" w:rsidRDefault="007A6856" w:rsidP="002D3A0D">
            <w:pPr>
              <w:pStyle w:val="TableBody0"/>
              <w:spacing w:line="288" w:lineRule="auto"/>
              <w:jc w:val="right"/>
            </w:pPr>
            <w:r w:rsidRPr="00F110F6">
              <w:rPr>
                <w:rStyle w:val="normaltextrun"/>
              </w:rPr>
              <w:t>0</w:t>
            </w:r>
          </w:p>
        </w:tc>
        <w:tc>
          <w:tcPr>
            <w:tcW w:w="844" w:type="dxa"/>
          </w:tcPr>
          <w:p w14:paraId="43D0ECA6" w14:textId="0FAD5D02" w:rsidR="007A6856" w:rsidRPr="00F110F6" w:rsidRDefault="007A6856" w:rsidP="002D3A0D">
            <w:pPr>
              <w:pStyle w:val="TableBody0"/>
              <w:spacing w:line="288" w:lineRule="auto"/>
              <w:jc w:val="right"/>
            </w:pPr>
            <w:r w:rsidRPr="00F110F6">
              <w:rPr>
                <w:rStyle w:val="normaltextrun"/>
              </w:rPr>
              <w:t>0</w:t>
            </w:r>
          </w:p>
        </w:tc>
        <w:tc>
          <w:tcPr>
            <w:tcW w:w="844" w:type="dxa"/>
          </w:tcPr>
          <w:p w14:paraId="41137B3D" w14:textId="5876490D" w:rsidR="007A6856" w:rsidRPr="00F110F6" w:rsidRDefault="007A6856" w:rsidP="002D3A0D">
            <w:pPr>
              <w:pStyle w:val="TableBody0"/>
              <w:spacing w:line="288" w:lineRule="auto"/>
              <w:jc w:val="right"/>
            </w:pPr>
            <w:r w:rsidRPr="00F110F6">
              <w:rPr>
                <w:rStyle w:val="normaltextrun"/>
              </w:rPr>
              <w:t>0</w:t>
            </w:r>
          </w:p>
        </w:tc>
        <w:tc>
          <w:tcPr>
            <w:tcW w:w="844" w:type="dxa"/>
          </w:tcPr>
          <w:p w14:paraId="236BB252" w14:textId="1FBB3814" w:rsidR="007A6856" w:rsidRPr="00F110F6" w:rsidRDefault="007A6856" w:rsidP="002D3A0D">
            <w:pPr>
              <w:pStyle w:val="TableBody0"/>
              <w:spacing w:line="288" w:lineRule="auto"/>
              <w:jc w:val="right"/>
            </w:pPr>
            <w:r w:rsidRPr="00F110F6">
              <w:rPr>
                <w:rStyle w:val="normaltextrun"/>
              </w:rPr>
              <w:t>0</w:t>
            </w:r>
          </w:p>
        </w:tc>
        <w:tc>
          <w:tcPr>
            <w:tcW w:w="844" w:type="dxa"/>
          </w:tcPr>
          <w:p w14:paraId="75A4C17D" w14:textId="2388850C" w:rsidR="007A6856" w:rsidRPr="00F110F6" w:rsidRDefault="007A6856" w:rsidP="002D3A0D">
            <w:pPr>
              <w:pStyle w:val="TableBody0"/>
              <w:spacing w:line="288" w:lineRule="auto"/>
              <w:jc w:val="right"/>
            </w:pPr>
            <w:r w:rsidRPr="00F110F6">
              <w:rPr>
                <w:rStyle w:val="normaltextrun"/>
              </w:rPr>
              <w:t>0</w:t>
            </w:r>
          </w:p>
        </w:tc>
        <w:tc>
          <w:tcPr>
            <w:tcW w:w="850" w:type="dxa"/>
          </w:tcPr>
          <w:p w14:paraId="4C9FC01C" w14:textId="256B9D3C" w:rsidR="007A6856" w:rsidRPr="00F110F6" w:rsidRDefault="007A6856" w:rsidP="002D3A0D">
            <w:pPr>
              <w:pStyle w:val="TableBody0"/>
              <w:spacing w:line="288" w:lineRule="auto"/>
              <w:jc w:val="right"/>
            </w:pPr>
            <w:r w:rsidRPr="00F110F6">
              <w:rPr>
                <w:rStyle w:val="normaltextrun"/>
              </w:rPr>
              <w:t>0</w:t>
            </w:r>
          </w:p>
        </w:tc>
        <w:tc>
          <w:tcPr>
            <w:tcW w:w="850" w:type="dxa"/>
          </w:tcPr>
          <w:p w14:paraId="2799DB00" w14:textId="07C48D64" w:rsidR="007A6856" w:rsidRPr="00F110F6" w:rsidRDefault="007A6856" w:rsidP="002D3A0D">
            <w:pPr>
              <w:pStyle w:val="TableBody0"/>
              <w:spacing w:line="288" w:lineRule="auto"/>
              <w:jc w:val="right"/>
            </w:pPr>
            <w:r w:rsidRPr="00F110F6">
              <w:rPr>
                <w:rStyle w:val="normaltextrun"/>
              </w:rPr>
              <w:t>0</w:t>
            </w:r>
          </w:p>
        </w:tc>
        <w:tc>
          <w:tcPr>
            <w:tcW w:w="838" w:type="dxa"/>
          </w:tcPr>
          <w:p w14:paraId="547346E5" w14:textId="0119AA33" w:rsidR="007A6856" w:rsidRPr="00F110F6" w:rsidRDefault="007A6856" w:rsidP="002D3A0D">
            <w:pPr>
              <w:pStyle w:val="TableBody0"/>
              <w:spacing w:line="288" w:lineRule="auto"/>
              <w:jc w:val="right"/>
            </w:pPr>
            <w:r w:rsidRPr="00F110F6">
              <w:rPr>
                <w:rStyle w:val="normaltextrun"/>
              </w:rPr>
              <w:t>0</w:t>
            </w:r>
          </w:p>
        </w:tc>
      </w:tr>
      <w:tr w:rsidR="007A6856" w:rsidRPr="00F110F6" w14:paraId="213180E3"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21A83837" w14:textId="77777777" w:rsidR="007A6856" w:rsidRPr="00F110F6" w:rsidRDefault="007A6856" w:rsidP="002D3A0D">
            <w:pPr>
              <w:pStyle w:val="TableBody0"/>
              <w:spacing w:line="288" w:lineRule="auto"/>
            </w:pPr>
            <w:r w:rsidRPr="00F110F6">
              <w:t>Overseas</w:t>
            </w:r>
          </w:p>
        </w:tc>
        <w:tc>
          <w:tcPr>
            <w:tcW w:w="844" w:type="dxa"/>
          </w:tcPr>
          <w:p w14:paraId="4D8153F2" w14:textId="7374A8A8" w:rsidR="007A6856" w:rsidRPr="00F110F6" w:rsidRDefault="007A6856" w:rsidP="002D3A0D">
            <w:pPr>
              <w:pStyle w:val="TableBody0"/>
              <w:spacing w:line="288" w:lineRule="auto"/>
              <w:jc w:val="right"/>
            </w:pPr>
            <w:r w:rsidRPr="00F110F6">
              <w:rPr>
                <w:rStyle w:val="normaltextrun"/>
              </w:rPr>
              <w:t>0</w:t>
            </w:r>
          </w:p>
        </w:tc>
        <w:tc>
          <w:tcPr>
            <w:tcW w:w="844" w:type="dxa"/>
          </w:tcPr>
          <w:p w14:paraId="757E4D11" w14:textId="7BD8366F" w:rsidR="007A6856" w:rsidRPr="00F110F6" w:rsidRDefault="007A6856" w:rsidP="002D3A0D">
            <w:pPr>
              <w:pStyle w:val="TableBody0"/>
              <w:spacing w:line="288" w:lineRule="auto"/>
              <w:jc w:val="right"/>
            </w:pPr>
            <w:r w:rsidRPr="00F110F6">
              <w:rPr>
                <w:rStyle w:val="normaltextrun"/>
              </w:rPr>
              <w:t>0</w:t>
            </w:r>
          </w:p>
        </w:tc>
        <w:tc>
          <w:tcPr>
            <w:tcW w:w="844" w:type="dxa"/>
          </w:tcPr>
          <w:p w14:paraId="095F836F" w14:textId="701668E8" w:rsidR="007A6856" w:rsidRPr="00F110F6" w:rsidRDefault="007A6856" w:rsidP="002D3A0D">
            <w:pPr>
              <w:pStyle w:val="TableBody0"/>
              <w:spacing w:line="288" w:lineRule="auto"/>
              <w:jc w:val="right"/>
            </w:pPr>
            <w:r w:rsidRPr="00F110F6">
              <w:rPr>
                <w:rStyle w:val="normaltextrun"/>
              </w:rPr>
              <w:t>0</w:t>
            </w:r>
          </w:p>
        </w:tc>
        <w:tc>
          <w:tcPr>
            <w:tcW w:w="844" w:type="dxa"/>
          </w:tcPr>
          <w:p w14:paraId="3041EF59" w14:textId="4ECABCD6" w:rsidR="007A6856" w:rsidRPr="00F110F6" w:rsidRDefault="007A6856" w:rsidP="002D3A0D">
            <w:pPr>
              <w:pStyle w:val="TableBody0"/>
              <w:spacing w:line="288" w:lineRule="auto"/>
              <w:jc w:val="right"/>
            </w:pPr>
            <w:r w:rsidRPr="00F110F6">
              <w:rPr>
                <w:rStyle w:val="normaltextrun"/>
              </w:rPr>
              <w:t>0</w:t>
            </w:r>
          </w:p>
        </w:tc>
        <w:tc>
          <w:tcPr>
            <w:tcW w:w="844" w:type="dxa"/>
          </w:tcPr>
          <w:p w14:paraId="6C8801BF" w14:textId="6F0EE3D8" w:rsidR="007A6856" w:rsidRPr="00F110F6" w:rsidRDefault="007A6856" w:rsidP="002D3A0D">
            <w:pPr>
              <w:pStyle w:val="TableBody0"/>
              <w:spacing w:line="288" w:lineRule="auto"/>
              <w:jc w:val="right"/>
            </w:pPr>
            <w:r w:rsidRPr="00F110F6">
              <w:rPr>
                <w:rStyle w:val="normaltextrun"/>
              </w:rPr>
              <w:t>0</w:t>
            </w:r>
          </w:p>
        </w:tc>
        <w:tc>
          <w:tcPr>
            <w:tcW w:w="844" w:type="dxa"/>
          </w:tcPr>
          <w:p w14:paraId="38B7E31D" w14:textId="084614F4" w:rsidR="007A6856" w:rsidRPr="00F110F6" w:rsidRDefault="007A6856" w:rsidP="002D3A0D">
            <w:pPr>
              <w:pStyle w:val="TableBody0"/>
              <w:spacing w:line="288" w:lineRule="auto"/>
              <w:jc w:val="right"/>
            </w:pPr>
            <w:r w:rsidRPr="00F110F6">
              <w:rPr>
                <w:rStyle w:val="normaltextrun"/>
              </w:rPr>
              <w:t>0</w:t>
            </w:r>
          </w:p>
        </w:tc>
        <w:tc>
          <w:tcPr>
            <w:tcW w:w="737" w:type="dxa"/>
          </w:tcPr>
          <w:p w14:paraId="0190AA94" w14:textId="7B647A78" w:rsidR="007A6856" w:rsidRPr="00F110F6" w:rsidRDefault="007A6856" w:rsidP="002D3A0D">
            <w:pPr>
              <w:pStyle w:val="TableBody0"/>
              <w:spacing w:line="288" w:lineRule="auto"/>
              <w:jc w:val="right"/>
            </w:pPr>
            <w:r w:rsidRPr="00F110F6">
              <w:rPr>
                <w:rStyle w:val="normaltextrun"/>
              </w:rPr>
              <w:t>0</w:t>
            </w:r>
          </w:p>
        </w:tc>
        <w:tc>
          <w:tcPr>
            <w:tcW w:w="737" w:type="dxa"/>
          </w:tcPr>
          <w:p w14:paraId="25EC977B" w14:textId="421BECA1" w:rsidR="007A6856" w:rsidRPr="00F110F6" w:rsidRDefault="007A6856" w:rsidP="002D3A0D">
            <w:pPr>
              <w:pStyle w:val="TableBody0"/>
              <w:spacing w:line="288" w:lineRule="auto"/>
              <w:jc w:val="right"/>
            </w:pPr>
            <w:r w:rsidRPr="00F110F6">
              <w:rPr>
                <w:rStyle w:val="normaltextrun"/>
              </w:rPr>
              <w:t>0</w:t>
            </w:r>
          </w:p>
        </w:tc>
        <w:tc>
          <w:tcPr>
            <w:tcW w:w="567" w:type="dxa"/>
          </w:tcPr>
          <w:p w14:paraId="007C0781" w14:textId="4C0B6D77" w:rsidR="007A6856" w:rsidRPr="00F110F6" w:rsidRDefault="007A6856" w:rsidP="002D3A0D">
            <w:pPr>
              <w:pStyle w:val="TableBody0"/>
              <w:spacing w:line="288" w:lineRule="auto"/>
              <w:jc w:val="right"/>
            </w:pPr>
            <w:r w:rsidRPr="00F110F6">
              <w:rPr>
                <w:rStyle w:val="normaltextrun"/>
              </w:rPr>
              <w:t>0</w:t>
            </w:r>
          </w:p>
        </w:tc>
        <w:tc>
          <w:tcPr>
            <w:tcW w:w="844" w:type="dxa"/>
          </w:tcPr>
          <w:p w14:paraId="31389939" w14:textId="797CF57D" w:rsidR="007A6856" w:rsidRPr="00F110F6" w:rsidRDefault="007A6856" w:rsidP="002D3A0D">
            <w:pPr>
              <w:pStyle w:val="TableBody0"/>
              <w:spacing w:line="288" w:lineRule="auto"/>
              <w:jc w:val="right"/>
            </w:pPr>
            <w:r w:rsidRPr="00F110F6">
              <w:rPr>
                <w:rStyle w:val="normaltextrun"/>
              </w:rPr>
              <w:t>0</w:t>
            </w:r>
          </w:p>
        </w:tc>
        <w:tc>
          <w:tcPr>
            <w:tcW w:w="844" w:type="dxa"/>
          </w:tcPr>
          <w:p w14:paraId="635AE820" w14:textId="19024F33" w:rsidR="007A6856" w:rsidRPr="00F110F6" w:rsidRDefault="007A6856" w:rsidP="002D3A0D">
            <w:pPr>
              <w:pStyle w:val="TableBody0"/>
              <w:spacing w:line="288" w:lineRule="auto"/>
              <w:jc w:val="right"/>
            </w:pPr>
            <w:r w:rsidRPr="00F110F6">
              <w:rPr>
                <w:rStyle w:val="normaltextrun"/>
              </w:rPr>
              <w:t>0</w:t>
            </w:r>
          </w:p>
        </w:tc>
        <w:tc>
          <w:tcPr>
            <w:tcW w:w="844" w:type="dxa"/>
          </w:tcPr>
          <w:p w14:paraId="3187FB1A" w14:textId="33C3BCC8" w:rsidR="007A6856" w:rsidRPr="00F110F6" w:rsidRDefault="007A6856" w:rsidP="002D3A0D">
            <w:pPr>
              <w:pStyle w:val="TableBody0"/>
              <w:spacing w:line="288" w:lineRule="auto"/>
              <w:jc w:val="right"/>
            </w:pPr>
            <w:r w:rsidRPr="00F110F6">
              <w:rPr>
                <w:rStyle w:val="normaltextrun"/>
              </w:rPr>
              <w:t>0</w:t>
            </w:r>
          </w:p>
        </w:tc>
        <w:tc>
          <w:tcPr>
            <w:tcW w:w="844" w:type="dxa"/>
          </w:tcPr>
          <w:p w14:paraId="48B8E85D" w14:textId="3168F3CB" w:rsidR="007A6856" w:rsidRPr="00F110F6" w:rsidRDefault="007A6856" w:rsidP="002D3A0D">
            <w:pPr>
              <w:pStyle w:val="TableBody0"/>
              <w:spacing w:line="288" w:lineRule="auto"/>
              <w:jc w:val="right"/>
            </w:pPr>
            <w:r w:rsidRPr="00F110F6">
              <w:rPr>
                <w:rStyle w:val="normaltextrun"/>
              </w:rPr>
              <w:t>0</w:t>
            </w:r>
          </w:p>
        </w:tc>
        <w:tc>
          <w:tcPr>
            <w:tcW w:w="850" w:type="dxa"/>
          </w:tcPr>
          <w:p w14:paraId="78B72268" w14:textId="1A706876" w:rsidR="007A6856" w:rsidRPr="00F110F6" w:rsidRDefault="007A6856" w:rsidP="002D3A0D">
            <w:pPr>
              <w:pStyle w:val="TableBody0"/>
              <w:spacing w:line="288" w:lineRule="auto"/>
              <w:jc w:val="right"/>
            </w:pPr>
            <w:r w:rsidRPr="00F110F6">
              <w:rPr>
                <w:rStyle w:val="normaltextrun"/>
              </w:rPr>
              <w:t>0</w:t>
            </w:r>
          </w:p>
        </w:tc>
        <w:tc>
          <w:tcPr>
            <w:tcW w:w="850" w:type="dxa"/>
          </w:tcPr>
          <w:p w14:paraId="24AFDBD4" w14:textId="7D38EA5E" w:rsidR="007A6856" w:rsidRPr="00F110F6" w:rsidRDefault="007A6856" w:rsidP="002D3A0D">
            <w:pPr>
              <w:pStyle w:val="TableBody0"/>
              <w:spacing w:line="288" w:lineRule="auto"/>
              <w:jc w:val="right"/>
            </w:pPr>
            <w:r w:rsidRPr="00F110F6">
              <w:rPr>
                <w:rStyle w:val="normaltextrun"/>
              </w:rPr>
              <w:t>0</w:t>
            </w:r>
          </w:p>
        </w:tc>
        <w:tc>
          <w:tcPr>
            <w:tcW w:w="838" w:type="dxa"/>
          </w:tcPr>
          <w:p w14:paraId="09912B29" w14:textId="55B994CE" w:rsidR="007A6856" w:rsidRPr="00F110F6" w:rsidRDefault="007A6856" w:rsidP="002D3A0D">
            <w:pPr>
              <w:pStyle w:val="TableBody0"/>
              <w:spacing w:line="288" w:lineRule="auto"/>
              <w:jc w:val="right"/>
            </w:pPr>
            <w:r w:rsidRPr="00F110F6">
              <w:rPr>
                <w:rStyle w:val="normaltextrun"/>
              </w:rPr>
              <w:t>0</w:t>
            </w:r>
          </w:p>
        </w:tc>
      </w:tr>
      <w:tr w:rsidR="007A6856" w:rsidRPr="00F110F6" w14:paraId="51C1C8D3"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032A58C3" w14:textId="77777777" w:rsidR="007A6856" w:rsidRPr="00F110F6" w:rsidRDefault="007A6856" w:rsidP="002D3A0D">
            <w:pPr>
              <w:pStyle w:val="TableBody0"/>
              <w:spacing w:line="288" w:lineRule="auto"/>
              <w:rPr>
                <w:b/>
                <w:bCs/>
              </w:rPr>
            </w:pPr>
            <w:r w:rsidRPr="00F110F6">
              <w:rPr>
                <w:b/>
                <w:bCs/>
              </w:rPr>
              <w:t>Total</w:t>
            </w:r>
          </w:p>
        </w:tc>
        <w:tc>
          <w:tcPr>
            <w:tcW w:w="844" w:type="dxa"/>
          </w:tcPr>
          <w:p w14:paraId="0A9BF195" w14:textId="6B3C1D73" w:rsidR="007A6856" w:rsidRPr="00F110F6" w:rsidRDefault="007A6856" w:rsidP="002D3A0D">
            <w:pPr>
              <w:pStyle w:val="TableBody0"/>
              <w:spacing w:line="288" w:lineRule="auto"/>
              <w:jc w:val="right"/>
              <w:rPr>
                <w:b/>
                <w:bCs/>
              </w:rPr>
            </w:pPr>
            <w:r w:rsidRPr="00F110F6">
              <w:rPr>
                <w:rStyle w:val="normaltextrun"/>
                <w:b/>
                <w:bCs/>
              </w:rPr>
              <w:t>2,581</w:t>
            </w:r>
          </w:p>
        </w:tc>
        <w:tc>
          <w:tcPr>
            <w:tcW w:w="844" w:type="dxa"/>
          </w:tcPr>
          <w:p w14:paraId="1B8F9236" w14:textId="0BF57A95" w:rsidR="007A6856" w:rsidRPr="00F110F6" w:rsidRDefault="007A6856" w:rsidP="002D3A0D">
            <w:pPr>
              <w:pStyle w:val="TableBody0"/>
              <w:spacing w:line="288" w:lineRule="auto"/>
              <w:jc w:val="right"/>
              <w:rPr>
                <w:b/>
                <w:bCs/>
              </w:rPr>
            </w:pPr>
            <w:r w:rsidRPr="00F110F6">
              <w:rPr>
                <w:rStyle w:val="normaltextrun"/>
                <w:b/>
                <w:bCs/>
              </w:rPr>
              <w:t>134</w:t>
            </w:r>
          </w:p>
        </w:tc>
        <w:tc>
          <w:tcPr>
            <w:tcW w:w="844" w:type="dxa"/>
          </w:tcPr>
          <w:p w14:paraId="6DE8EB1C" w14:textId="064A8027" w:rsidR="007A6856" w:rsidRPr="00F110F6" w:rsidRDefault="007A6856" w:rsidP="002D3A0D">
            <w:pPr>
              <w:pStyle w:val="TableBody0"/>
              <w:spacing w:line="288" w:lineRule="auto"/>
              <w:jc w:val="right"/>
              <w:rPr>
                <w:b/>
                <w:bCs/>
              </w:rPr>
            </w:pPr>
            <w:r w:rsidRPr="00F110F6">
              <w:rPr>
                <w:rStyle w:val="normaltextrun"/>
                <w:b/>
                <w:bCs/>
              </w:rPr>
              <w:t>2,715</w:t>
            </w:r>
          </w:p>
        </w:tc>
        <w:tc>
          <w:tcPr>
            <w:tcW w:w="844" w:type="dxa"/>
          </w:tcPr>
          <w:p w14:paraId="1B908966" w14:textId="26AA2267" w:rsidR="007A6856" w:rsidRPr="00F110F6" w:rsidRDefault="007A6856" w:rsidP="002D3A0D">
            <w:pPr>
              <w:pStyle w:val="TableBody0"/>
              <w:spacing w:line="288" w:lineRule="auto"/>
              <w:jc w:val="right"/>
              <w:rPr>
                <w:b/>
                <w:bCs/>
              </w:rPr>
            </w:pPr>
            <w:r w:rsidRPr="00F110F6">
              <w:rPr>
                <w:rStyle w:val="normaltextrun"/>
                <w:b/>
                <w:bCs/>
              </w:rPr>
              <w:t>6,238</w:t>
            </w:r>
          </w:p>
        </w:tc>
        <w:tc>
          <w:tcPr>
            <w:tcW w:w="844" w:type="dxa"/>
          </w:tcPr>
          <w:p w14:paraId="12F3BF6F" w14:textId="6BD9B8D9" w:rsidR="007A6856" w:rsidRPr="00F110F6" w:rsidRDefault="007A6856" w:rsidP="002D3A0D">
            <w:pPr>
              <w:pStyle w:val="TableBody0"/>
              <w:spacing w:line="288" w:lineRule="auto"/>
              <w:jc w:val="right"/>
              <w:rPr>
                <w:b/>
                <w:bCs/>
              </w:rPr>
            </w:pPr>
            <w:r w:rsidRPr="00F110F6">
              <w:rPr>
                <w:rStyle w:val="normaltextrun"/>
                <w:b/>
                <w:bCs/>
              </w:rPr>
              <w:t>1,133</w:t>
            </w:r>
          </w:p>
        </w:tc>
        <w:tc>
          <w:tcPr>
            <w:tcW w:w="844" w:type="dxa"/>
          </w:tcPr>
          <w:p w14:paraId="2C03D3B3" w14:textId="17BBE6D8" w:rsidR="007A6856" w:rsidRPr="00F110F6" w:rsidRDefault="007A6856" w:rsidP="002D3A0D">
            <w:pPr>
              <w:pStyle w:val="TableBody0"/>
              <w:spacing w:line="288" w:lineRule="auto"/>
              <w:jc w:val="right"/>
              <w:rPr>
                <w:b/>
                <w:bCs/>
              </w:rPr>
            </w:pPr>
            <w:r w:rsidRPr="00F110F6">
              <w:rPr>
                <w:rStyle w:val="normaltextrun"/>
                <w:b/>
                <w:bCs/>
              </w:rPr>
              <w:t>7,371</w:t>
            </w:r>
          </w:p>
        </w:tc>
        <w:tc>
          <w:tcPr>
            <w:tcW w:w="737" w:type="dxa"/>
          </w:tcPr>
          <w:p w14:paraId="29DD53B8" w14:textId="71A6FAB8" w:rsidR="007A6856" w:rsidRPr="00F110F6" w:rsidRDefault="007A6856" w:rsidP="002D3A0D">
            <w:pPr>
              <w:pStyle w:val="TableBody0"/>
              <w:spacing w:line="288" w:lineRule="auto"/>
              <w:jc w:val="right"/>
              <w:rPr>
                <w:b/>
                <w:bCs/>
              </w:rPr>
            </w:pPr>
            <w:r w:rsidRPr="00F110F6">
              <w:rPr>
                <w:rStyle w:val="normaltextrun"/>
                <w:b/>
                <w:bCs/>
              </w:rPr>
              <w:t>47</w:t>
            </w:r>
          </w:p>
        </w:tc>
        <w:tc>
          <w:tcPr>
            <w:tcW w:w="737" w:type="dxa"/>
          </w:tcPr>
          <w:p w14:paraId="2AE17D95" w14:textId="246852D4" w:rsidR="007A6856" w:rsidRPr="00F110F6" w:rsidRDefault="007A6856" w:rsidP="002D3A0D">
            <w:pPr>
              <w:pStyle w:val="TableBody0"/>
              <w:spacing w:line="288" w:lineRule="auto"/>
              <w:jc w:val="right"/>
              <w:rPr>
                <w:b/>
                <w:bCs/>
              </w:rPr>
            </w:pPr>
            <w:r w:rsidRPr="00F110F6">
              <w:rPr>
                <w:rStyle w:val="normaltextrun"/>
                <w:b/>
                <w:bCs/>
              </w:rPr>
              <w:t>1</w:t>
            </w:r>
          </w:p>
        </w:tc>
        <w:tc>
          <w:tcPr>
            <w:tcW w:w="567" w:type="dxa"/>
          </w:tcPr>
          <w:p w14:paraId="279B7866" w14:textId="7E8C8738" w:rsidR="007A6856" w:rsidRPr="00F110F6" w:rsidRDefault="007A6856" w:rsidP="002D3A0D">
            <w:pPr>
              <w:pStyle w:val="TableBody0"/>
              <w:spacing w:line="288" w:lineRule="auto"/>
              <w:jc w:val="right"/>
              <w:rPr>
                <w:b/>
                <w:bCs/>
              </w:rPr>
            </w:pPr>
            <w:r w:rsidRPr="00F110F6">
              <w:rPr>
                <w:rStyle w:val="normaltextrun"/>
                <w:b/>
                <w:bCs/>
              </w:rPr>
              <w:t>48</w:t>
            </w:r>
          </w:p>
        </w:tc>
        <w:tc>
          <w:tcPr>
            <w:tcW w:w="844" w:type="dxa"/>
          </w:tcPr>
          <w:p w14:paraId="1266AE89" w14:textId="7BA72299" w:rsidR="007A6856" w:rsidRPr="00F110F6" w:rsidRDefault="007A6856" w:rsidP="002D3A0D">
            <w:pPr>
              <w:pStyle w:val="TableBody0"/>
              <w:spacing w:line="288" w:lineRule="auto"/>
              <w:jc w:val="right"/>
              <w:rPr>
                <w:b/>
                <w:bCs/>
              </w:rPr>
            </w:pPr>
            <w:r w:rsidRPr="00F110F6">
              <w:rPr>
                <w:rStyle w:val="normaltextrun"/>
                <w:b/>
                <w:bCs/>
              </w:rPr>
              <w:t>0</w:t>
            </w:r>
          </w:p>
        </w:tc>
        <w:tc>
          <w:tcPr>
            <w:tcW w:w="844" w:type="dxa"/>
          </w:tcPr>
          <w:p w14:paraId="08426A35" w14:textId="24438978" w:rsidR="007A6856" w:rsidRPr="00F110F6" w:rsidRDefault="007A6856" w:rsidP="002D3A0D">
            <w:pPr>
              <w:pStyle w:val="TableBody0"/>
              <w:spacing w:line="288" w:lineRule="auto"/>
              <w:jc w:val="right"/>
              <w:rPr>
                <w:b/>
                <w:bCs/>
              </w:rPr>
            </w:pPr>
            <w:r w:rsidRPr="00F110F6">
              <w:rPr>
                <w:rStyle w:val="normaltextrun"/>
                <w:b/>
                <w:bCs/>
              </w:rPr>
              <w:t>0</w:t>
            </w:r>
          </w:p>
        </w:tc>
        <w:tc>
          <w:tcPr>
            <w:tcW w:w="844" w:type="dxa"/>
          </w:tcPr>
          <w:p w14:paraId="76F11BB6" w14:textId="3F69B158" w:rsidR="007A6856" w:rsidRPr="00F110F6" w:rsidRDefault="007A6856" w:rsidP="002D3A0D">
            <w:pPr>
              <w:pStyle w:val="TableBody0"/>
              <w:spacing w:line="288" w:lineRule="auto"/>
              <w:jc w:val="right"/>
              <w:rPr>
                <w:b/>
                <w:bCs/>
              </w:rPr>
            </w:pPr>
            <w:r w:rsidRPr="00F110F6">
              <w:rPr>
                <w:rStyle w:val="normaltextrun"/>
                <w:b/>
                <w:bCs/>
              </w:rPr>
              <w:t>0</w:t>
            </w:r>
          </w:p>
        </w:tc>
        <w:tc>
          <w:tcPr>
            <w:tcW w:w="844" w:type="dxa"/>
          </w:tcPr>
          <w:p w14:paraId="1AC1189E" w14:textId="66B6AFFD" w:rsidR="007A6856" w:rsidRPr="00F110F6" w:rsidRDefault="007A6856" w:rsidP="002D3A0D">
            <w:pPr>
              <w:pStyle w:val="TableBody0"/>
              <w:spacing w:line="288" w:lineRule="auto"/>
              <w:jc w:val="right"/>
              <w:rPr>
                <w:b/>
                <w:bCs/>
              </w:rPr>
            </w:pPr>
            <w:r w:rsidRPr="00F110F6">
              <w:rPr>
                <w:rStyle w:val="normaltextrun"/>
                <w:b/>
                <w:bCs/>
              </w:rPr>
              <w:t>0</w:t>
            </w:r>
          </w:p>
        </w:tc>
        <w:tc>
          <w:tcPr>
            <w:tcW w:w="850" w:type="dxa"/>
          </w:tcPr>
          <w:p w14:paraId="7CDA36D8" w14:textId="03A2E6A5" w:rsidR="007A6856" w:rsidRPr="00F110F6" w:rsidRDefault="007A6856" w:rsidP="002D3A0D">
            <w:pPr>
              <w:pStyle w:val="TableBody0"/>
              <w:spacing w:line="288" w:lineRule="auto"/>
              <w:jc w:val="right"/>
              <w:rPr>
                <w:b/>
                <w:bCs/>
              </w:rPr>
            </w:pPr>
            <w:r w:rsidRPr="00F110F6">
              <w:rPr>
                <w:rStyle w:val="normaltextrun"/>
                <w:b/>
                <w:bCs/>
              </w:rPr>
              <w:t>0</w:t>
            </w:r>
          </w:p>
        </w:tc>
        <w:tc>
          <w:tcPr>
            <w:tcW w:w="850" w:type="dxa"/>
          </w:tcPr>
          <w:p w14:paraId="5A76E751" w14:textId="2055E3F2" w:rsidR="007A6856" w:rsidRPr="00F110F6" w:rsidRDefault="007A6856" w:rsidP="002D3A0D">
            <w:pPr>
              <w:pStyle w:val="TableBody0"/>
              <w:spacing w:line="288" w:lineRule="auto"/>
              <w:jc w:val="right"/>
              <w:rPr>
                <w:b/>
                <w:bCs/>
              </w:rPr>
            </w:pPr>
            <w:r w:rsidRPr="00F110F6">
              <w:rPr>
                <w:rStyle w:val="normaltextrun"/>
                <w:b/>
                <w:bCs/>
              </w:rPr>
              <w:t>0</w:t>
            </w:r>
          </w:p>
        </w:tc>
        <w:tc>
          <w:tcPr>
            <w:tcW w:w="838" w:type="dxa"/>
          </w:tcPr>
          <w:p w14:paraId="1E94E92B" w14:textId="29FF65E2" w:rsidR="007A6856" w:rsidRPr="00F110F6" w:rsidRDefault="007A6856" w:rsidP="002D3A0D">
            <w:pPr>
              <w:pStyle w:val="TableBody0"/>
              <w:spacing w:line="288" w:lineRule="auto"/>
              <w:jc w:val="right"/>
              <w:rPr>
                <w:b/>
                <w:bCs/>
              </w:rPr>
            </w:pPr>
            <w:r w:rsidRPr="00F110F6">
              <w:rPr>
                <w:rStyle w:val="normaltextrun"/>
                <w:b/>
                <w:bCs/>
              </w:rPr>
              <w:t>10,134</w:t>
            </w:r>
          </w:p>
        </w:tc>
      </w:tr>
    </w:tbl>
    <w:p w14:paraId="6EB1BA6A" w14:textId="2C92F15C" w:rsidR="00920D7D" w:rsidRPr="00F110F6" w:rsidRDefault="00300BE2" w:rsidP="00300BE2">
      <w:pPr>
        <w:pStyle w:val="Caption"/>
      </w:pPr>
      <w:r>
        <w:t xml:space="preserve">Table </w:t>
      </w:r>
      <w:r w:rsidR="0007555E">
        <w:rPr>
          <w:noProof/>
        </w:rPr>
        <w:t>2</w:t>
      </w:r>
      <w:r w:rsidR="0068179C">
        <w:rPr>
          <w:noProof/>
        </w:rPr>
        <w:t>6</w:t>
      </w:r>
      <w:r>
        <w:t xml:space="preserve">. </w:t>
      </w:r>
      <w:r w:rsidR="00920D7D" w:rsidRPr="00F110F6">
        <w:t>All non-ongoing employees – previous reporting period (2024–25)</w:t>
      </w:r>
    </w:p>
    <w:tbl>
      <w:tblPr>
        <w:tblStyle w:val="NDISTable1"/>
        <w:tblW w:w="14213" w:type="dxa"/>
        <w:tblLayout w:type="fixed"/>
        <w:tblCellMar>
          <w:left w:w="57" w:type="dxa"/>
          <w:right w:w="28" w:type="dxa"/>
        </w:tblCellMar>
        <w:tblLook w:val="0420" w:firstRow="1" w:lastRow="0" w:firstColumn="0" w:lastColumn="0" w:noHBand="0" w:noVBand="1"/>
        <w:tblDescription w:val="[Insert table description] with columns for [Insert column headings]. The table has [insert number] columns and [insert number] rows."/>
      </w:tblPr>
      <w:tblGrid>
        <w:gridCol w:w="1194"/>
        <w:gridCol w:w="844"/>
        <w:gridCol w:w="844"/>
        <w:gridCol w:w="844"/>
        <w:gridCol w:w="844"/>
        <w:gridCol w:w="844"/>
        <w:gridCol w:w="844"/>
        <w:gridCol w:w="737"/>
        <w:gridCol w:w="737"/>
        <w:gridCol w:w="567"/>
        <w:gridCol w:w="844"/>
        <w:gridCol w:w="844"/>
        <w:gridCol w:w="844"/>
        <w:gridCol w:w="844"/>
        <w:gridCol w:w="850"/>
        <w:gridCol w:w="850"/>
        <w:gridCol w:w="838"/>
      </w:tblGrid>
      <w:tr w:rsidR="00DF5731" w:rsidRPr="00D92DA6" w14:paraId="076C2CA6" w14:textId="77777777" w:rsidTr="006C1EDF">
        <w:trPr>
          <w:cnfStyle w:val="100000000000" w:firstRow="1" w:lastRow="0" w:firstColumn="0" w:lastColumn="0" w:oddVBand="0" w:evenVBand="0" w:oddHBand="0" w:evenHBand="0" w:firstRowFirstColumn="0" w:firstRowLastColumn="0" w:lastRowFirstColumn="0" w:lastRowLastColumn="0"/>
          <w:trHeight w:val="1928"/>
        </w:trPr>
        <w:tc>
          <w:tcPr>
            <w:tcW w:w="1194" w:type="dxa"/>
            <w:textDirection w:val="tbRl"/>
            <w:vAlign w:val="bottom"/>
          </w:tcPr>
          <w:p w14:paraId="0ED7890D" w14:textId="77777777" w:rsidR="00DF5731" w:rsidRPr="00D92DA6" w:rsidRDefault="00DF5731" w:rsidP="0039474A">
            <w:pPr>
              <w:pStyle w:val="TableBody0"/>
              <w:spacing w:line="288" w:lineRule="auto"/>
              <w:ind w:left="113" w:right="113"/>
            </w:pPr>
            <w:r w:rsidRPr="004D5FC7">
              <w:t>State or territory</w:t>
            </w:r>
          </w:p>
        </w:tc>
        <w:tc>
          <w:tcPr>
            <w:tcW w:w="844" w:type="dxa"/>
            <w:textDirection w:val="tbRl"/>
            <w:vAlign w:val="center"/>
          </w:tcPr>
          <w:p w14:paraId="7DB1819A" w14:textId="11DDA69F" w:rsidR="00DF5731" w:rsidRPr="00D92DA6" w:rsidRDefault="00DF5731" w:rsidP="000F28A8">
            <w:pPr>
              <w:pStyle w:val="TableBody0"/>
              <w:spacing w:line="288" w:lineRule="auto"/>
              <w:ind w:left="113" w:right="113"/>
            </w:pPr>
            <w:r w:rsidRPr="00D92DA6">
              <w:t>Man/</w:t>
            </w:r>
            <w:r w:rsidR="00E25EEF" w:rsidRPr="00D92DA6">
              <w:t>m</w:t>
            </w:r>
            <w:r w:rsidRPr="00D92DA6">
              <w:t>ale full time</w:t>
            </w:r>
          </w:p>
        </w:tc>
        <w:tc>
          <w:tcPr>
            <w:tcW w:w="844" w:type="dxa"/>
            <w:textDirection w:val="tbRl"/>
            <w:vAlign w:val="center"/>
          </w:tcPr>
          <w:p w14:paraId="1DC5DA09" w14:textId="7F4DDA41" w:rsidR="00DF5731" w:rsidRPr="00D92DA6" w:rsidRDefault="00DF5731" w:rsidP="000F28A8">
            <w:pPr>
              <w:pStyle w:val="TableBody0"/>
              <w:spacing w:line="288" w:lineRule="auto"/>
              <w:ind w:left="113" w:right="113"/>
            </w:pPr>
            <w:r w:rsidRPr="00D92DA6">
              <w:t>Man/</w:t>
            </w:r>
            <w:r w:rsidR="00E25EEF" w:rsidRPr="00D92DA6">
              <w:t>m</w:t>
            </w:r>
            <w:r w:rsidRPr="00D92DA6">
              <w:t>ale part time</w:t>
            </w:r>
          </w:p>
        </w:tc>
        <w:tc>
          <w:tcPr>
            <w:tcW w:w="844" w:type="dxa"/>
            <w:textDirection w:val="tbRl"/>
            <w:vAlign w:val="center"/>
          </w:tcPr>
          <w:p w14:paraId="4A4A487C" w14:textId="68BAEE2A" w:rsidR="00DF5731" w:rsidRPr="00D92DA6" w:rsidRDefault="00DF5731" w:rsidP="000F28A8">
            <w:pPr>
              <w:pStyle w:val="TableBody0"/>
              <w:spacing w:line="288" w:lineRule="auto"/>
              <w:ind w:left="113" w:right="113"/>
            </w:pPr>
            <w:r w:rsidRPr="00D92DA6">
              <w:t>Man/</w:t>
            </w:r>
            <w:r w:rsidR="00E25EEF" w:rsidRPr="00D92DA6">
              <w:t>m</w:t>
            </w:r>
            <w:r w:rsidRPr="00D92DA6">
              <w:t>ale total</w:t>
            </w:r>
          </w:p>
        </w:tc>
        <w:tc>
          <w:tcPr>
            <w:tcW w:w="844" w:type="dxa"/>
            <w:textDirection w:val="tbRl"/>
            <w:vAlign w:val="center"/>
          </w:tcPr>
          <w:p w14:paraId="1ECBA640" w14:textId="664FB984" w:rsidR="00DF5731" w:rsidRPr="00D92DA6" w:rsidRDefault="00DF5731" w:rsidP="000F28A8">
            <w:pPr>
              <w:pStyle w:val="TableBody0"/>
              <w:spacing w:line="288" w:lineRule="auto"/>
              <w:ind w:left="113" w:right="113"/>
            </w:pPr>
            <w:r w:rsidRPr="00D92DA6">
              <w:t>Woman/</w:t>
            </w:r>
            <w:r w:rsidR="00E25EEF" w:rsidRPr="00D92DA6">
              <w:t>f</w:t>
            </w:r>
            <w:r w:rsidRPr="00D92DA6">
              <w:t>emale full time</w:t>
            </w:r>
          </w:p>
        </w:tc>
        <w:tc>
          <w:tcPr>
            <w:tcW w:w="844" w:type="dxa"/>
            <w:textDirection w:val="tbRl"/>
            <w:vAlign w:val="center"/>
          </w:tcPr>
          <w:p w14:paraId="05B599A1" w14:textId="1B8CEB40" w:rsidR="00DF5731" w:rsidRPr="00D92DA6" w:rsidRDefault="00DF5731" w:rsidP="000F28A8">
            <w:pPr>
              <w:pStyle w:val="TableBody0"/>
              <w:spacing w:line="288" w:lineRule="auto"/>
              <w:ind w:left="113" w:right="113"/>
            </w:pPr>
            <w:r w:rsidRPr="00D92DA6">
              <w:t>Woman/</w:t>
            </w:r>
            <w:r w:rsidR="00E25EEF" w:rsidRPr="00D92DA6">
              <w:t>f</w:t>
            </w:r>
            <w:r w:rsidRPr="00D92DA6">
              <w:t>emale part time</w:t>
            </w:r>
          </w:p>
        </w:tc>
        <w:tc>
          <w:tcPr>
            <w:tcW w:w="844" w:type="dxa"/>
            <w:textDirection w:val="tbRl"/>
            <w:vAlign w:val="center"/>
          </w:tcPr>
          <w:p w14:paraId="22D367B1" w14:textId="0829B81E" w:rsidR="00DF5731" w:rsidRPr="00D92DA6" w:rsidRDefault="00DF5731" w:rsidP="000F28A8">
            <w:pPr>
              <w:pStyle w:val="TableBody0"/>
              <w:spacing w:line="288" w:lineRule="auto"/>
              <w:ind w:left="113" w:right="113"/>
            </w:pPr>
            <w:r w:rsidRPr="00D92DA6">
              <w:t>Woman/</w:t>
            </w:r>
            <w:r w:rsidR="00E25EEF" w:rsidRPr="00D92DA6">
              <w:t>f</w:t>
            </w:r>
            <w:r w:rsidRPr="00D92DA6">
              <w:t>emale total</w:t>
            </w:r>
          </w:p>
        </w:tc>
        <w:tc>
          <w:tcPr>
            <w:tcW w:w="737" w:type="dxa"/>
            <w:textDirection w:val="tbRl"/>
            <w:vAlign w:val="center"/>
          </w:tcPr>
          <w:p w14:paraId="233DBF9A" w14:textId="77777777" w:rsidR="00DF5731" w:rsidRPr="00D92DA6" w:rsidRDefault="00DF5731" w:rsidP="000F28A8">
            <w:pPr>
              <w:pStyle w:val="TableBody0"/>
              <w:spacing w:line="288" w:lineRule="auto"/>
              <w:ind w:left="113" w:right="113"/>
            </w:pPr>
            <w:r w:rsidRPr="00D92DA6">
              <w:t>Non-binary full time</w:t>
            </w:r>
          </w:p>
        </w:tc>
        <w:tc>
          <w:tcPr>
            <w:tcW w:w="737" w:type="dxa"/>
            <w:textDirection w:val="tbRl"/>
            <w:vAlign w:val="center"/>
          </w:tcPr>
          <w:p w14:paraId="12EC49AB" w14:textId="77777777" w:rsidR="00DF5731" w:rsidRPr="00D92DA6" w:rsidRDefault="00DF5731" w:rsidP="000F28A8">
            <w:pPr>
              <w:pStyle w:val="TableBody0"/>
              <w:spacing w:line="288" w:lineRule="auto"/>
              <w:ind w:left="113" w:right="113"/>
            </w:pPr>
            <w:r w:rsidRPr="00D92DA6">
              <w:t>Non-binary part time</w:t>
            </w:r>
          </w:p>
        </w:tc>
        <w:tc>
          <w:tcPr>
            <w:tcW w:w="567" w:type="dxa"/>
            <w:textDirection w:val="tbRl"/>
            <w:vAlign w:val="center"/>
          </w:tcPr>
          <w:p w14:paraId="0DD2ECFB" w14:textId="77777777" w:rsidR="00DF5731" w:rsidRPr="00D92DA6" w:rsidRDefault="00DF5731" w:rsidP="000F28A8">
            <w:pPr>
              <w:pStyle w:val="TableBody0"/>
              <w:spacing w:line="288" w:lineRule="auto"/>
              <w:ind w:left="113" w:right="113"/>
            </w:pPr>
            <w:r w:rsidRPr="00D92DA6">
              <w:t>Non-binary total</w:t>
            </w:r>
          </w:p>
        </w:tc>
        <w:tc>
          <w:tcPr>
            <w:tcW w:w="844" w:type="dxa"/>
            <w:textDirection w:val="tbRl"/>
            <w:vAlign w:val="center"/>
          </w:tcPr>
          <w:p w14:paraId="6FDA1413" w14:textId="77777777" w:rsidR="00DF5731" w:rsidRPr="00D92DA6" w:rsidRDefault="00DF5731" w:rsidP="000F28A8">
            <w:pPr>
              <w:pStyle w:val="TableBody0"/>
              <w:spacing w:line="288" w:lineRule="auto"/>
              <w:ind w:left="113" w:right="113"/>
            </w:pPr>
            <w:r w:rsidRPr="00D92DA6">
              <w:t>Prefers not to answer full time</w:t>
            </w:r>
          </w:p>
        </w:tc>
        <w:tc>
          <w:tcPr>
            <w:tcW w:w="844" w:type="dxa"/>
            <w:textDirection w:val="tbRl"/>
            <w:vAlign w:val="center"/>
          </w:tcPr>
          <w:p w14:paraId="1C411444" w14:textId="77777777" w:rsidR="00DF5731" w:rsidRPr="00D92DA6" w:rsidRDefault="00DF5731" w:rsidP="000F28A8">
            <w:pPr>
              <w:pStyle w:val="TableBody0"/>
              <w:spacing w:line="288" w:lineRule="auto"/>
              <w:ind w:left="113" w:right="113"/>
            </w:pPr>
            <w:r w:rsidRPr="00D92DA6">
              <w:t>Prefers not to answer part time</w:t>
            </w:r>
          </w:p>
        </w:tc>
        <w:tc>
          <w:tcPr>
            <w:tcW w:w="844" w:type="dxa"/>
            <w:textDirection w:val="tbRl"/>
            <w:vAlign w:val="center"/>
          </w:tcPr>
          <w:p w14:paraId="07B335D2" w14:textId="77777777" w:rsidR="00DF5731" w:rsidRPr="00D92DA6" w:rsidRDefault="00DF5731" w:rsidP="000F28A8">
            <w:pPr>
              <w:pStyle w:val="TableBody0"/>
              <w:spacing w:line="288" w:lineRule="auto"/>
              <w:ind w:left="113" w:right="113"/>
            </w:pPr>
            <w:r w:rsidRPr="00D92DA6">
              <w:t>Prefers not to answer total</w:t>
            </w:r>
          </w:p>
        </w:tc>
        <w:tc>
          <w:tcPr>
            <w:tcW w:w="844" w:type="dxa"/>
            <w:textDirection w:val="tbRl"/>
            <w:vAlign w:val="center"/>
          </w:tcPr>
          <w:p w14:paraId="012466DA" w14:textId="77777777" w:rsidR="00DF5731" w:rsidRPr="00D92DA6" w:rsidRDefault="00DF5731" w:rsidP="000F28A8">
            <w:pPr>
              <w:pStyle w:val="TableBody0"/>
              <w:spacing w:line="288" w:lineRule="auto"/>
              <w:ind w:left="113" w:right="113"/>
            </w:pPr>
            <w:r w:rsidRPr="00D92DA6">
              <w:t>Uses a different term full time</w:t>
            </w:r>
          </w:p>
        </w:tc>
        <w:tc>
          <w:tcPr>
            <w:tcW w:w="850" w:type="dxa"/>
            <w:textDirection w:val="tbRl"/>
            <w:vAlign w:val="center"/>
          </w:tcPr>
          <w:p w14:paraId="6C8A5717" w14:textId="77777777" w:rsidR="00DF5731" w:rsidRPr="00D92DA6" w:rsidRDefault="00DF5731" w:rsidP="000F28A8">
            <w:pPr>
              <w:pStyle w:val="TableBody0"/>
              <w:spacing w:line="288" w:lineRule="auto"/>
              <w:ind w:left="113" w:right="113"/>
            </w:pPr>
            <w:r w:rsidRPr="00D92DA6">
              <w:t>Uses a different term part time</w:t>
            </w:r>
          </w:p>
        </w:tc>
        <w:tc>
          <w:tcPr>
            <w:tcW w:w="850" w:type="dxa"/>
            <w:textDirection w:val="tbRl"/>
            <w:vAlign w:val="center"/>
          </w:tcPr>
          <w:p w14:paraId="123BF968" w14:textId="77777777" w:rsidR="00DF5731" w:rsidRPr="00D92DA6" w:rsidRDefault="00DF5731" w:rsidP="000F28A8">
            <w:pPr>
              <w:pStyle w:val="TableBody0"/>
              <w:spacing w:line="288" w:lineRule="auto"/>
              <w:ind w:left="113" w:right="113"/>
            </w:pPr>
            <w:r w:rsidRPr="00D92DA6">
              <w:t>Uses a different term total</w:t>
            </w:r>
          </w:p>
        </w:tc>
        <w:tc>
          <w:tcPr>
            <w:tcW w:w="838" w:type="dxa"/>
            <w:textDirection w:val="tbRl"/>
            <w:vAlign w:val="center"/>
          </w:tcPr>
          <w:p w14:paraId="21DBC6F3" w14:textId="77777777" w:rsidR="00DF5731" w:rsidRPr="00D92DA6" w:rsidRDefault="00DF5731" w:rsidP="000F28A8">
            <w:pPr>
              <w:pStyle w:val="TableBody0"/>
              <w:spacing w:line="288" w:lineRule="auto"/>
              <w:ind w:left="113" w:right="113"/>
            </w:pPr>
            <w:r w:rsidRPr="00D92DA6">
              <w:t>Total</w:t>
            </w:r>
          </w:p>
        </w:tc>
      </w:tr>
      <w:tr w:rsidR="00DF5731" w:rsidRPr="00F110F6" w14:paraId="1D1855FE"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5BF9A402" w14:textId="77777777" w:rsidR="00DF5731" w:rsidRPr="00F110F6" w:rsidRDefault="00DF5731" w:rsidP="002D3A0D">
            <w:pPr>
              <w:pStyle w:val="TableBody0"/>
              <w:spacing w:line="288" w:lineRule="auto"/>
            </w:pPr>
            <w:r w:rsidRPr="00F110F6">
              <w:t>NSW</w:t>
            </w:r>
          </w:p>
        </w:tc>
        <w:tc>
          <w:tcPr>
            <w:tcW w:w="844" w:type="dxa"/>
          </w:tcPr>
          <w:p w14:paraId="1315DA6A" w14:textId="5022AF00" w:rsidR="00DF5731" w:rsidRPr="00F110F6" w:rsidRDefault="00DF5731" w:rsidP="002D3A0D">
            <w:pPr>
              <w:pStyle w:val="TableBody0"/>
              <w:spacing w:line="288" w:lineRule="auto"/>
              <w:jc w:val="right"/>
            </w:pPr>
            <w:r w:rsidRPr="00F110F6">
              <w:rPr>
                <w:rStyle w:val="normaltextrun"/>
              </w:rPr>
              <w:t>26</w:t>
            </w:r>
          </w:p>
        </w:tc>
        <w:tc>
          <w:tcPr>
            <w:tcW w:w="844" w:type="dxa"/>
          </w:tcPr>
          <w:p w14:paraId="4868C762" w14:textId="7AD4C2D4" w:rsidR="00DF5731" w:rsidRPr="00F110F6" w:rsidRDefault="00DF5731" w:rsidP="002D3A0D">
            <w:pPr>
              <w:pStyle w:val="TableBody0"/>
              <w:spacing w:line="288" w:lineRule="auto"/>
              <w:jc w:val="right"/>
            </w:pPr>
            <w:r w:rsidRPr="00F110F6">
              <w:rPr>
                <w:rStyle w:val="normaltextrun"/>
              </w:rPr>
              <w:t>2</w:t>
            </w:r>
          </w:p>
        </w:tc>
        <w:tc>
          <w:tcPr>
            <w:tcW w:w="844" w:type="dxa"/>
          </w:tcPr>
          <w:p w14:paraId="76B5E140" w14:textId="1718612D" w:rsidR="00DF5731" w:rsidRPr="00F110F6" w:rsidRDefault="00DF5731" w:rsidP="002D3A0D">
            <w:pPr>
              <w:pStyle w:val="TableBody0"/>
              <w:spacing w:line="288" w:lineRule="auto"/>
              <w:jc w:val="right"/>
            </w:pPr>
            <w:r w:rsidRPr="00F110F6">
              <w:rPr>
                <w:rStyle w:val="normaltextrun"/>
              </w:rPr>
              <w:t>28</w:t>
            </w:r>
          </w:p>
        </w:tc>
        <w:tc>
          <w:tcPr>
            <w:tcW w:w="844" w:type="dxa"/>
          </w:tcPr>
          <w:p w14:paraId="3A8F4E9C" w14:textId="078F63CF" w:rsidR="00DF5731" w:rsidRPr="00F110F6" w:rsidRDefault="00DF5731" w:rsidP="002D3A0D">
            <w:pPr>
              <w:pStyle w:val="TableBody0"/>
              <w:spacing w:line="288" w:lineRule="auto"/>
              <w:jc w:val="right"/>
            </w:pPr>
            <w:r w:rsidRPr="00F110F6">
              <w:rPr>
                <w:rStyle w:val="normaltextrun"/>
              </w:rPr>
              <w:t>73</w:t>
            </w:r>
          </w:p>
        </w:tc>
        <w:tc>
          <w:tcPr>
            <w:tcW w:w="844" w:type="dxa"/>
          </w:tcPr>
          <w:p w14:paraId="26C781FA" w14:textId="322BEE4F" w:rsidR="00DF5731" w:rsidRPr="00F110F6" w:rsidRDefault="00DF5731" w:rsidP="002D3A0D">
            <w:pPr>
              <w:pStyle w:val="TableBody0"/>
              <w:spacing w:line="288" w:lineRule="auto"/>
              <w:jc w:val="right"/>
            </w:pPr>
            <w:r w:rsidRPr="00F110F6">
              <w:rPr>
                <w:rStyle w:val="normaltextrun"/>
              </w:rPr>
              <w:t>1</w:t>
            </w:r>
          </w:p>
        </w:tc>
        <w:tc>
          <w:tcPr>
            <w:tcW w:w="844" w:type="dxa"/>
          </w:tcPr>
          <w:p w14:paraId="4ED21C5A" w14:textId="05961EC7" w:rsidR="00DF5731" w:rsidRPr="00F110F6" w:rsidRDefault="00DF5731" w:rsidP="002D3A0D">
            <w:pPr>
              <w:pStyle w:val="TableBody0"/>
              <w:spacing w:line="288" w:lineRule="auto"/>
              <w:jc w:val="right"/>
            </w:pPr>
            <w:r w:rsidRPr="00F110F6">
              <w:rPr>
                <w:rStyle w:val="normaltextrun"/>
              </w:rPr>
              <w:t>74</w:t>
            </w:r>
          </w:p>
        </w:tc>
        <w:tc>
          <w:tcPr>
            <w:tcW w:w="737" w:type="dxa"/>
          </w:tcPr>
          <w:p w14:paraId="6D967BF0" w14:textId="646F2EEC" w:rsidR="00DF5731" w:rsidRPr="00F110F6" w:rsidRDefault="00DF5731" w:rsidP="002D3A0D">
            <w:pPr>
              <w:pStyle w:val="TableBody0"/>
              <w:spacing w:line="288" w:lineRule="auto"/>
              <w:jc w:val="right"/>
            </w:pPr>
            <w:r w:rsidRPr="00F110F6">
              <w:rPr>
                <w:rStyle w:val="normaltextrun"/>
              </w:rPr>
              <w:t>0</w:t>
            </w:r>
          </w:p>
        </w:tc>
        <w:tc>
          <w:tcPr>
            <w:tcW w:w="737" w:type="dxa"/>
          </w:tcPr>
          <w:p w14:paraId="411D9ED3" w14:textId="39B6C29F" w:rsidR="00DF5731" w:rsidRPr="00F110F6" w:rsidRDefault="00DF5731" w:rsidP="002D3A0D">
            <w:pPr>
              <w:pStyle w:val="TableBody0"/>
              <w:spacing w:line="288" w:lineRule="auto"/>
              <w:jc w:val="right"/>
            </w:pPr>
            <w:r w:rsidRPr="00F110F6">
              <w:rPr>
                <w:rStyle w:val="normaltextrun"/>
              </w:rPr>
              <w:t>0</w:t>
            </w:r>
          </w:p>
        </w:tc>
        <w:tc>
          <w:tcPr>
            <w:tcW w:w="567" w:type="dxa"/>
          </w:tcPr>
          <w:p w14:paraId="2862C937" w14:textId="3253F65A" w:rsidR="00DF5731" w:rsidRPr="00F110F6" w:rsidRDefault="00DF5731" w:rsidP="002D3A0D">
            <w:pPr>
              <w:pStyle w:val="TableBody0"/>
              <w:spacing w:line="288" w:lineRule="auto"/>
              <w:jc w:val="right"/>
            </w:pPr>
            <w:r w:rsidRPr="00F110F6">
              <w:rPr>
                <w:rStyle w:val="normaltextrun"/>
              </w:rPr>
              <w:t>0</w:t>
            </w:r>
          </w:p>
        </w:tc>
        <w:tc>
          <w:tcPr>
            <w:tcW w:w="844" w:type="dxa"/>
          </w:tcPr>
          <w:p w14:paraId="70CDFE2C" w14:textId="787A52BE" w:rsidR="00DF5731" w:rsidRPr="00F110F6" w:rsidRDefault="00DF5731" w:rsidP="002D3A0D">
            <w:pPr>
              <w:pStyle w:val="TableBody0"/>
              <w:spacing w:line="288" w:lineRule="auto"/>
              <w:jc w:val="right"/>
            </w:pPr>
            <w:r w:rsidRPr="00F110F6">
              <w:rPr>
                <w:rStyle w:val="normaltextrun"/>
              </w:rPr>
              <w:t>0</w:t>
            </w:r>
          </w:p>
        </w:tc>
        <w:tc>
          <w:tcPr>
            <w:tcW w:w="844" w:type="dxa"/>
          </w:tcPr>
          <w:p w14:paraId="299CCADB" w14:textId="6A0ED46C" w:rsidR="00DF5731" w:rsidRPr="00F110F6" w:rsidRDefault="00DF5731" w:rsidP="002D3A0D">
            <w:pPr>
              <w:pStyle w:val="TableBody0"/>
              <w:spacing w:line="288" w:lineRule="auto"/>
              <w:jc w:val="right"/>
            </w:pPr>
            <w:r w:rsidRPr="00F110F6">
              <w:rPr>
                <w:rStyle w:val="normaltextrun"/>
              </w:rPr>
              <w:t>0</w:t>
            </w:r>
          </w:p>
        </w:tc>
        <w:tc>
          <w:tcPr>
            <w:tcW w:w="844" w:type="dxa"/>
          </w:tcPr>
          <w:p w14:paraId="7F1F0A8C" w14:textId="5C7D1F13" w:rsidR="00DF5731" w:rsidRPr="00F110F6" w:rsidRDefault="00DF5731" w:rsidP="002D3A0D">
            <w:pPr>
              <w:pStyle w:val="TableBody0"/>
              <w:spacing w:line="288" w:lineRule="auto"/>
              <w:jc w:val="right"/>
            </w:pPr>
            <w:r w:rsidRPr="00F110F6">
              <w:rPr>
                <w:rStyle w:val="normaltextrun"/>
              </w:rPr>
              <w:t>0</w:t>
            </w:r>
          </w:p>
        </w:tc>
        <w:tc>
          <w:tcPr>
            <w:tcW w:w="844" w:type="dxa"/>
          </w:tcPr>
          <w:p w14:paraId="64E498A4" w14:textId="463A6B23" w:rsidR="00DF5731" w:rsidRPr="00F110F6" w:rsidRDefault="00DF5731" w:rsidP="002D3A0D">
            <w:pPr>
              <w:pStyle w:val="TableBody0"/>
              <w:spacing w:line="288" w:lineRule="auto"/>
              <w:jc w:val="right"/>
            </w:pPr>
            <w:r w:rsidRPr="00F110F6">
              <w:rPr>
                <w:rStyle w:val="normaltextrun"/>
              </w:rPr>
              <w:t>0</w:t>
            </w:r>
          </w:p>
        </w:tc>
        <w:tc>
          <w:tcPr>
            <w:tcW w:w="850" w:type="dxa"/>
          </w:tcPr>
          <w:p w14:paraId="30C0A81E" w14:textId="15198A43" w:rsidR="00DF5731" w:rsidRPr="00F110F6" w:rsidRDefault="00DF5731" w:rsidP="002D3A0D">
            <w:pPr>
              <w:pStyle w:val="TableBody0"/>
              <w:spacing w:line="288" w:lineRule="auto"/>
              <w:jc w:val="right"/>
            </w:pPr>
            <w:r w:rsidRPr="00F110F6">
              <w:rPr>
                <w:rStyle w:val="normaltextrun"/>
              </w:rPr>
              <w:t>0</w:t>
            </w:r>
          </w:p>
        </w:tc>
        <w:tc>
          <w:tcPr>
            <w:tcW w:w="850" w:type="dxa"/>
          </w:tcPr>
          <w:p w14:paraId="69FE46E3" w14:textId="0C438FC5" w:rsidR="00DF5731" w:rsidRPr="00F110F6" w:rsidRDefault="00DF5731" w:rsidP="002D3A0D">
            <w:pPr>
              <w:pStyle w:val="TableBody0"/>
              <w:spacing w:line="288" w:lineRule="auto"/>
              <w:jc w:val="right"/>
            </w:pPr>
            <w:r w:rsidRPr="00F110F6">
              <w:rPr>
                <w:rStyle w:val="normaltextrun"/>
              </w:rPr>
              <w:t>0</w:t>
            </w:r>
          </w:p>
        </w:tc>
        <w:tc>
          <w:tcPr>
            <w:tcW w:w="838" w:type="dxa"/>
          </w:tcPr>
          <w:p w14:paraId="5AF250F3" w14:textId="7867481D" w:rsidR="00DF5731" w:rsidRPr="00F110F6" w:rsidRDefault="00DF5731" w:rsidP="002D3A0D">
            <w:pPr>
              <w:pStyle w:val="TableBody0"/>
              <w:spacing w:line="288" w:lineRule="auto"/>
              <w:jc w:val="right"/>
            </w:pPr>
            <w:r w:rsidRPr="00F110F6">
              <w:rPr>
                <w:rStyle w:val="normaltextrun"/>
              </w:rPr>
              <w:t>102</w:t>
            </w:r>
          </w:p>
        </w:tc>
      </w:tr>
      <w:tr w:rsidR="00DF5731" w:rsidRPr="00F110F6" w14:paraId="145D80C8"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49A7B156" w14:textId="4388FD69" w:rsidR="00DF5731" w:rsidRPr="00F110F6" w:rsidRDefault="00DF5731" w:rsidP="002D3A0D">
            <w:pPr>
              <w:pStyle w:val="TableBody0"/>
              <w:spacing w:line="288" w:lineRule="auto"/>
            </w:pPr>
            <w:r w:rsidRPr="00F110F6">
              <w:t>Q</w:t>
            </w:r>
            <w:r w:rsidR="00F612FF" w:rsidRPr="00F110F6">
              <w:t>ld</w:t>
            </w:r>
          </w:p>
        </w:tc>
        <w:tc>
          <w:tcPr>
            <w:tcW w:w="844" w:type="dxa"/>
          </w:tcPr>
          <w:p w14:paraId="414B15B2" w14:textId="1D7E7C0B" w:rsidR="00DF5731" w:rsidRPr="00F110F6" w:rsidRDefault="00DF5731" w:rsidP="002D3A0D">
            <w:pPr>
              <w:pStyle w:val="TableBody0"/>
              <w:spacing w:line="288" w:lineRule="auto"/>
              <w:jc w:val="right"/>
            </w:pPr>
            <w:r w:rsidRPr="00F110F6">
              <w:rPr>
                <w:rStyle w:val="normaltextrun"/>
              </w:rPr>
              <w:t>17</w:t>
            </w:r>
          </w:p>
        </w:tc>
        <w:tc>
          <w:tcPr>
            <w:tcW w:w="844" w:type="dxa"/>
          </w:tcPr>
          <w:p w14:paraId="788C2541" w14:textId="0EE951CD" w:rsidR="00DF5731" w:rsidRPr="00F110F6" w:rsidRDefault="00DF5731" w:rsidP="002D3A0D">
            <w:pPr>
              <w:pStyle w:val="TableBody0"/>
              <w:spacing w:line="288" w:lineRule="auto"/>
              <w:jc w:val="right"/>
            </w:pPr>
            <w:r w:rsidRPr="00F110F6">
              <w:rPr>
                <w:rStyle w:val="normaltextrun"/>
              </w:rPr>
              <w:t>1</w:t>
            </w:r>
          </w:p>
        </w:tc>
        <w:tc>
          <w:tcPr>
            <w:tcW w:w="844" w:type="dxa"/>
          </w:tcPr>
          <w:p w14:paraId="337E156A" w14:textId="5AEF76EE" w:rsidR="00DF5731" w:rsidRPr="00F110F6" w:rsidRDefault="00DF5731" w:rsidP="002D3A0D">
            <w:pPr>
              <w:pStyle w:val="TableBody0"/>
              <w:spacing w:line="288" w:lineRule="auto"/>
              <w:jc w:val="right"/>
            </w:pPr>
            <w:r w:rsidRPr="00F110F6">
              <w:rPr>
                <w:rStyle w:val="normaltextrun"/>
              </w:rPr>
              <w:t>18</w:t>
            </w:r>
          </w:p>
        </w:tc>
        <w:tc>
          <w:tcPr>
            <w:tcW w:w="844" w:type="dxa"/>
          </w:tcPr>
          <w:p w14:paraId="07086571" w14:textId="0B8038DD" w:rsidR="00DF5731" w:rsidRPr="00F110F6" w:rsidRDefault="00DF5731" w:rsidP="002D3A0D">
            <w:pPr>
              <w:pStyle w:val="TableBody0"/>
              <w:spacing w:line="288" w:lineRule="auto"/>
              <w:jc w:val="right"/>
            </w:pPr>
            <w:r w:rsidRPr="00F110F6">
              <w:rPr>
                <w:rStyle w:val="normaltextrun"/>
              </w:rPr>
              <w:t>54</w:t>
            </w:r>
          </w:p>
        </w:tc>
        <w:tc>
          <w:tcPr>
            <w:tcW w:w="844" w:type="dxa"/>
          </w:tcPr>
          <w:p w14:paraId="68286309" w14:textId="5C25A9C2" w:rsidR="00DF5731" w:rsidRPr="00F110F6" w:rsidRDefault="00DF5731" w:rsidP="002D3A0D">
            <w:pPr>
              <w:pStyle w:val="TableBody0"/>
              <w:spacing w:line="288" w:lineRule="auto"/>
              <w:jc w:val="right"/>
            </w:pPr>
            <w:r w:rsidRPr="00F110F6">
              <w:rPr>
                <w:rStyle w:val="normaltextrun"/>
              </w:rPr>
              <w:t>4</w:t>
            </w:r>
          </w:p>
        </w:tc>
        <w:tc>
          <w:tcPr>
            <w:tcW w:w="844" w:type="dxa"/>
          </w:tcPr>
          <w:p w14:paraId="706C38F1" w14:textId="076C075D" w:rsidR="00DF5731" w:rsidRPr="00F110F6" w:rsidRDefault="00DF5731" w:rsidP="002D3A0D">
            <w:pPr>
              <w:pStyle w:val="TableBody0"/>
              <w:spacing w:line="288" w:lineRule="auto"/>
              <w:jc w:val="right"/>
            </w:pPr>
            <w:r w:rsidRPr="00F110F6">
              <w:rPr>
                <w:rStyle w:val="normaltextrun"/>
              </w:rPr>
              <w:t>58</w:t>
            </w:r>
          </w:p>
        </w:tc>
        <w:tc>
          <w:tcPr>
            <w:tcW w:w="737" w:type="dxa"/>
          </w:tcPr>
          <w:p w14:paraId="02D16C3E" w14:textId="14E43CE7" w:rsidR="00DF5731" w:rsidRPr="00F110F6" w:rsidRDefault="00DF5731" w:rsidP="002D3A0D">
            <w:pPr>
              <w:pStyle w:val="TableBody0"/>
              <w:spacing w:line="288" w:lineRule="auto"/>
              <w:jc w:val="right"/>
            </w:pPr>
            <w:r w:rsidRPr="00F110F6">
              <w:rPr>
                <w:rStyle w:val="normaltextrun"/>
              </w:rPr>
              <w:t>2</w:t>
            </w:r>
          </w:p>
        </w:tc>
        <w:tc>
          <w:tcPr>
            <w:tcW w:w="737" w:type="dxa"/>
          </w:tcPr>
          <w:p w14:paraId="37322F36" w14:textId="64F2F347" w:rsidR="00DF5731" w:rsidRPr="00F110F6" w:rsidRDefault="00DF5731" w:rsidP="002D3A0D">
            <w:pPr>
              <w:pStyle w:val="TableBody0"/>
              <w:spacing w:line="288" w:lineRule="auto"/>
              <w:jc w:val="right"/>
            </w:pPr>
            <w:r w:rsidRPr="00F110F6">
              <w:rPr>
                <w:rStyle w:val="normaltextrun"/>
              </w:rPr>
              <w:t>0</w:t>
            </w:r>
          </w:p>
        </w:tc>
        <w:tc>
          <w:tcPr>
            <w:tcW w:w="567" w:type="dxa"/>
          </w:tcPr>
          <w:p w14:paraId="1B49F64D" w14:textId="616043D2" w:rsidR="00DF5731" w:rsidRPr="00F110F6" w:rsidRDefault="00DF5731" w:rsidP="002D3A0D">
            <w:pPr>
              <w:pStyle w:val="TableBody0"/>
              <w:spacing w:line="288" w:lineRule="auto"/>
              <w:jc w:val="right"/>
            </w:pPr>
            <w:r w:rsidRPr="00F110F6">
              <w:rPr>
                <w:rStyle w:val="normaltextrun"/>
              </w:rPr>
              <w:t>2</w:t>
            </w:r>
          </w:p>
        </w:tc>
        <w:tc>
          <w:tcPr>
            <w:tcW w:w="844" w:type="dxa"/>
          </w:tcPr>
          <w:p w14:paraId="7F7A9D9E" w14:textId="41A98F59" w:rsidR="00DF5731" w:rsidRPr="00F110F6" w:rsidRDefault="00DF5731" w:rsidP="002D3A0D">
            <w:pPr>
              <w:pStyle w:val="TableBody0"/>
              <w:spacing w:line="288" w:lineRule="auto"/>
              <w:jc w:val="right"/>
            </w:pPr>
            <w:r w:rsidRPr="00F110F6">
              <w:rPr>
                <w:rStyle w:val="normaltextrun"/>
              </w:rPr>
              <w:t>0</w:t>
            </w:r>
          </w:p>
        </w:tc>
        <w:tc>
          <w:tcPr>
            <w:tcW w:w="844" w:type="dxa"/>
          </w:tcPr>
          <w:p w14:paraId="1DFDB8B3" w14:textId="35A6A089" w:rsidR="00DF5731" w:rsidRPr="00F110F6" w:rsidRDefault="00DF5731" w:rsidP="002D3A0D">
            <w:pPr>
              <w:pStyle w:val="TableBody0"/>
              <w:spacing w:line="288" w:lineRule="auto"/>
              <w:jc w:val="right"/>
            </w:pPr>
            <w:r w:rsidRPr="00F110F6">
              <w:rPr>
                <w:rStyle w:val="normaltextrun"/>
              </w:rPr>
              <w:t>0</w:t>
            </w:r>
          </w:p>
        </w:tc>
        <w:tc>
          <w:tcPr>
            <w:tcW w:w="844" w:type="dxa"/>
          </w:tcPr>
          <w:p w14:paraId="29A38013" w14:textId="1A86AFE3" w:rsidR="00DF5731" w:rsidRPr="00F110F6" w:rsidRDefault="00DF5731" w:rsidP="002D3A0D">
            <w:pPr>
              <w:pStyle w:val="TableBody0"/>
              <w:spacing w:line="288" w:lineRule="auto"/>
              <w:jc w:val="right"/>
            </w:pPr>
            <w:r w:rsidRPr="00F110F6">
              <w:rPr>
                <w:rStyle w:val="normaltextrun"/>
              </w:rPr>
              <w:t>0</w:t>
            </w:r>
          </w:p>
        </w:tc>
        <w:tc>
          <w:tcPr>
            <w:tcW w:w="844" w:type="dxa"/>
          </w:tcPr>
          <w:p w14:paraId="0075129A" w14:textId="26A7D1F1" w:rsidR="00DF5731" w:rsidRPr="00F110F6" w:rsidRDefault="00DF5731" w:rsidP="002D3A0D">
            <w:pPr>
              <w:pStyle w:val="TableBody0"/>
              <w:spacing w:line="288" w:lineRule="auto"/>
              <w:jc w:val="right"/>
            </w:pPr>
            <w:r w:rsidRPr="00F110F6">
              <w:rPr>
                <w:rStyle w:val="normaltextrun"/>
              </w:rPr>
              <w:t>0</w:t>
            </w:r>
          </w:p>
        </w:tc>
        <w:tc>
          <w:tcPr>
            <w:tcW w:w="850" w:type="dxa"/>
          </w:tcPr>
          <w:p w14:paraId="26574C2E" w14:textId="71E1165D" w:rsidR="00DF5731" w:rsidRPr="00F110F6" w:rsidRDefault="00DF5731" w:rsidP="002D3A0D">
            <w:pPr>
              <w:pStyle w:val="TableBody0"/>
              <w:spacing w:line="288" w:lineRule="auto"/>
              <w:jc w:val="right"/>
            </w:pPr>
            <w:r w:rsidRPr="00F110F6">
              <w:rPr>
                <w:rStyle w:val="normaltextrun"/>
              </w:rPr>
              <w:t>0</w:t>
            </w:r>
          </w:p>
        </w:tc>
        <w:tc>
          <w:tcPr>
            <w:tcW w:w="850" w:type="dxa"/>
          </w:tcPr>
          <w:p w14:paraId="7E1236F5" w14:textId="6D967358" w:rsidR="00DF5731" w:rsidRPr="00F110F6" w:rsidRDefault="00DF5731" w:rsidP="002D3A0D">
            <w:pPr>
              <w:pStyle w:val="TableBody0"/>
              <w:spacing w:line="288" w:lineRule="auto"/>
              <w:jc w:val="right"/>
            </w:pPr>
            <w:r w:rsidRPr="00F110F6">
              <w:rPr>
                <w:rStyle w:val="normaltextrun"/>
              </w:rPr>
              <w:t>0</w:t>
            </w:r>
          </w:p>
        </w:tc>
        <w:tc>
          <w:tcPr>
            <w:tcW w:w="838" w:type="dxa"/>
          </w:tcPr>
          <w:p w14:paraId="1BD34DD4" w14:textId="127FF715" w:rsidR="00DF5731" w:rsidRPr="00F110F6" w:rsidRDefault="00DF5731" w:rsidP="002D3A0D">
            <w:pPr>
              <w:pStyle w:val="TableBody0"/>
              <w:spacing w:line="288" w:lineRule="auto"/>
              <w:jc w:val="right"/>
            </w:pPr>
            <w:r w:rsidRPr="00F110F6">
              <w:rPr>
                <w:rStyle w:val="normaltextrun"/>
              </w:rPr>
              <w:t>78</w:t>
            </w:r>
          </w:p>
        </w:tc>
      </w:tr>
      <w:tr w:rsidR="00DF5731" w:rsidRPr="00F110F6" w14:paraId="50A83733"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62222610" w14:textId="77777777" w:rsidR="00DF5731" w:rsidRPr="00F110F6" w:rsidRDefault="00DF5731" w:rsidP="002D3A0D">
            <w:pPr>
              <w:pStyle w:val="TableBody0"/>
              <w:spacing w:line="288" w:lineRule="auto"/>
            </w:pPr>
            <w:r w:rsidRPr="00F110F6">
              <w:t>SA</w:t>
            </w:r>
          </w:p>
        </w:tc>
        <w:tc>
          <w:tcPr>
            <w:tcW w:w="844" w:type="dxa"/>
          </w:tcPr>
          <w:p w14:paraId="531B107F" w14:textId="76CAB242" w:rsidR="00DF5731" w:rsidRPr="00F110F6" w:rsidRDefault="00DF5731" w:rsidP="002D3A0D">
            <w:pPr>
              <w:pStyle w:val="TableBody0"/>
              <w:spacing w:line="288" w:lineRule="auto"/>
              <w:jc w:val="right"/>
            </w:pPr>
            <w:r w:rsidRPr="00F110F6">
              <w:rPr>
                <w:rStyle w:val="normaltextrun"/>
              </w:rPr>
              <w:t>11</w:t>
            </w:r>
          </w:p>
        </w:tc>
        <w:tc>
          <w:tcPr>
            <w:tcW w:w="844" w:type="dxa"/>
          </w:tcPr>
          <w:p w14:paraId="5054CC6D" w14:textId="3DEC45FE" w:rsidR="00DF5731" w:rsidRPr="00F110F6" w:rsidRDefault="00DF5731" w:rsidP="002D3A0D">
            <w:pPr>
              <w:pStyle w:val="TableBody0"/>
              <w:spacing w:line="288" w:lineRule="auto"/>
              <w:jc w:val="right"/>
            </w:pPr>
            <w:r w:rsidRPr="00F110F6">
              <w:rPr>
                <w:rStyle w:val="normaltextrun"/>
              </w:rPr>
              <w:t>1</w:t>
            </w:r>
          </w:p>
        </w:tc>
        <w:tc>
          <w:tcPr>
            <w:tcW w:w="844" w:type="dxa"/>
          </w:tcPr>
          <w:p w14:paraId="603347D7" w14:textId="67530617" w:rsidR="00DF5731" w:rsidRPr="00F110F6" w:rsidRDefault="00DF5731" w:rsidP="002D3A0D">
            <w:pPr>
              <w:pStyle w:val="TableBody0"/>
              <w:spacing w:line="288" w:lineRule="auto"/>
              <w:jc w:val="right"/>
            </w:pPr>
            <w:r w:rsidRPr="00F110F6">
              <w:rPr>
                <w:rStyle w:val="normaltextrun"/>
              </w:rPr>
              <w:t>12</w:t>
            </w:r>
          </w:p>
        </w:tc>
        <w:tc>
          <w:tcPr>
            <w:tcW w:w="844" w:type="dxa"/>
          </w:tcPr>
          <w:p w14:paraId="2A57DF92" w14:textId="58DF0070" w:rsidR="00DF5731" w:rsidRPr="00F110F6" w:rsidRDefault="00DF5731" w:rsidP="002D3A0D">
            <w:pPr>
              <w:pStyle w:val="TableBody0"/>
              <w:spacing w:line="288" w:lineRule="auto"/>
              <w:jc w:val="right"/>
            </w:pPr>
            <w:r w:rsidRPr="00F110F6">
              <w:rPr>
                <w:rStyle w:val="normaltextrun"/>
              </w:rPr>
              <w:t>28</w:t>
            </w:r>
          </w:p>
        </w:tc>
        <w:tc>
          <w:tcPr>
            <w:tcW w:w="844" w:type="dxa"/>
          </w:tcPr>
          <w:p w14:paraId="08289D10" w14:textId="409E864D" w:rsidR="00DF5731" w:rsidRPr="00F110F6" w:rsidRDefault="00DF5731" w:rsidP="002D3A0D">
            <w:pPr>
              <w:pStyle w:val="TableBody0"/>
              <w:spacing w:line="288" w:lineRule="auto"/>
              <w:jc w:val="right"/>
            </w:pPr>
            <w:r w:rsidRPr="00F110F6">
              <w:rPr>
                <w:rStyle w:val="normaltextrun"/>
              </w:rPr>
              <w:t>1</w:t>
            </w:r>
          </w:p>
        </w:tc>
        <w:tc>
          <w:tcPr>
            <w:tcW w:w="844" w:type="dxa"/>
          </w:tcPr>
          <w:p w14:paraId="191E2B0F" w14:textId="1B7F8F11" w:rsidR="00DF5731" w:rsidRPr="00F110F6" w:rsidRDefault="00DF5731" w:rsidP="002D3A0D">
            <w:pPr>
              <w:pStyle w:val="TableBody0"/>
              <w:spacing w:line="288" w:lineRule="auto"/>
              <w:jc w:val="right"/>
            </w:pPr>
            <w:r w:rsidRPr="00F110F6">
              <w:rPr>
                <w:rStyle w:val="normaltextrun"/>
              </w:rPr>
              <w:t>29</w:t>
            </w:r>
          </w:p>
        </w:tc>
        <w:tc>
          <w:tcPr>
            <w:tcW w:w="737" w:type="dxa"/>
          </w:tcPr>
          <w:p w14:paraId="3566936D" w14:textId="2634F7A5" w:rsidR="00DF5731" w:rsidRPr="00F110F6" w:rsidRDefault="00DF5731" w:rsidP="002D3A0D">
            <w:pPr>
              <w:pStyle w:val="TableBody0"/>
              <w:spacing w:line="288" w:lineRule="auto"/>
              <w:jc w:val="right"/>
            </w:pPr>
            <w:r w:rsidRPr="00F110F6">
              <w:rPr>
                <w:rStyle w:val="normaltextrun"/>
              </w:rPr>
              <w:t>0</w:t>
            </w:r>
          </w:p>
        </w:tc>
        <w:tc>
          <w:tcPr>
            <w:tcW w:w="737" w:type="dxa"/>
          </w:tcPr>
          <w:p w14:paraId="3B32802F" w14:textId="31048EBB" w:rsidR="00DF5731" w:rsidRPr="00F110F6" w:rsidRDefault="00DF5731" w:rsidP="002D3A0D">
            <w:pPr>
              <w:pStyle w:val="TableBody0"/>
              <w:spacing w:line="288" w:lineRule="auto"/>
              <w:jc w:val="right"/>
            </w:pPr>
            <w:r w:rsidRPr="00F110F6">
              <w:rPr>
                <w:rStyle w:val="normaltextrun"/>
              </w:rPr>
              <w:t>0</w:t>
            </w:r>
          </w:p>
        </w:tc>
        <w:tc>
          <w:tcPr>
            <w:tcW w:w="567" w:type="dxa"/>
          </w:tcPr>
          <w:p w14:paraId="1B6C5EC6" w14:textId="6240835F" w:rsidR="00DF5731" w:rsidRPr="00F110F6" w:rsidRDefault="00DF5731" w:rsidP="002D3A0D">
            <w:pPr>
              <w:pStyle w:val="TableBody0"/>
              <w:spacing w:line="288" w:lineRule="auto"/>
              <w:jc w:val="right"/>
            </w:pPr>
            <w:r w:rsidRPr="00F110F6">
              <w:rPr>
                <w:rStyle w:val="normaltextrun"/>
              </w:rPr>
              <w:t>0</w:t>
            </w:r>
          </w:p>
        </w:tc>
        <w:tc>
          <w:tcPr>
            <w:tcW w:w="844" w:type="dxa"/>
          </w:tcPr>
          <w:p w14:paraId="277C8149" w14:textId="5A1CBDDA" w:rsidR="00DF5731" w:rsidRPr="00F110F6" w:rsidRDefault="00DF5731" w:rsidP="002D3A0D">
            <w:pPr>
              <w:pStyle w:val="TableBody0"/>
              <w:spacing w:line="288" w:lineRule="auto"/>
              <w:jc w:val="right"/>
            </w:pPr>
            <w:r w:rsidRPr="00F110F6">
              <w:rPr>
                <w:rStyle w:val="normaltextrun"/>
              </w:rPr>
              <w:t>0</w:t>
            </w:r>
          </w:p>
        </w:tc>
        <w:tc>
          <w:tcPr>
            <w:tcW w:w="844" w:type="dxa"/>
          </w:tcPr>
          <w:p w14:paraId="6E789F90" w14:textId="76915021" w:rsidR="00DF5731" w:rsidRPr="00F110F6" w:rsidRDefault="00DF5731" w:rsidP="002D3A0D">
            <w:pPr>
              <w:pStyle w:val="TableBody0"/>
              <w:spacing w:line="288" w:lineRule="auto"/>
              <w:jc w:val="right"/>
            </w:pPr>
            <w:r w:rsidRPr="00F110F6">
              <w:rPr>
                <w:rStyle w:val="normaltextrun"/>
              </w:rPr>
              <w:t>0</w:t>
            </w:r>
          </w:p>
        </w:tc>
        <w:tc>
          <w:tcPr>
            <w:tcW w:w="844" w:type="dxa"/>
          </w:tcPr>
          <w:p w14:paraId="248E538C" w14:textId="7149B3B7" w:rsidR="00DF5731" w:rsidRPr="00F110F6" w:rsidRDefault="00DF5731" w:rsidP="002D3A0D">
            <w:pPr>
              <w:pStyle w:val="TableBody0"/>
              <w:spacing w:line="288" w:lineRule="auto"/>
              <w:jc w:val="right"/>
            </w:pPr>
            <w:r w:rsidRPr="00F110F6">
              <w:rPr>
                <w:rStyle w:val="normaltextrun"/>
              </w:rPr>
              <w:t>0</w:t>
            </w:r>
          </w:p>
        </w:tc>
        <w:tc>
          <w:tcPr>
            <w:tcW w:w="844" w:type="dxa"/>
          </w:tcPr>
          <w:p w14:paraId="0327DBA2" w14:textId="27E4D06C" w:rsidR="00DF5731" w:rsidRPr="00F110F6" w:rsidRDefault="00DF5731" w:rsidP="002D3A0D">
            <w:pPr>
              <w:pStyle w:val="TableBody0"/>
              <w:spacing w:line="288" w:lineRule="auto"/>
              <w:jc w:val="right"/>
            </w:pPr>
            <w:r w:rsidRPr="00F110F6">
              <w:rPr>
                <w:rStyle w:val="normaltextrun"/>
              </w:rPr>
              <w:t>0</w:t>
            </w:r>
          </w:p>
        </w:tc>
        <w:tc>
          <w:tcPr>
            <w:tcW w:w="850" w:type="dxa"/>
          </w:tcPr>
          <w:p w14:paraId="2B218B0D" w14:textId="7DCF77A5" w:rsidR="00DF5731" w:rsidRPr="00F110F6" w:rsidRDefault="00DF5731" w:rsidP="002D3A0D">
            <w:pPr>
              <w:pStyle w:val="TableBody0"/>
              <w:spacing w:line="288" w:lineRule="auto"/>
              <w:jc w:val="right"/>
            </w:pPr>
            <w:r w:rsidRPr="00F110F6">
              <w:rPr>
                <w:rStyle w:val="normaltextrun"/>
              </w:rPr>
              <w:t>0</w:t>
            </w:r>
          </w:p>
        </w:tc>
        <w:tc>
          <w:tcPr>
            <w:tcW w:w="850" w:type="dxa"/>
          </w:tcPr>
          <w:p w14:paraId="40E04A37" w14:textId="687F69F3" w:rsidR="00DF5731" w:rsidRPr="00F110F6" w:rsidRDefault="00DF5731" w:rsidP="002D3A0D">
            <w:pPr>
              <w:pStyle w:val="TableBody0"/>
              <w:spacing w:line="288" w:lineRule="auto"/>
              <w:jc w:val="right"/>
            </w:pPr>
            <w:r w:rsidRPr="00F110F6">
              <w:rPr>
                <w:rStyle w:val="normaltextrun"/>
              </w:rPr>
              <w:t>0</w:t>
            </w:r>
          </w:p>
        </w:tc>
        <w:tc>
          <w:tcPr>
            <w:tcW w:w="838" w:type="dxa"/>
          </w:tcPr>
          <w:p w14:paraId="778BFE50" w14:textId="4D1CF5C5" w:rsidR="00DF5731" w:rsidRPr="00F110F6" w:rsidRDefault="00DF5731" w:rsidP="002D3A0D">
            <w:pPr>
              <w:pStyle w:val="TableBody0"/>
              <w:spacing w:line="288" w:lineRule="auto"/>
              <w:jc w:val="right"/>
            </w:pPr>
            <w:r w:rsidRPr="00F110F6">
              <w:rPr>
                <w:rStyle w:val="normaltextrun"/>
              </w:rPr>
              <w:t>41</w:t>
            </w:r>
          </w:p>
        </w:tc>
      </w:tr>
      <w:tr w:rsidR="00DF5731" w:rsidRPr="00F110F6" w14:paraId="7179F9DB"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605A8E58" w14:textId="77777777" w:rsidR="00DF5731" w:rsidRPr="00F110F6" w:rsidRDefault="00DF5731" w:rsidP="002D3A0D">
            <w:pPr>
              <w:pStyle w:val="TableBody0"/>
              <w:spacing w:line="288" w:lineRule="auto"/>
            </w:pPr>
            <w:r w:rsidRPr="00F110F6">
              <w:t>Tas</w:t>
            </w:r>
          </w:p>
        </w:tc>
        <w:tc>
          <w:tcPr>
            <w:tcW w:w="844" w:type="dxa"/>
          </w:tcPr>
          <w:p w14:paraId="0D13B89D" w14:textId="7C12B656" w:rsidR="00DF5731" w:rsidRPr="00F110F6" w:rsidRDefault="00DF5731" w:rsidP="002D3A0D">
            <w:pPr>
              <w:pStyle w:val="TableBody0"/>
              <w:spacing w:line="288" w:lineRule="auto"/>
              <w:jc w:val="right"/>
            </w:pPr>
            <w:r w:rsidRPr="00F110F6">
              <w:rPr>
                <w:rStyle w:val="normaltextrun"/>
              </w:rPr>
              <w:t>1</w:t>
            </w:r>
          </w:p>
        </w:tc>
        <w:tc>
          <w:tcPr>
            <w:tcW w:w="844" w:type="dxa"/>
          </w:tcPr>
          <w:p w14:paraId="489E0F10" w14:textId="22174E2D" w:rsidR="00DF5731" w:rsidRPr="00F110F6" w:rsidRDefault="00DF5731" w:rsidP="002D3A0D">
            <w:pPr>
              <w:pStyle w:val="TableBody0"/>
              <w:spacing w:line="288" w:lineRule="auto"/>
              <w:jc w:val="right"/>
            </w:pPr>
            <w:r w:rsidRPr="00F110F6">
              <w:rPr>
                <w:rStyle w:val="normaltextrun"/>
              </w:rPr>
              <w:t>0</w:t>
            </w:r>
          </w:p>
        </w:tc>
        <w:tc>
          <w:tcPr>
            <w:tcW w:w="844" w:type="dxa"/>
          </w:tcPr>
          <w:p w14:paraId="72B4C335" w14:textId="45F6B577" w:rsidR="00DF5731" w:rsidRPr="00F110F6" w:rsidRDefault="00DF5731" w:rsidP="002D3A0D">
            <w:pPr>
              <w:pStyle w:val="TableBody0"/>
              <w:spacing w:line="288" w:lineRule="auto"/>
              <w:jc w:val="right"/>
            </w:pPr>
            <w:r w:rsidRPr="00F110F6">
              <w:rPr>
                <w:rStyle w:val="normaltextrun"/>
              </w:rPr>
              <w:t>1</w:t>
            </w:r>
          </w:p>
        </w:tc>
        <w:tc>
          <w:tcPr>
            <w:tcW w:w="844" w:type="dxa"/>
          </w:tcPr>
          <w:p w14:paraId="1BB1C5C3" w14:textId="447C9C87" w:rsidR="00DF5731" w:rsidRPr="00F110F6" w:rsidRDefault="00DF5731" w:rsidP="002D3A0D">
            <w:pPr>
              <w:pStyle w:val="TableBody0"/>
              <w:spacing w:line="288" w:lineRule="auto"/>
              <w:jc w:val="right"/>
            </w:pPr>
            <w:r w:rsidRPr="00F110F6">
              <w:rPr>
                <w:rStyle w:val="normaltextrun"/>
              </w:rPr>
              <w:t>0</w:t>
            </w:r>
          </w:p>
        </w:tc>
        <w:tc>
          <w:tcPr>
            <w:tcW w:w="844" w:type="dxa"/>
          </w:tcPr>
          <w:p w14:paraId="0DFC86E9" w14:textId="62164942" w:rsidR="00DF5731" w:rsidRPr="00F110F6" w:rsidRDefault="00DF5731" w:rsidP="002D3A0D">
            <w:pPr>
              <w:pStyle w:val="TableBody0"/>
              <w:spacing w:line="288" w:lineRule="auto"/>
              <w:jc w:val="right"/>
            </w:pPr>
            <w:r w:rsidRPr="00F110F6">
              <w:rPr>
                <w:rStyle w:val="normaltextrun"/>
              </w:rPr>
              <w:t>0</w:t>
            </w:r>
          </w:p>
        </w:tc>
        <w:tc>
          <w:tcPr>
            <w:tcW w:w="844" w:type="dxa"/>
          </w:tcPr>
          <w:p w14:paraId="2BD04D8C" w14:textId="308B71EA" w:rsidR="00DF5731" w:rsidRPr="00F110F6" w:rsidRDefault="00DF5731" w:rsidP="002D3A0D">
            <w:pPr>
              <w:pStyle w:val="TableBody0"/>
              <w:spacing w:line="288" w:lineRule="auto"/>
              <w:jc w:val="right"/>
            </w:pPr>
            <w:r w:rsidRPr="00F110F6">
              <w:rPr>
                <w:rStyle w:val="normaltextrun"/>
              </w:rPr>
              <w:t>0</w:t>
            </w:r>
          </w:p>
        </w:tc>
        <w:tc>
          <w:tcPr>
            <w:tcW w:w="737" w:type="dxa"/>
          </w:tcPr>
          <w:p w14:paraId="713BB079" w14:textId="7C1D9145" w:rsidR="00DF5731" w:rsidRPr="00F110F6" w:rsidRDefault="00DF5731" w:rsidP="002D3A0D">
            <w:pPr>
              <w:pStyle w:val="TableBody0"/>
              <w:spacing w:line="288" w:lineRule="auto"/>
              <w:jc w:val="right"/>
            </w:pPr>
            <w:r w:rsidRPr="00F110F6">
              <w:rPr>
                <w:rStyle w:val="normaltextrun"/>
              </w:rPr>
              <w:t>0</w:t>
            </w:r>
          </w:p>
        </w:tc>
        <w:tc>
          <w:tcPr>
            <w:tcW w:w="737" w:type="dxa"/>
          </w:tcPr>
          <w:p w14:paraId="19EE1024" w14:textId="192361F2" w:rsidR="00DF5731" w:rsidRPr="00F110F6" w:rsidRDefault="00DF5731" w:rsidP="002D3A0D">
            <w:pPr>
              <w:pStyle w:val="TableBody0"/>
              <w:spacing w:line="288" w:lineRule="auto"/>
              <w:jc w:val="right"/>
            </w:pPr>
            <w:r w:rsidRPr="00F110F6">
              <w:rPr>
                <w:rStyle w:val="normaltextrun"/>
              </w:rPr>
              <w:t>0</w:t>
            </w:r>
          </w:p>
        </w:tc>
        <w:tc>
          <w:tcPr>
            <w:tcW w:w="567" w:type="dxa"/>
          </w:tcPr>
          <w:p w14:paraId="5CEDE40F" w14:textId="35530040" w:rsidR="00DF5731" w:rsidRPr="00F110F6" w:rsidRDefault="00DF5731" w:rsidP="002D3A0D">
            <w:pPr>
              <w:pStyle w:val="TableBody0"/>
              <w:spacing w:line="288" w:lineRule="auto"/>
              <w:jc w:val="right"/>
            </w:pPr>
            <w:r w:rsidRPr="00F110F6">
              <w:rPr>
                <w:rStyle w:val="normaltextrun"/>
              </w:rPr>
              <w:t>0</w:t>
            </w:r>
          </w:p>
        </w:tc>
        <w:tc>
          <w:tcPr>
            <w:tcW w:w="844" w:type="dxa"/>
          </w:tcPr>
          <w:p w14:paraId="2D52E905" w14:textId="04EB1B2B" w:rsidR="00DF5731" w:rsidRPr="00F110F6" w:rsidRDefault="00DF5731" w:rsidP="002D3A0D">
            <w:pPr>
              <w:pStyle w:val="TableBody0"/>
              <w:spacing w:line="288" w:lineRule="auto"/>
              <w:jc w:val="right"/>
            </w:pPr>
            <w:r w:rsidRPr="00F110F6">
              <w:rPr>
                <w:rStyle w:val="normaltextrun"/>
              </w:rPr>
              <w:t>0</w:t>
            </w:r>
          </w:p>
        </w:tc>
        <w:tc>
          <w:tcPr>
            <w:tcW w:w="844" w:type="dxa"/>
          </w:tcPr>
          <w:p w14:paraId="60C228ED" w14:textId="76348A80" w:rsidR="00DF5731" w:rsidRPr="00F110F6" w:rsidRDefault="00DF5731" w:rsidP="002D3A0D">
            <w:pPr>
              <w:pStyle w:val="TableBody0"/>
              <w:spacing w:line="288" w:lineRule="auto"/>
              <w:jc w:val="right"/>
            </w:pPr>
            <w:r w:rsidRPr="00F110F6">
              <w:rPr>
                <w:rStyle w:val="normaltextrun"/>
              </w:rPr>
              <w:t>0</w:t>
            </w:r>
          </w:p>
        </w:tc>
        <w:tc>
          <w:tcPr>
            <w:tcW w:w="844" w:type="dxa"/>
          </w:tcPr>
          <w:p w14:paraId="13A8EA36" w14:textId="04A9A2DC" w:rsidR="00DF5731" w:rsidRPr="00F110F6" w:rsidRDefault="00DF5731" w:rsidP="002D3A0D">
            <w:pPr>
              <w:pStyle w:val="TableBody0"/>
              <w:spacing w:line="288" w:lineRule="auto"/>
              <w:jc w:val="right"/>
            </w:pPr>
            <w:r w:rsidRPr="00F110F6">
              <w:rPr>
                <w:rStyle w:val="normaltextrun"/>
              </w:rPr>
              <w:t>0</w:t>
            </w:r>
          </w:p>
        </w:tc>
        <w:tc>
          <w:tcPr>
            <w:tcW w:w="844" w:type="dxa"/>
          </w:tcPr>
          <w:p w14:paraId="522DD27D" w14:textId="6D72E9A7" w:rsidR="00DF5731" w:rsidRPr="00F110F6" w:rsidRDefault="00DF5731" w:rsidP="002D3A0D">
            <w:pPr>
              <w:pStyle w:val="TableBody0"/>
              <w:spacing w:line="288" w:lineRule="auto"/>
              <w:jc w:val="right"/>
            </w:pPr>
            <w:r w:rsidRPr="00F110F6">
              <w:rPr>
                <w:rStyle w:val="normaltextrun"/>
              </w:rPr>
              <w:t>0</w:t>
            </w:r>
          </w:p>
        </w:tc>
        <w:tc>
          <w:tcPr>
            <w:tcW w:w="850" w:type="dxa"/>
          </w:tcPr>
          <w:p w14:paraId="42F0DA14" w14:textId="0B67A4CA" w:rsidR="00DF5731" w:rsidRPr="00F110F6" w:rsidRDefault="00DF5731" w:rsidP="002D3A0D">
            <w:pPr>
              <w:pStyle w:val="TableBody0"/>
              <w:spacing w:line="288" w:lineRule="auto"/>
              <w:jc w:val="right"/>
            </w:pPr>
            <w:r w:rsidRPr="00F110F6">
              <w:rPr>
                <w:rStyle w:val="normaltextrun"/>
              </w:rPr>
              <w:t>0</w:t>
            </w:r>
          </w:p>
        </w:tc>
        <w:tc>
          <w:tcPr>
            <w:tcW w:w="850" w:type="dxa"/>
          </w:tcPr>
          <w:p w14:paraId="2CEB14D9" w14:textId="1DBBE0E8" w:rsidR="00DF5731" w:rsidRPr="00F110F6" w:rsidRDefault="00DF5731" w:rsidP="002D3A0D">
            <w:pPr>
              <w:pStyle w:val="TableBody0"/>
              <w:spacing w:line="288" w:lineRule="auto"/>
              <w:jc w:val="right"/>
            </w:pPr>
            <w:r w:rsidRPr="00F110F6">
              <w:rPr>
                <w:rStyle w:val="normaltextrun"/>
              </w:rPr>
              <w:t>0</w:t>
            </w:r>
          </w:p>
        </w:tc>
        <w:tc>
          <w:tcPr>
            <w:tcW w:w="838" w:type="dxa"/>
          </w:tcPr>
          <w:p w14:paraId="518B8BAB" w14:textId="49240537" w:rsidR="00DF5731" w:rsidRPr="00F110F6" w:rsidRDefault="00DF5731" w:rsidP="002D3A0D">
            <w:pPr>
              <w:pStyle w:val="TableBody0"/>
              <w:spacing w:line="288" w:lineRule="auto"/>
              <w:jc w:val="right"/>
            </w:pPr>
            <w:r w:rsidRPr="00F110F6">
              <w:rPr>
                <w:rStyle w:val="normaltextrun"/>
              </w:rPr>
              <w:t>1</w:t>
            </w:r>
          </w:p>
        </w:tc>
      </w:tr>
      <w:tr w:rsidR="00DF5731" w:rsidRPr="00F110F6" w14:paraId="588335AA"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6F73457C" w14:textId="77777777" w:rsidR="00DF5731" w:rsidRPr="00F110F6" w:rsidRDefault="00DF5731" w:rsidP="002D3A0D">
            <w:pPr>
              <w:pStyle w:val="TableBody0"/>
              <w:spacing w:line="288" w:lineRule="auto"/>
            </w:pPr>
            <w:r w:rsidRPr="00F110F6">
              <w:t>Vic</w:t>
            </w:r>
          </w:p>
        </w:tc>
        <w:tc>
          <w:tcPr>
            <w:tcW w:w="844" w:type="dxa"/>
          </w:tcPr>
          <w:p w14:paraId="343D9ADC" w14:textId="1D12B43C" w:rsidR="00DF5731" w:rsidRPr="00F110F6" w:rsidRDefault="00DF5731" w:rsidP="002D3A0D">
            <w:pPr>
              <w:pStyle w:val="TableBody0"/>
              <w:spacing w:line="288" w:lineRule="auto"/>
              <w:jc w:val="right"/>
            </w:pPr>
            <w:r w:rsidRPr="00F110F6">
              <w:rPr>
                <w:rStyle w:val="normaltextrun"/>
              </w:rPr>
              <w:t>61</w:t>
            </w:r>
          </w:p>
        </w:tc>
        <w:tc>
          <w:tcPr>
            <w:tcW w:w="844" w:type="dxa"/>
          </w:tcPr>
          <w:p w14:paraId="3A6ACAA8" w14:textId="5C38615A" w:rsidR="00DF5731" w:rsidRPr="00F110F6" w:rsidRDefault="00DF5731" w:rsidP="002D3A0D">
            <w:pPr>
              <w:pStyle w:val="TableBody0"/>
              <w:spacing w:line="288" w:lineRule="auto"/>
              <w:jc w:val="right"/>
            </w:pPr>
            <w:r w:rsidRPr="00F110F6">
              <w:rPr>
                <w:rStyle w:val="normaltextrun"/>
              </w:rPr>
              <w:t>3</w:t>
            </w:r>
          </w:p>
        </w:tc>
        <w:tc>
          <w:tcPr>
            <w:tcW w:w="844" w:type="dxa"/>
          </w:tcPr>
          <w:p w14:paraId="2DED559D" w14:textId="1446E88F" w:rsidR="00DF5731" w:rsidRPr="00F110F6" w:rsidRDefault="00DF5731" w:rsidP="002D3A0D">
            <w:pPr>
              <w:pStyle w:val="TableBody0"/>
              <w:spacing w:line="288" w:lineRule="auto"/>
              <w:jc w:val="right"/>
            </w:pPr>
            <w:r w:rsidRPr="00F110F6">
              <w:rPr>
                <w:rStyle w:val="normaltextrun"/>
              </w:rPr>
              <w:t>64</w:t>
            </w:r>
          </w:p>
        </w:tc>
        <w:tc>
          <w:tcPr>
            <w:tcW w:w="844" w:type="dxa"/>
          </w:tcPr>
          <w:p w14:paraId="04FA45ED" w14:textId="0FD123BE" w:rsidR="00DF5731" w:rsidRPr="00F110F6" w:rsidRDefault="00DF5731" w:rsidP="002D3A0D">
            <w:pPr>
              <w:pStyle w:val="TableBody0"/>
              <w:spacing w:line="288" w:lineRule="auto"/>
              <w:jc w:val="right"/>
            </w:pPr>
            <w:r w:rsidRPr="00F110F6">
              <w:rPr>
                <w:rStyle w:val="normaltextrun"/>
              </w:rPr>
              <w:t>102</w:t>
            </w:r>
          </w:p>
        </w:tc>
        <w:tc>
          <w:tcPr>
            <w:tcW w:w="844" w:type="dxa"/>
          </w:tcPr>
          <w:p w14:paraId="10593911" w14:textId="64889117" w:rsidR="00DF5731" w:rsidRPr="00F110F6" w:rsidRDefault="00DF5731" w:rsidP="002D3A0D">
            <w:pPr>
              <w:pStyle w:val="TableBody0"/>
              <w:spacing w:line="288" w:lineRule="auto"/>
              <w:jc w:val="right"/>
            </w:pPr>
            <w:r w:rsidRPr="00F110F6">
              <w:rPr>
                <w:rStyle w:val="normaltextrun"/>
              </w:rPr>
              <w:t>9</w:t>
            </w:r>
          </w:p>
        </w:tc>
        <w:tc>
          <w:tcPr>
            <w:tcW w:w="844" w:type="dxa"/>
          </w:tcPr>
          <w:p w14:paraId="49EEFBD8" w14:textId="11C0BEF3" w:rsidR="00DF5731" w:rsidRPr="00F110F6" w:rsidRDefault="00DF5731" w:rsidP="002D3A0D">
            <w:pPr>
              <w:pStyle w:val="TableBody0"/>
              <w:spacing w:line="288" w:lineRule="auto"/>
              <w:jc w:val="right"/>
            </w:pPr>
            <w:r w:rsidRPr="00F110F6">
              <w:rPr>
                <w:rStyle w:val="normaltextrun"/>
              </w:rPr>
              <w:t>111</w:t>
            </w:r>
          </w:p>
        </w:tc>
        <w:tc>
          <w:tcPr>
            <w:tcW w:w="737" w:type="dxa"/>
          </w:tcPr>
          <w:p w14:paraId="70406FEC" w14:textId="0A19AE9D" w:rsidR="00DF5731" w:rsidRPr="00F110F6" w:rsidRDefault="00DF5731" w:rsidP="002D3A0D">
            <w:pPr>
              <w:pStyle w:val="TableBody0"/>
              <w:spacing w:line="288" w:lineRule="auto"/>
              <w:jc w:val="right"/>
            </w:pPr>
            <w:r w:rsidRPr="00F110F6">
              <w:rPr>
                <w:rStyle w:val="normaltextrun"/>
              </w:rPr>
              <w:t>4</w:t>
            </w:r>
          </w:p>
        </w:tc>
        <w:tc>
          <w:tcPr>
            <w:tcW w:w="737" w:type="dxa"/>
          </w:tcPr>
          <w:p w14:paraId="7312A47F" w14:textId="2D3289CF" w:rsidR="00DF5731" w:rsidRPr="00F110F6" w:rsidRDefault="00DF5731" w:rsidP="002D3A0D">
            <w:pPr>
              <w:pStyle w:val="TableBody0"/>
              <w:spacing w:line="288" w:lineRule="auto"/>
              <w:jc w:val="right"/>
            </w:pPr>
            <w:r w:rsidRPr="00F110F6">
              <w:rPr>
                <w:rStyle w:val="normaltextrun"/>
              </w:rPr>
              <w:t>0</w:t>
            </w:r>
          </w:p>
        </w:tc>
        <w:tc>
          <w:tcPr>
            <w:tcW w:w="567" w:type="dxa"/>
          </w:tcPr>
          <w:p w14:paraId="2D3D8E67" w14:textId="59837C69" w:rsidR="00DF5731" w:rsidRPr="00F110F6" w:rsidRDefault="00DF5731" w:rsidP="002D3A0D">
            <w:pPr>
              <w:pStyle w:val="TableBody0"/>
              <w:spacing w:line="288" w:lineRule="auto"/>
              <w:jc w:val="right"/>
            </w:pPr>
            <w:r w:rsidRPr="00F110F6">
              <w:rPr>
                <w:rStyle w:val="normaltextrun"/>
              </w:rPr>
              <w:t>4</w:t>
            </w:r>
          </w:p>
        </w:tc>
        <w:tc>
          <w:tcPr>
            <w:tcW w:w="844" w:type="dxa"/>
          </w:tcPr>
          <w:p w14:paraId="2D8CDF69" w14:textId="453EBA34" w:rsidR="00DF5731" w:rsidRPr="00F110F6" w:rsidRDefault="00DF5731" w:rsidP="002D3A0D">
            <w:pPr>
              <w:pStyle w:val="TableBody0"/>
              <w:spacing w:line="288" w:lineRule="auto"/>
              <w:jc w:val="right"/>
            </w:pPr>
            <w:r w:rsidRPr="00F110F6">
              <w:rPr>
                <w:rStyle w:val="normaltextrun"/>
              </w:rPr>
              <w:t>0</w:t>
            </w:r>
          </w:p>
        </w:tc>
        <w:tc>
          <w:tcPr>
            <w:tcW w:w="844" w:type="dxa"/>
          </w:tcPr>
          <w:p w14:paraId="10637865" w14:textId="1FFED8FD" w:rsidR="00DF5731" w:rsidRPr="00F110F6" w:rsidRDefault="00DF5731" w:rsidP="002D3A0D">
            <w:pPr>
              <w:pStyle w:val="TableBody0"/>
              <w:spacing w:line="288" w:lineRule="auto"/>
              <w:jc w:val="right"/>
            </w:pPr>
            <w:r w:rsidRPr="00F110F6">
              <w:rPr>
                <w:rStyle w:val="normaltextrun"/>
              </w:rPr>
              <w:t>0</w:t>
            </w:r>
          </w:p>
        </w:tc>
        <w:tc>
          <w:tcPr>
            <w:tcW w:w="844" w:type="dxa"/>
          </w:tcPr>
          <w:p w14:paraId="530E657A" w14:textId="6C7D62E7" w:rsidR="00DF5731" w:rsidRPr="00F110F6" w:rsidRDefault="00DF5731" w:rsidP="002D3A0D">
            <w:pPr>
              <w:pStyle w:val="TableBody0"/>
              <w:spacing w:line="288" w:lineRule="auto"/>
              <w:jc w:val="right"/>
            </w:pPr>
            <w:r w:rsidRPr="00F110F6">
              <w:rPr>
                <w:rStyle w:val="normaltextrun"/>
              </w:rPr>
              <w:t>0</w:t>
            </w:r>
          </w:p>
        </w:tc>
        <w:tc>
          <w:tcPr>
            <w:tcW w:w="844" w:type="dxa"/>
          </w:tcPr>
          <w:p w14:paraId="6A57C84B" w14:textId="1A2EA3CB" w:rsidR="00DF5731" w:rsidRPr="00F110F6" w:rsidRDefault="00DF5731" w:rsidP="002D3A0D">
            <w:pPr>
              <w:pStyle w:val="TableBody0"/>
              <w:spacing w:line="288" w:lineRule="auto"/>
              <w:jc w:val="right"/>
            </w:pPr>
            <w:r w:rsidRPr="00F110F6">
              <w:rPr>
                <w:rStyle w:val="normaltextrun"/>
              </w:rPr>
              <w:t>0</w:t>
            </w:r>
          </w:p>
        </w:tc>
        <w:tc>
          <w:tcPr>
            <w:tcW w:w="850" w:type="dxa"/>
          </w:tcPr>
          <w:p w14:paraId="44ABD052" w14:textId="58BE0AE7" w:rsidR="00DF5731" w:rsidRPr="00F110F6" w:rsidRDefault="00DF5731" w:rsidP="002D3A0D">
            <w:pPr>
              <w:pStyle w:val="TableBody0"/>
              <w:spacing w:line="288" w:lineRule="auto"/>
              <w:jc w:val="right"/>
            </w:pPr>
            <w:r w:rsidRPr="00F110F6">
              <w:rPr>
                <w:rStyle w:val="normaltextrun"/>
              </w:rPr>
              <w:t>0</w:t>
            </w:r>
          </w:p>
        </w:tc>
        <w:tc>
          <w:tcPr>
            <w:tcW w:w="850" w:type="dxa"/>
          </w:tcPr>
          <w:p w14:paraId="0E63A2EC" w14:textId="0B16EFD3" w:rsidR="00DF5731" w:rsidRPr="00F110F6" w:rsidRDefault="00DF5731" w:rsidP="002D3A0D">
            <w:pPr>
              <w:pStyle w:val="TableBody0"/>
              <w:spacing w:line="288" w:lineRule="auto"/>
              <w:jc w:val="right"/>
            </w:pPr>
            <w:r w:rsidRPr="00F110F6">
              <w:rPr>
                <w:rStyle w:val="normaltextrun"/>
              </w:rPr>
              <w:t>0</w:t>
            </w:r>
          </w:p>
        </w:tc>
        <w:tc>
          <w:tcPr>
            <w:tcW w:w="838" w:type="dxa"/>
          </w:tcPr>
          <w:p w14:paraId="1F6DF601" w14:textId="794C37A9" w:rsidR="00DF5731" w:rsidRPr="00F110F6" w:rsidRDefault="00DF5731" w:rsidP="002D3A0D">
            <w:pPr>
              <w:pStyle w:val="TableBody0"/>
              <w:spacing w:line="288" w:lineRule="auto"/>
              <w:jc w:val="right"/>
            </w:pPr>
            <w:r w:rsidRPr="00F110F6">
              <w:rPr>
                <w:rStyle w:val="normaltextrun"/>
              </w:rPr>
              <w:t>179</w:t>
            </w:r>
          </w:p>
        </w:tc>
      </w:tr>
      <w:tr w:rsidR="00DF5731" w:rsidRPr="00F110F6" w14:paraId="00110708"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3CAEA887" w14:textId="77777777" w:rsidR="00DF5731" w:rsidRPr="00F110F6" w:rsidRDefault="00DF5731" w:rsidP="002D3A0D">
            <w:pPr>
              <w:pStyle w:val="TableBody0"/>
              <w:spacing w:line="288" w:lineRule="auto"/>
            </w:pPr>
            <w:r w:rsidRPr="00F110F6">
              <w:t>WA</w:t>
            </w:r>
          </w:p>
        </w:tc>
        <w:tc>
          <w:tcPr>
            <w:tcW w:w="844" w:type="dxa"/>
          </w:tcPr>
          <w:p w14:paraId="138420DB" w14:textId="594D15B9" w:rsidR="00DF5731" w:rsidRPr="00F110F6" w:rsidRDefault="00DF5731" w:rsidP="002D3A0D">
            <w:pPr>
              <w:pStyle w:val="TableBody0"/>
              <w:spacing w:line="288" w:lineRule="auto"/>
              <w:jc w:val="right"/>
            </w:pPr>
            <w:r w:rsidRPr="00F110F6">
              <w:rPr>
                <w:rStyle w:val="normaltextrun"/>
              </w:rPr>
              <w:t>2</w:t>
            </w:r>
          </w:p>
        </w:tc>
        <w:tc>
          <w:tcPr>
            <w:tcW w:w="844" w:type="dxa"/>
          </w:tcPr>
          <w:p w14:paraId="4EED34EB" w14:textId="2DC0BB4E" w:rsidR="00DF5731" w:rsidRPr="00F110F6" w:rsidRDefault="00DF5731" w:rsidP="002D3A0D">
            <w:pPr>
              <w:pStyle w:val="TableBody0"/>
              <w:spacing w:line="288" w:lineRule="auto"/>
              <w:jc w:val="right"/>
            </w:pPr>
            <w:r w:rsidRPr="00F110F6">
              <w:rPr>
                <w:rStyle w:val="normaltextrun"/>
              </w:rPr>
              <w:t>0</w:t>
            </w:r>
          </w:p>
        </w:tc>
        <w:tc>
          <w:tcPr>
            <w:tcW w:w="844" w:type="dxa"/>
          </w:tcPr>
          <w:p w14:paraId="7D140085" w14:textId="409A883B" w:rsidR="00DF5731" w:rsidRPr="00F110F6" w:rsidRDefault="00DF5731" w:rsidP="002D3A0D">
            <w:pPr>
              <w:pStyle w:val="TableBody0"/>
              <w:spacing w:line="288" w:lineRule="auto"/>
              <w:jc w:val="right"/>
            </w:pPr>
            <w:r w:rsidRPr="00F110F6">
              <w:rPr>
                <w:rStyle w:val="normaltextrun"/>
              </w:rPr>
              <w:t>2</w:t>
            </w:r>
          </w:p>
        </w:tc>
        <w:tc>
          <w:tcPr>
            <w:tcW w:w="844" w:type="dxa"/>
          </w:tcPr>
          <w:p w14:paraId="0364F6C4" w14:textId="1541D041" w:rsidR="00DF5731" w:rsidRPr="00F110F6" w:rsidRDefault="00DF5731" w:rsidP="002D3A0D">
            <w:pPr>
              <w:pStyle w:val="TableBody0"/>
              <w:spacing w:line="288" w:lineRule="auto"/>
              <w:jc w:val="right"/>
            </w:pPr>
            <w:r w:rsidRPr="00F110F6">
              <w:rPr>
                <w:rStyle w:val="normaltextrun"/>
              </w:rPr>
              <w:t>13</w:t>
            </w:r>
          </w:p>
        </w:tc>
        <w:tc>
          <w:tcPr>
            <w:tcW w:w="844" w:type="dxa"/>
          </w:tcPr>
          <w:p w14:paraId="535B67D6" w14:textId="532BBB56" w:rsidR="00DF5731" w:rsidRPr="00F110F6" w:rsidRDefault="00DF5731" w:rsidP="002D3A0D">
            <w:pPr>
              <w:pStyle w:val="TableBody0"/>
              <w:spacing w:line="288" w:lineRule="auto"/>
              <w:jc w:val="right"/>
            </w:pPr>
            <w:r w:rsidRPr="00F110F6">
              <w:rPr>
                <w:rStyle w:val="normaltextrun"/>
              </w:rPr>
              <w:t>1</w:t>
            </w:r>
          </w:p>
        </w:tc>
        <w:tc>
          <w:tcPr>
            <w:tcW w:w="844" w:type="dxa"/>
          </w:tcPr>
          <w:p w14:paraId="74AB6424" w14:textId="297E772B" w:rsidR="00DF5731" w:rsidRPr="00F110F6" w:rsidRDefault="00DF5731" w:rsidP="002D3A0D">
            <w:pPr>
              <w:pStyle w:val="TableBody0"/>
              <w:spacing w:line="288" w:lineRule="auto"/>
              <w:jc w:val="right"/>
            </w:pPr>
            <w:r w:rsidRPr="00F110F6">
              <w:rPr>
                <w:rStyle w:val="normaltextrun"/>
              </w:rPr>
              <w:t>14</w:t>
            </w:r>
          </w:p>
        </w:tc>
        <w:tc>
          <w:tcPr>
            <w:tcW w:w="737" w:type="dxa"/>
          </w:tcPr>
          <w:p w14:paraId="6E2DAC64" w14:textId="19F63E8F" w:rsidR="00DF5731" w:rsidRPr="00F110F6" w:rsidRDefault="00DF5731" w:rsidP="002D3A0D">
            <w:pPr>
              <w:pStyle w:val="TableBody0"/>
              <w:spacing w:line="288" w:lineRule="auto"/>
              <w:jc w:val="right"/>
            </w:pPr>
            <w:r w:rsidRPr="00F110F6">
              <w:rPr>
                <w:rStyle w:val="normaltextrun"/>
              </w:rPr>
              <w:t>0</w:t>
            </w:r>
          </w:p>
        </w:tc>
        <w:tc>
          <w:tcPr>
            <w:tcW w:w="737" w:type="dxa"/>
          </w:tcPr>
          <w:p w14:paraId="693B6725" w14:textId="76E32C97" w:rsidR="00DF5731" w:rsidRPr="00F110F6" w:rsidRDefault="00DF5731" w:rsidP="002D3A0D">
            <w:pPr>
              <w:pStyle w:val="TableBody0"/>
              <w:spacing w:line="288" w:lineRule="auto"/>
              <w:jc w:val="right"/>
            </w:pPr>
            <w:r w:rsidRPr="00F110F6">
              <w:rPr>
                <w:rStyle w:val="normaltextrun"/>
              </w:rPr>
              <w:t>0</w:t>
            </w:r>
          </w:p>
        </w:tc>
        <w:tc>
          <w:tcPr>
            <w:tcW w:w="567" w:type="dxa"/>
          </w:tcPr>
          <w:p w14:paraId="26F0E929" w14:textId="6DB20DC7" w:rsidR="00DF5731" w:rsidRPr="00F110F6" w:rsidRDefault="00DF5731" w:rsidP="002D3A0D">
            <w:pPr>
              <w:pStyle w:val="TableBody0"/>
              <w:spacing w:line="288" w:lineRule="auto"/>
              <w:jc w:val="right"/>
            </w:pPr>
            <w:r w:rsidRPr="00F110F6">
              <w:rPr>
                <w:rStyle w:val="normaltextrun"/>
              </w:rPr>
              <w:t>0</w:t>
            </w:r>
          </w:p>
        </w:tc>
        <w:tc>
          <w:tcPr>
            <w:tcW w:w="844" w:type="dxa"/>
          </w:tcPr>
          <w:p w14:paraId="032D80E5" w14:textId="79A25F4E" w:rsidR="00DF5731" w:rsidRPr="00F110F6" w:rsidRDefault="00DF5731" w:rsidP="002D3A0D">
            <w:pPr>
              <w:pStyle w:val="TableBody0"/>
              <w:spacing w:line="288" w:lineRule="auto"/>
              <w:jc w:val="right"/>
            </w:pPr>
            <w:r w:rsidRPr="00F110F6">
              <w:rPr>
                <w:rStyle w:val="normaltextrun"/>
              </w:rPr>
              <w:t>0</w:t>
            </w:r>
          </w:p>
        </w:tc>
        <w:tc>
          <w:tcPr>
            <w:tcW w:w="844" w:type="dxa"/>
          </w:tcPr>
          <w:p w14:paraId="03B6911C" w14:textId="79EC6C47" w:rsidR="00DF5731" w:rsidRPr="00F110F6" w:rsidRDefault="00DF5731" w:rsidP="002D3A0D">
            <w:pPr>
              <w:pStyle w:val="TableBody0"/>
              <w:spacing w:line="288" w:lineRule="auto"/>
              <w:jc w:val="right"/>
            </w:pPr>
            <w:r w:rsidRPr="00F110F6">
              <w:rPr>
                <w:rStyle w:val="normaltextrun"/>
              </w:rPr>
              <w:t>0</w:t>
            </w:r>
          </w:p>
        </w:tc>
        <w:tc>
          <w:tcPr>
            <w:tcW w:w="844" w:type="dxa"/>
          </w:tcPr>
          <w:p w14:paraId="0DE99055" w14:textId="5235CACB" w:rsidR="00DF5731" w:rsidRPr="00F110F6" w:rsidRDefault="00DF5731" w:rsidP="002D3A0D">
            <w:pPr>
              <w:pStyle w:val="TableBody0"/>
              <w:spacing w:line="288" w:lineRule="auto"/>
              <w:jc w:val="right"/>
            </w:pPr>
            <w:r w:rsidRPr="00F110F6">
              <w:rPr>
                <w:rStyle w:val="normaltextrun"/>
              </w:rPr>
              <w:t>0</w:t>
            </w:r>
          </w:p>
        </w:tc>
        <w:tc>
          <w:tcPr>
            <w:tcW w:w="844" w:type="dxa"/>
          </w:tcPr>
          <w:p w14:paraId="5452B6FA" w14:textId="0AD5F0B2" w:rsidR="00DF5731" w:rsidRPr="00F110F6" w:rsidRDefault="00DF5731" w:rsidP="002D3A0D">
            <w:pPr>
              <w:pStyle w:val="TableBody0"/>
              <w:spacing w:line="288" w:lineRule="auto"/>
              <w:jc w:val="right"/>
            </w:pPr>
            <w:r w:rsidRPr="00F110F6">
              <w:rPr>
                <w:rStyle w:val="normaltextrun"/>
              </w:rPr>
              <w:t>0</w:t>
            </w:r>
          </w:p>
        </w:tc>
        <w:tc>
          <w:tcPr>
            <w:tcW w:w="850" w:type="dxa"/>
          </w:tcPr>
          <w:p w14:paraId="044288ED" w14:textId="2A6CDAF9" w:rsidR="00DF5731" w:rsidRPr="00F110F6" w:rsidRDefault="00DF5731" w:rsidP="002D3A0D">
            <w:pPr>
              <w:pStyle w:val="TableBody0"/>
              <w:spacing w:line="288" w:lineRule="auto"/>
              <w:jc w:val="right"/>
            </w:pPr>
            <w:r w:rsidRPr="00F110F6">
              <w:rPr>
                <w:rStyle w:val="normaltextrun"/>
              </w:rPr>
              <w:t>0</w:t>
            </w:r>
          </w:p>
        </w:tc>
        <w:tc>
          <w:tcPr>
            <w:tcW w:w="850" w:type="dxa"/>
          </w:tcPr>
          <w:p w14:paraId="078B9DB4" w14:textId="6DB0B40F" w:rsidR="00DF5731" w:rsidRPr="00F110F6" w:rsidRDefault="00DF5731" w:rsidP="002D3A0D">
            <w:pPr>
              <w:pStyle w:val="TableBody0"/>
              <w:spacing w:line="288" w:lineRule="auto"/>
              <w:jc w:val="right"/>
            </w:pPr>
            <w:r w:rsidRPr="00F110F6">
              <w:rPr>
                <w:rStyle w:val="normaltextrun"/>
              </w:rPr>
              <w:t>0</w:t>
            </w:r>
          </w:p>
        </w:tc>
        <w:tc>
          <w:tcPr>
            <w:tcW w:w="838" w:type="dxa"/>
          </w:tcPr>
          <w:p w14:paraId="122DBF4F" w14:textId="51762632" w:rsidR="00DF5731" w:rsidRPr="00F110F6" w:rsidRDefault="00DF5731" w:rsidP="002D3A0D">
            <w:pPr>
              <w:pStyle w:val="TableBody0"/>
              <w:spacing w:line="288" w:lineRule="auto"/>
              <w:jc w:val="right"/>
            </w:pPr>
            <w:r w:rsidRPr="00F110F6">
              <w:rPr>
                <w:rStyle w:val="normaltextrun"/>
              </w:rPr>
              <w:t>16</w:t>
            </w:r>
          </w:p>
        </w:tc>
      </w:tr>
      <w:tr w:rsidR="00DF5731" w:rsidRPr="00F110F6" w14:paraId="71858962"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28475C67" w14:textId="77777777" w:rsidR="00DF5731" w:rsidRPr="00F110F6" w:rsidRDefault="00DF5731" w:rsidP="002D3A0D">
            <w:pPr>
              <w:pStyle w:val="TableBody0"/>
              <w:spacing w:line="288" w:lineRule="auto"/>
            </w:pPr>
            <w:r w:rsidRPr="00F110F6">
              <w:t>ACT</w:t>
            </w:r>
          </w:p>
        </w:tc>
        <w:tc>
          <w:tcPr>
            <w:tcW w:w="844" w:type="dxa"/>
          </w:tcPr>
          <w:p w14:paraId="54B0B27C" w14:textId="0586CD2D" w:rsidR="00DF5731" w:rsidRPr="00F110F6" w:rsidRDefault="00DF5731" w:rsidP="002D3A0D">
            <w:pPr>
              <w:pStyle w:val="TableBody0"/>
              <w:spacing w:line="288" w:lineRule="auto"/>
              <w:jc w:val="right"/>
            </w:pPr>
            <w:r w:rsidRPr="00F110F6">
              <w:rPr>
                <w:rStyle w:val="normaltextrun"/>
              </w:rPr>
              <w:t>14</w:t>
            </w:r>
          </w:p>
        </w:tc>
        <w:tc>
          <w:tcPr>
            <w:tcW w:w="844" w:type="dxa"/>
          </w:tcPr>
          <w:p w14:paraId="19BC2913" w14:textId="79CF0909" w:rsidR="00DF5731" w:rsidRPr="00F110F6" w:rsidRDefault="00DF5731" w:rsidP="002D3A0D">
            <w:pPr>
              <w:pStyle w:val="TableBody0"/>
              <w:spacing w:line="288" w:lineRule="auto"/>
              <w:jc w:val="right"/>
            </w:pPr>
            <w:r w:rsidRPr="00F110F6">
              <w:rPr>
                <w:rStyle w:val="normaltextrun"/>
              </w:rPr>
              <w:t>0</w:t>
            </w:r>
          </w:p>
        </w:tc>
        <w:tc>
          <w:tcPr>
            <w:tcW w:w="844" w:type="dxa"/>
          </w:tcPr>
          <w:p w14:paraId="62807233" w14:textId="78DDD4E8" w:rsidR="00DF5731" w:rsidRPr="00F110F6" w:rsidRDefault="00DF5731" w:rsidP="002D3A0D">
            <w:pPr>
              <w:pStyle w:val="TableBody0"/>
              <w:spacing w:line="288" w:lineRule="auto"/>
              <w:jc w:val="right"/>
            </w:pPr>
            <w:r w:rsidRPr="00F110F6">
              <w:rPr>
                <w:rStyle w:val="normaltextrun"/>
              </w:rPr>
              <w:t>14</w:t>
            </w:r>
          </w:p>
        </w:tc>
        <w:tc>
          <w:tcPr>
            <w:tcW w:w="844" w:type="dxa"/>
          </w:tcPr>
          <w:p w14:paraId="74AA067C" w14:textId="2CD43769" w:rsidR="00DF5731" w:rsidRPr="00F110F6" w:rsidRDefault="00DF5731" w:rsidP="002D3A0D">
            <w:pPr>
              <w:pStyle w:val="TableBody0"/>
              <w:spacing w:line="288" w:lineRule="auto"/>
              <w:jc w:val="right"/>
            </w:pPr>
            <w:r w:rsidRPr="00F110F6">
              <w:rPr>
                <w:rStyle w:val="normaltextrun"/>
              </w:rPr>
              <w:t>32</w:t>
            </w:r>
          </w:p>
        </w:tc>
        <w:tc>
          <w:tcPr>
            <w:tcW w:w="844" w:type="dxa"/>
          </w:tcPr>
          <w:p w14:paraId="39C7BBD5" w14:textId="4D1B57E3" w:rsidR="00DF5731" w:rsidRPr="00F110F6" w:rsidRDefault="00DF5731" w:rsidP="002D3A0D">
            <w:pPr>
              <w:pStyle w:val="TableBody0"/>
              <w:spacing w:line="288" w:lineRule="auto"/>
              <w:jc w:val="right"/>
            </w:pPr>
            <w:r w:rsidRPr="00F110F6">
              <w:rPr>
                <w:rStyle w:val="normaltextrun"/>
              </w:rPr>
              <w:t>2</w:t>
            </w:r>
          </w:p>
        </w:tc>
        <w:tc>
          <w:tcPr>
            <w:tcW w:w="844" w:type="dxa"/>
          </w:tcPr>
          <w:p w14:paraId="3E7DACBA" w14:textId="2640FF63" w:rsidR="00DF5731" w:rsidRPr="00F110F6" w:rsidRDefault="00DF5731" w:rsidP="002D3A0D">
            <w:pPr>
              <w:pStyle w:val="TableBody0"/>
              <w:spacing w:line="288" w:lineRule="auto"/>
              <w:jc w:val="right"/>
            </w:pPr>
            <w:r w:rsidRPr="00F110F6">
              <w:rPr>
                <w:rStyle w:val="normaltextrun"/>
              </w:rPr>
              <w:t>34</w:t>
            </w:r>
          </w:p>
        </w:tc>
        <w:tc>
          <w:tcPr>
            <w:tcW w:w="737" w:type="dxa"/>
          </w:tcPr>
          <w:p w14:paraId="765826F2" w14:textId="1B05CDF9" w:rsidR="00DF5731" w:rsidRPr="00F110F6" w:rsidRDefault="00DF5731" w:rsidP="002D3A0D">
            <w:pPr>
              <w:pStyle w:val="TableBody0"/>
              <w:spacing w:line="288" w:lineRule="auto"/>
              <w:jc w:val="right"/>
            </w:pPr>
            <w:r w:rsidRPr="00F110F6">
              <w:rPr>
                <w:rStyle w:val="normaltextrun"/>
              </w:rPr>
              <w:t>0</w:t>
            </w:r>
          </w:p>
        </w:tc>
        <w:tc>
          <w:tcPr>
            <w:tcW w:w="737" w:type="dxa"/>
          </w:tcPr>
          <w:p w14:paraId="2EDB07C7" w14:textId="5C7DC454" w:rsidR="00DF5731" w:rsidRPr="00F110F6" w:rsidRDefault="00DF5731" w:rsidP="002D3A0D">
            <w:pPr>
              <w:pStyle w:val="TableBody0"/>
              <w:spacing w:line="288" w:lineRule="auto"/>
              <w:jc w:val="right"/>
            </w:pPr>
            <w:r w:rsidRPr="00F110F6">
              <w:rPr>
                <w:rStyle w:val="normaltextrun"/>
              </w:rPr>
              <w:t>0</w:t>
            </w:r>
          </w:p>
        </w:tc>
        <w:tc>
          <w:tcPr>
            <w:tcW w:w="567" w:type="dxa"/>
          </w:tcPr>
          <w:p w14:paraId="23C62C7F" w14:textId="13A23C8B" w:rsidR="00DF5731" w:rsidRPr="00F110F6" w:rsidRDefault="00DF5731" w:rsidP="002D3A0D">
            <w:pPr>
              <w:pStyle w:val="TableBody0"/>
              <w:spacing w:line="288" w:lineRule="auto"/>
              <w:jc w:val="right"/>
            </w:pPr>
            <w:r w:rsidRPr="00F110F6">
              <w:rPr>
                <w:rStyle w:val="normaltextrun"/>
              </w:rPr>
              <w:t>0</w:t>
            </w:r>
          </w:p>
        </w:tc>
        <w:tc>
          <w:tcPr>
            <w:tcW w:w="844" w:type="dxa"/>
          </w:tcPr>
          <w:p w14:paraId="04A5B764" w14:textId="0BECE0E4" w:rsidR="00DF5731" w:rsidRPr="00F110F6" w:rsidRDefault="00DF5731" w:rsidP="002D3A0D">
            <w:pPr>
              <w:pStyle w:val="TableBody0"/>
              <w:spacing w:line="288" w:lineRule="auto"/>
              <w:jc w:val="right"/>
            </w:pPr>
            <w:r w:rsidRPr="00F110F6">
              <w:rPr>
                <w:rStyle w:val="normaltextrun"/>
              </w:rPr>
              <w:t>0</w:t>
            </w:r>
          </w:p>
        </w:tc>
        <w:tc>
          <w:tcPr>
            <w:tcW w:w="844" w:type="dxa"/>
          </w:tcPr>
          <w:p w14:paraId="64793418" w14:textId="1387285A" w:rsidR="00DF5731" w:rsidRPr="00F110F6" w:rsidRDefault="00DF5731" w:rsidP="002D3A0D">
            <w:pPr>
              <w:pStyle w:val="TableBody0"/>
              <w:spacing w:line="288" w:lineRule="auto"/>
              <w:jc w:val="right"/>
            </w:pPr>
            <w:r w:rsidRPr="00F110F6">
              <w:rPr>
                <w:rStyle w:val="normaltextrun"/>
              </w:rPr>
              <w:t>0</w:t>
            </w:r>
          </w:p>
        </w:tc>
        <w:tc>
          <w:tcPr>
            <w:tcW w:w="844" w:type="dxa"/>
          </w:tcPr>
          <w:p w14:paraId="18D06279" w14:textId="53A294C9" w:rsidR="00DF5731" w:rsidRPr="00F110F6" w:rsidRDefault="00DF5731" w:rsidP="002D3A0D">
            <w:pPr>
              <w:pStyle w:val="TableBody0"/>
              <w:spacing w:line="288" w:lineRule="auto"/>
              <w:jc w:val="right"/>
            </w:pPr>
            <w:r w:rsidRPr="00F110F6">
              <w:rPr>
                <w:rStyle w:val="normaltextrun"/>
              </w:rPr>
              <w:t>0</w:t>
            </w:r>
          </w:p>
        </w:tc>
        <w:tc>
          <w:tcPr>
            <w:tcW w:w="844" w:type="dxa"/>
          </w:tcPr>
          <w:p w14:paraId="0D5E8910" w14:textId="77091FC0" w:rsidR="00DF5731" w:rsidRPr="00F110F6" w:rsidRDefault="00DF5731" w:rsidP="002D3A0D">
            <w:pPr>
              <w:pStyle w:val="TableBody0"/>
              <w:spacing w:line="288" w:lineRule="auto"/>
              <w:jc w:val="right"/>
            </w:pPr>
            <w:r w:rsidRPr="00F110F6">
              <w:rPr>
                <w:rStyle w:val="normaltextrun"/>
              </w:rPr>
              <w:t>0</w:t>
            </w:r>
          </w:p>
        </w:tc>
        <w:tc>
          <w:tcPr>
            <w:tcW w:w="850" w:type="dxa"/>
          </w:tcPr>
          <w:p w14:paraId="7EBCDAC3" w14:textId="08D2108F" w:rsidR="00DF5731" w:rsidRPr="00F110F6" w:rsidRDefault="00DF5731" w:rsidP="002D3A0D">
            <w:pPr>
              <w:pStyle w:val="TableBody0"/>
              <w:spacing w:line="288" w:lineRule="auto"/>
              <w:jc w:val="right"/>
            </w:pPr>
            <w:r w:rsidRPr="00F110F6">
              <w:rPr>
                <w:rStyle w:val="normaltextrun"/>
              </w:rPr>
              <w:t>0</w:t>
            </w:r>
          </w:p>
        </w:tc>
        <w:tc>
          <w:tcPr>
            <w:tcW w:w="850" w:type="dxa"/>
          </w:tcPr>
          <w:p w14:paraId="2E2174A2" w14:textId="5708B629" w:rsidR="00DF5731" w:rsidRPr="00F110F6" w:rsidRDefault="00DF5731" w:rsidP="002D3A0D">
            <w:pPr>
              <w:pStyle w:val="TableBody0"/>
              <w:spacing w:line="288" w:lineRule="auto"/>
              <w:jc w:val="right"/>
            </w:pPr>
            <w:r w:rsidRPr="00F110F6">
              <w:rPr>
                <w:rStyle w:val="normaltextrun"/>
              </w:rPr>
              <w:t>0</w:t>
            </w:r>
          </w:p>
        </w:tc>
        <w:tc>
          <w:tcPr>
            <w:tcW w:w="838" w:type="dxa"/>
          </w:tcPr>
          <w:p w14:paraId="54844630" w14:textId="75F00856" w:rsidR="00DF5731" w:rsidRPr="00F110F6" w:rsidRDefault="00DF5731" w:rsidP="002D3A0D">
            <w:pPr>
              <w:pStyle w:val="TableBody0"/>
              <w:spacing w:line="288" w:lineRule="auto"/>
              <w:jc w:val="right"/>
            </w:pPr>
            <w:r w:rsidRPr="00F110F6">
              <w:rPr>
                <w:rStyle w:val="normaltextrun"/>
              </w:rPr>
              <w:t>48</w:t>
            </w:r>
          </w:p>
        </w:tc>
      </w:tr>
      <w:tr w:rsidR="00DF5731" w:rsidRPr="00F110F6" w14:paraId="15B2000C"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2AF46EA9" w14:textId="77777777" w:rsidR="00DF5731" w:rsidRPr="00F110F6" w:rsidRDefault="00DF5731" w:rsidP="002D3A0D">
            <w:pPr>
              <w:pStyle w:val="TableBody0"/>
              <w:spacing w:line="288" w:lineRule="auto"/>
            </w:pPr>
            <w:r w:rsidRPr="00F110F6">
              <w:t>NT</w:t>
            </w:r>
          </w:p>
        </w:tc>
        <w:tc>
          <w:tcPr>
            <w:tcW w:w="844" w:type="dxa"/>
          </w:tcPr>
          <w:p w14:paraId="7E461F2F" w14:textId="60ECFCCC" w:rsidR="00DF5731" w:rsidRPr="00F110F6" w:rsidRDefault="00DF5731" w:rsidP="002D3A0D">
            <w:pPr>
              <w:pStyle w:val="TableBody0"/>
              <w:spacing w:line="288" w:lineRule="auto"/>
              <w:jc w:val="right"/>
            </w:pPr>
            <w:r w:rsidRPr="00F110F6">
              <w:rPr>
                <w:rStyle w:val="normaltextrun"/>
              </w:rPr>
              <w:t>0</w:t>
            </w:r>
          </w:p>
        </w:tc>
        <w:tc>
          <w:tcPr>
            <w:tcW w:w="844" w:type="dxa"/>
          </w:tcPr>
          <w:p w14:paraId="63274D73" w14:textId="7D96EC74" w:rsidR="00DF5731" w:rsidRPr="00F110F6" w:rsidRDefault="00DF5731" w:rsidP="002D3A0D">
            <w:pPr>
              <w:pStyle w:val="TableBody0"/>
              <w:spacing w:line="288" w:lineRule="auto"/>
              <w:jc w:val="right"/>
            </w:pPr>
            <w:r w:rsidRPr="00F110F6">
              <w:rPr>
                <w:rStyle w:val="normaltextrun"/>
              </w:rPr>
              <w:t>0</w:t>
            </w:r>
          </w:p>
        </w:tc>
        <w:tc>
          <w:tcPr>
            <w:tcW w:w="844" w:type="dxa"/>
          </w:tcPr>
          <w:p w14:paraId="75D32CE2" w14:textId="0FD52D46" w:rsidR="00DF5731" w:rsidRPr="00F110F6" w:rsidRDefault="00DF5731" w:rsidP="002D3A0D">
            <w:pPr>
              <w:pStyle w:val="TableBody0"/>
              <w:spacing w:line="288" w:lineRule="auto"/>
              <w:jc w:val="right"/>
            </w:pPr>
            <w:r w:rsidRPr="00F110F6">
              <w:rPr>
                <w:rStyle w:val="normaltextrun"/>
              </w:rPr>
              <w:t>0</w:t>
            </w:r>
          </w:p>
        </w:tc>
        <w:tc>
          <w:tcPr>
            <w:tcW w:w="844" w:type="dxa"/>
          </w:tcPr>
          <w:p w14:paraId="416DE0D3" w14:textId="5992273D" w:rsidR="00DF5731" w:rsidRPr="00F110F6" w:rsidRDefault="00DF5731" w:rsidP="002D3A0D">
            <w:pPr>
              <w:pStyle w:val="TableBody0"/>
              <w:spacing w:line="288" w:lineRule="auto"/>
              <w:jc w:val="right"/>
            </w:pPr>
            <w:r w:rsidRPr="00F110F6">
              <w:rPr>
                <w:rStyle w:val="normaltextrun"/>
              </w:rPr>
              <w:t>2</w:t>
            </w:r>
          </w:p>
        </w:tc>
        <w:tc>
          <w:tcPr>
            <w:tcW w:w="844" w:type="dxa"/>
          </w:tcPr>
          <w:p w14:paraId="2F56C8E8" w14:textId="40410099" w:rsidR="00DF5731" w:rsidRPr="00F110F6" w:rsidRDefault="00DF5731" w:rsidP="002D3A0D">
            <w:pPr>
              <w:pStyle w:val="TableBody0"/>
              <w:spacing w:line="288" w:lineRule="auto"/>
              <w:jc w:val="right"/>
            </w:pPr>
            <w:r w:rsidRPr="00F110F6">
              <w:rPr>
                <w:rStyle w:val="normaltextrun"/>
              </w:rPr>
              <w:t>0</w:t>
            </w:r>
          </w:p>
        </w:tc>
        <w:tc>
          <w:tcPr>
            <w:tcW w:w="844" w:type="dxa"/>
          </w:tcPr>
          <w:p w14:paraId="2F664659" w14:textId="5CAD2FBE" w:rsidR="00DF5731" w:rsidRPr="00F110F6" w:rsidRDefault="00DF5731" w:rsidP="002D3A0D">
            <w:pPr>
              <w:pStyle w:val="TableBody0"/>
              <w:spacing w:line="288" w:lineRule="auto"/>
              <w:jc w:val="right"/>
            </w:pPr>
            <w:r w:rsidRPr="00F110F6">
              <w:rPr>
                <w:rStyle w:val="normaltextrun"/>
              </w:rPr>
              <w:t>2</w:t>
            </w:r>
          </w:p>
        </w:tc>
        <w:tc>
          <w:tcPr>
            <w:tcW w:w="737" w:type="dxa"/>
          </w:tcPr>
          <w:p w14:paraId="01A5848D" w14:textId="3ECA3443" w:rsidR="00DF5731" w:rsidRPr="00F110F6" w:rsidRDefault="00DF5731" w:rsidP="002D3A0D">
            <w:pPr>
              <w:pStyle w:val="TableBody0"/>
              <w:spacing w:line="288" w:lineRule="auto"/>
              <w:jc w:val="right"/>
            </w:pPr>
            <w:r w:rsidRPr="00F110F6">
              <w:rPr>
                <w:rStyle w:val="normaltextrun"/>
              </w:rPr>
              <w:t>0</w:t>
            </w:r>
          </w:p>
        </w:tc>
        <w:tc>
          <w:tcPr>
            <w:tcW w:w="737" w:type="dxa"/>
          </w:tcPr>
          <w:p w14:paraId="45DABBE3" w14:textId="2DEEF9E9" w:rsidR="00DF5731" w:rsidRPr="00F110F6" w:rsidRDefault="00DF5731" w:rsidP="002D3A0D">
            <w:pPr>
              <w:pStyle w:val="TableBody0"/>
              <w:spacing w:line="288" w:lineRule="auto"/>
              <w:jc w:val="right"/>
            </w:pPr>
            <w:r w:rsidRPr="00F110F6">
              <w:rPr>
                <w:rStyle w:val="normaltextrun"/>
              </w:rPr>
              <w:t>0</w:t>
            </w:r>
          </w:p>
        </w:tc>
        <w:tc>
          <w:tcPr>
            <w:tcW w:w="567" w:type="dxa"/>
          </w:tcPr>
          <w:p w14:paraId="7366C2D0" w14:textId="4282045D" w:rsidR="00DF5731" w:rsidRPr="00F110F6" w:rsidRDefault="00DF5731" w:rsidP="002D3A0D">
            <w:pPr>
              <w:pStyle w:val="TableBody0"/>
              <w:spacing w:line="288" w:lineRule="auto"/>
              <w:jc w:val="right"/>
            </w:pPr>
            <w:r w:rsidRPr="00F110F6">
              <w:rPr>
                <w:rStyle w:val="normaltextrun"/>
              </w:rPr>
              <w:t>0</w:t>
            </w:r>
          </w:p>
        </w:tc>
        <w:tc>
          <w:tcPr>
            <w:tcW w:w="844" w:type="dxa"/>
          </w:tcPr>
          <w:p w14:paraId="484C9894" w14:textId="3D1E4A9C" w:rsidR="00DF5731" w:rsidRPr="00F110F6" w:rsidRDefault="00DF5731" w:rsidP="002D3A0D">
            <w:pPr>
              <w:pStyle w:val="TableBody0"/>
              <w:spacing w:line="288" w:lineRule="auto"/>
              <w:jc w:val="right"/>
            </w:pPr>
            <w:r w:rsidRPr="00F110F6">
              <w:rPr>
                <w:rStyle w:val="normaltextrun"/>
              </w:rPr>
              <w:t>0</w:t>
            </w:r>
          </w:p>
        </w:tc>
        <w:tc>
          <w:tcPr>
            <w:tcW w:w="844" w:type="dxa"/>
          </w:tcPr>
          <w:p w14:paraId="3D8638B6" w14:textId="2E224412" w:rsidR="00DF5731" w:rsidRPr="00F110F6" w:rsidRDefault="00DF5731" w:rsidP="002D3A0D">
            <w:pPr>
              <w:pStyle w:val="TableBody0"/>
              <w:spacing w:line="288" w:lineRule="auto"/>
              <w:jc w:val="right"/>
            </w:pPr>
            <w:r w:rsidRPr="00F110F6">
              <w:rPr>
                <w:rStyle w:val="normaltextrun"/>
              </w:rPr>
              <w:t>0</w:t>
            </w:r>
          </w:p>
        </w:tc>
        <w:tc>
          <w:tcPr>
            <w:tcW w:w="844" w:type="dxa"/>
          </w:tcPr>
          <w:p w14:paraId="613A7AE0" w14:textId="426D4D29" w:rsidR="00DF5731" w:rsidRPr="00F110F6" w:rsidRDefault="00DF5731" w:rsidP="002D3A0D">
            <w:pPr>
              <w:pStyle w:val="TableBody0"/>
              <w:spacing w:line="288" w:lineRule="auto"/>
              <w:jc w:val="right"/>
            </w:pPr>
            <w:r w:rsidRPr="00F110F6">
              <w:rPr>
                <w:rStyle w:val="normaltextrun"/>
              </w:rPr>
              <w:t>0</w:t>
            </w:r>
          </w:p>
        </w:tc>
        <w:tc>
          <w:tcPr>
            <w:tcW w:w="844" w:type="dxa"/>
          </w:tcPr>
          <w:p w14:paraId="1B88DEA2" w14:textId="01DCDC5E" w:rsidR="00DF5731" w:rsidRPr="00F110F6" w:rsidRDefault="00DF5731" w:rsidP="002D3A0D">
            <w:pPr>
              <w:pStyle w:val="TableBody0"/>
              <w:spacing w:line="288" w:lineRule="auto"/>
              <w:jc w:val="right"/>
            </w:pPr>
            <w:r w:rsidRPr="00F110F6">
              <w:rPr>
                <w:rStyle w:val="normaltextrun"/>
              </w:rPr>
              <w:t>0</w:t>
            </w:r>
          </w:p>
        </w:tc>
        <w:tc>
          <w:tcPr>
            <w:tcW w:w="850" w:type="dxa"/>
          </w:tcPr>
          <w:p w14:paraId="6CD1BEF8" w14:textId="26873517" w:rsidR="00DF5731" w:rsidRPr="00F110F6" w:rsidRDefault="00DF5731" w:rsidP="002D3A0D">
            <w:pPr>
              <w:pStyle w:val="TableBody0"/>
              <w:spacing w:line="288" w:lineRule="auto"/>
              <w:jc w:val="right"/>
            </w:pPr>
            <w:r w:rsidRPr="00F110F6">
              <w:rPr>
                <w:rStyle w:val="normaltextrun"/>
              </w:rPr>
              <w:t>0</w:t>
            </w:r>
          </w:p>
        </w:tc>
        <w:tc>
          <w:tcPr>
            <w:tcW w:w="850" w:type="dxa"/>
          </w:tcPr>
          <w:p w14:paraId="4598334B" w14:textId="586B083A" w:rsidR="00DF5731" w:rsidRPr="00F110F6" w:rsidRDefault="00DF5731" w:rsidP="002D3A0D">
            <w:pPr>
              <w:pStyle w:val="TableBody0"/>
              <w:spacing w:line="288" w:lineRule="auto"/>
              <w:jc w:val="right"/>
            </w:pPr>
            <w:r w:rsidRPr="00F110F6">
              <w:rPr>
                <w:rStyle w:val="normaltextrun"/>
              </w:rPr>
              <w:t>0</w:t>
            </w:r>
          </w:p>
        </w:tc>
        <w:tc>
          <w:tcPr>
            <w:tcW w:w="838" w:type="dxa"/>
          </w:tcPr>
          <w:p w14:paraId="7AF4A02E" w14:textId="059C9A6F" w:rsidR="00DF5731" w:rsidRPr="00F110F6" w:rsidRDefault="00DF5731" w:rsidP="002D3A0D">
            <w:pPr>
              <w:pStyle w:val="TableBody0"/>
              <w:spacing w:line="288" w:lineRule="auto"/>
              <w:jc w:val="right"/>
            </w:pPr>
            <w:r w:rsidRPr="00F110F6">
              <w:rPr>
                <w:rStyle w:val="normaltextrun"/>
              </w:rPr>
              <w:t>2</w:t>
            </w:r>
          </w:p>
        </w:tc>
      </w:tr>
      <w:tr w:rsidR="00DF5731" w:rsidRPr="00F110F6" w14:paraId="5E0A47B5"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68B87F3C" w14:textId="77777777" w:rsidR="00DF5731" w:rsidRPr="00F110F6" w:rsidRDefault="00DF5731" w:rsidP="002D3A0D">
            <w:pPr>
              <w:pStyle w:val="TableBody0"/>
              <w:spacing w:line="288" w:lineRule="auto"/>
            </w:pPr>
            <w:r w:rsidRPr="00F110F6">
              <w:t>External territories</w:t>
            </w:r>
          </w:p>
        </w:tc>
        <w:tc>
          <w:tcPr>
            <w:tcW w:w="844" w:type="dxa"/>
          </w:tcPr>
          <w:p w14:paraId="08F60774" w14:textId="64E687E1" w:rsidR="00DF5731" w:rsidRPr="00F110F6" w:rsidRDefault="00DF5731" w:rsidP="002D3A0D">
            <w:pPr>
              <w:pStyle w:val="TableBody0"/>
              <w:spacing w:line="288" w:lineRule="auto"/>
              <w:jc w:val="right"/>
            </w:pPr>
            <w:r w:rsidRPr="00F110F6">
              <w:rPr>
                <w:rStyle w:val="normaltextrun"/>
              </w:rPr>
              <w:t>0</w:t>
            </w:r>
          </w:p>
        </w:tc>
        <w:tc>
          <w:tcPr>
            <w:tcW w:w="844" w:type="dxa"/>
          </w:tcPr>
          <w:p w14:paraId="61889AC5" w14:textId="232D7A8B" w:rsidR="00DF5731" w:rsidRPr="00F110F6" w:rsidRDefault="00DF5731" w:rsidP="002D3A0D">
            <w:pPr>
              <w:pStyle w:val="TableBody0"/>
              <w:spacing w:line="288" w:lineRule="auto"/>
              <w:jc w:val="right"/>
            </w:pPr>
            <w:r w:rsidRPr="00F110F6">
              <w:rPr>
                <w:rStyle w:val="normaltextrun"/>
              </w:rPr>
              <w:t>0</w:t>
            </w:r>
          </w:p>
        </w:tc>
        <w:tc>
          <w:tcPr>
            <w:tcW w:w="844" w:type="dxa"/>
          </w:tcPr>
          <w:p w14:paraId="50A66928" w14:textId="0B517232" w:rsidR="00DF5731" w:rsidRPr="00F110F6" w:rsidRDefault="00DF5731" w:rsidP="002D3A0D">
            <w:pPr>
              <w:pStyle w:val="TableBody0"/>
              <w:spacing w:line="288" w:lineRule="auto"/>
              <w:jc w:val="right"/>
            </w:pPr>
            <w:r w:rsidRPr="00F110F6">
              <w:rPr>
                <w:rStyle w:val="normaltextrun"/>
              </w:rPr>
              <w:t>0</w:t>
            </w:r>
          </w:p>
        </w:tc>
        <w:tc>
          <w:tcPr>
            <w:tcW w:w="844" w:type="dxa"/>
          </w:tcPr>
          <w:p w14:paraId="1B1D0B76" w14:textId="54F6CDBD" w:rsidR="00DF5731" w:rsidRPr="00F110F6" w:rsidRDefault="00DF5731" w:rsidP="002D3A0D">
            <w:pPr>
              <w:pStyle w:val="TableBody0"/>
              <w:spacing w:line="288" w:lineRule="auto"/>
              <w:jc w:val="right"/>
            </w:pPr>
            <w:r w:rsidRPr="00F110F6">
              <w:rPr>
                <w:rStyle w:val="normaltextrun"/>
              </w:rPr>
              <w:t>0</w:t>
            </w:r>
          </w:p>
        </w:tc>
        <w:tc>
          <w:tcPr>
            <w:tcW w:w="844" w:type="dxa"/>
          </w:tcPr>
          <w:p w14:paraId="444D5EDF" w14:textId="40C42E21" w:rsidR="00DF5731" w:rsidRPr="00F110F6" w:rsidRDefault="00DF5731" w:rsidP="002D3A0D">
            <w:pPr>
              <w:pStyle w:val="TableBody0"/>
              <w:spacing w:line="288" w:lineRule="auto"/>
              <w:jc w:val="right"/>
            </w:pPr>
            <w:r w:rsidRPr="00F110F6">
              <w:rPr>
                <w:rStyle w:val="normaltextrun"/>
              </w:rPr>
              <w:t>0</w:t>
            </w:r>
          </w:p>
        </w:tc>
        <w:tc>
          <w:tcPr>
            <w:tcW w:w="844" w:type="dxa"/>
          </w:tcPr>
          <w:p w14:paraId="673D62E8" w14:textId="3F93BB2C" w:rsidR="00DF5731" w:rsidRPr="00F110F6" w:rsidRDefault="00DF5731" w:rsidP="002D3A0D">
            <w:pPr>
              <w:pStyle w:val="TableBody0"/>
              <w:spacing w:line="288" w:lineRule="auto"/>
              <w:jc w:val="right"/>
            </w:pPr>
            <w:r w:rsidRPr="00F110F6">
              <w:rPr>
                <w:rStyle w:val="normaltextrun"/>
              </w:rPr>
              <w:t>0</w:t>
            </w:r>
          </w:p>
        </w:tc>
        <w:tc>
          <w:tcPr>
            <w:tcW w:w="737" w:type="dxa"/>
          </w:tcPr>
          <w:p w14:paraId="39084C94" w14:textId="7396EE61" w:rsidR="00DF5731" w:rsidRPr="00F110F6" w:rsidRDefault="00DF5731" w:rsidP="002D3A0D">
            <w:pPr>
              <w:pStyle w:val="TableBody0"/>
              <w:spacing w:line="288" w:lineRule="auto"/>
              <w:jc w:val="right"/>
            </w:pPr>
            <w:r w:rsidRPr="00F110F6">
              <w:rPr>
                <w:rStyle w:val="normaltextrun"/>
              </w:rPr>
              <w:t>0</w:t>
            </w:r>
          </w:p>
        </w:tc>
        <w:tc>
          <w:tcPr>
            <w:tcW w:w="737" w:type="dxa"/>
          </w:tcPr>
          <w:p w14:paraId="0E6E8BA2" w14:textId="0E1FBDB3" w:rsidR="00DF5731" w:rsidRPr="00F110F6" w:rsidRDefault="00DF5731" w:rsidP="002D3A0D">
            <w:pPr>
              <w:pStyle w:val="TableBody0"/>
              <w:spacing w:line="288" w:lineRule="auto"/>
              <w:jc w:val="right"/>
            </w:pPr>
            <w:r w:rsidRPr="00F110F6">
              <w:rPr>
                <w:rStyle w:val="normaltextrun"/>
              </w:rPr>
              <w:t>0</w:t>
            </w:r>
          </w:p>
        </w:tc>
        <w:tc>
          <w:tcPr>
            <w:tcW w:w="567" w:type="dxa"/>
          </w:tcPr>
          <w:p w14:paraId="41EF6C5D" w14:textId="0DDADD12" w:rsidR="00DF5731" w:rsidRPr="00F110F6" w:rsidRDefault="00DF5731" w:rsidP="002D3A0D">
            <w:pPr>
              <w:pStyle w:val="TableBody0"/>
              <w:spacing w:line="288" w:lineRule="auto"/>
              <w:jc w:val="right"/>
            </w:pPr>
            <w:r w:rsidRPr="00F110F6">
              <w:rPr>
                <w:rStyle w:val="normaltextrun"/>
              </w:rPr>
              <w:t>0</w:t>
            </w:r>
          </w:p>
        </w:tc>
        <w:tc>
          <w:tcPr>
            <w:tcW w:w="844" w:type="dxa"/>
          </w:tcPr>
          <w:p w14:paraId="191D1390" w14:textId="18AA7445" w:rsidR="00DF5731" w:rsidRPr="00F110F6" w:rsidRDefault="00DF5731" w:rsidP="002D3A0D">
            <w:pPr>
              <w:pStyle w:val="TableBody0"/>
              <w:spacing w:line="288" w:lineRule="auto"/>
              <w:jc w:val="right"/>
            </w:pPr>
            <w:r w:rsidRPr="00F110F6">
              <w:rPr>
                <w:rStyle w:val="normaltextrun"/>
              </w:rPr>
              <w:t>0</w:t>
            </w:r>
          </w:p>
        </w:tc>
        <w:tc>
          <w:tcPr>
            <w:tcW w:w="844" w:type="dxa"/>
          </w:tcPr>
          <w:p w14:paraId="0B8444BF" w14:textId="1D50B84E" w:rsidR="00DF5731" w:rsidRPr="00F110F6" w:rsidRDefault="00DF5731" w:rsidP="002D3A0D">
            <w:pPr>
              <w:pStyle w:val="TableBody0"/>
              <w:spacing w:line="288" w:lineRule="auto"/>
              <w:jc w:val="right"/>
            </w:pPr>
            <w:r w:rsidRPr="00F110F6">
              <w:rPr>
                <w:rStyle w:val="normaltextrun"/>
              </w:rPr>
              <w:t>0</w:t>
            </w:r>
          </w:p>
        </w:tc>
        <w:tc>
          <w:tcPr>
            <w:tcW w:w="844" w:type="dxa"/>
          </w:tcPr>
          <w:p w14:paraId="6C4E0729" w14:textId="195FB527" w:rsidR="00DF5731" w:rsidRPr="00F110F6" w:rsidRDefault="00DF5731" w:rsidP="002D3A0D">
            <w:pPr>
              <w:pStyle w:val="TableBody0"/>
              <w:spacing w:line="288" w:lineRule="auto"/>
              <w:jc w:val="right"/>
            </w:pPr>
            <w:r w:rsidRPr="00F110F6">
              <w:rPr>
                <w:rStyle w:val="normaltextrun"/>
              </w:rPr>
              <w:t>0</w:t>
            </w:r>
          </w:p>
        </w:tc>
        <w:tc>
          <w:tcPr>
            <w:tcW w:w="844" w:type="dxa"/>
          </w:tcPr>
          <w:p w14:paraId="08759D72" w14:textId="3EEE1013" w:rsidR="00DF5731" w:rsidRPr="00F110F6" w:rsidRDefault="00DF5731" w:rsidP="002D3A0D">
            <w:pPr>
              <w:pStyle w:val="TableBody0"/>
              <w:spacing w:line="288" w:lineRule="auto"/>
              <w:jc w:val="right"/>
            </w:pPr>
            <w:r w:rsidRPr="00F110F6">
              <w:rPr>
                <w:rStyle w:val="normaltextrun"/>
              </w:rPr>
              <w:t>0</w:t>
            </w:r>
          </w:p>
        </w:tc>
        <w:tc>
          <w:tcPr>
            <w:tcW w:w="850" w:type="dxa"/>
          </w:tcPr>
          <w:p w14:paraId="2325C11C" w14:textId="68DB6D66" w:rsidR="00DF5731" w:rsidRPr="00F110F6" w:rsidRDefault="00DF5731" w:rsidP="002D3A0D">
            <w:pPr>
              <w:pStyle w:val="TableBody0"/>
              <w:spacing w:line="288" w:lineRule="auto"/>
              <w:jc w:val="right"/>
            </w:pPr>
            <w:r w:rsidRPr="00F110F6">
              <w:rPr>
                <w:rStyle w:val="normaltextrun"/>
              </w:rPr>
              <w:t>0</w:t>
            </w:r>
          </w:p>
        </w:tc>
        <w:tc>
          <w:tcPr>
            <w:tcW w:w="850" w:type="dxa"/>
          </w:tcPr>
          <w:p w14:paraId="7A6E0677" w14:textId="45011FB8" w:rsidR="00DF5731" w:rsidRPr="00F110F6" w:rsidRDefault="00DF5731" w:rsidP="002D3A0D">
            <w:pPr>
              <w:pStyle w:val="TableBody0"/>
              <w:spacing w:line="288" w:lineRule="auto"/>
              <w:jc w:val="right"/>
            </w:pPr>
            <w:r w:rsidRPr="00F110F6">
              <w:rPr>
                <w:rStyle w:val="normaltextrun"/>
              </w:rPr>
              <w:t>0</w:t>
            </w:r>
          </w:p>
        </w:tc>
        <w:tc>
          <w:tcPr>
            <w:tcW w:w="838" w:type="dxa"/>
          </w:tcPr>
          <w:p w14:paraId="69FB0561" w14:textId="494131F9" w:rsidR="00DF5731" w:rsidRPr="00F110F6" w:rsidRDefault="00DF5731" w:rsidP="002D3A0D">
            <w:pPr>
              <w:pStyle w:val="TableBody0"/>
              <w:spacing w:line="288" w:lineRule="auto"/>
              <w:jc w:val="right"/>
            </w:pPr>
            <w:r w:rsidRPr="00F110F6">
              <w:rPr>
                <w:rStyle w:val="normaltextrun"/>
              </w:rPr>
              <w:t>0</w:t>
            </w:r>
          </w:p>
        </w:tc>
      </w:tr>
      <w:tr w:rsidR="00DF5731" w:rsidRPr="00F110F6" w14:paraId="6CC77796" w14:textId="77777777" w:rsidTr="006C1EDF">
        <w:trPr>
          <w:cnfStyle w:val="000000010000" w:firstRow="0" w:lastRow="0" w:firstColumn="0" w:lastColumn="0" w:oddVBand="0" w:evenVBand="0" w:oddHBand="0" w:evenHBand="1" w:firstRowFirstColumn="0" w:firstRowLastColumn="0" w:lastRowFirstColumn="0" w:lastRowLastColumn="0"/>
        </w:trPr>
        <w:tc>
          <w:tcPr>
            <w:tcW w:w="1194" w:type="dxa"/>
          </w:tcPr>
          <w:p w14:paraId="4B6DD30E" w14:textId="77777777" w:rsidR="00DF5731" w:rsidRPr="00F110F6" w:rsidRDefault="00DF5731" w:rsidP="002D3A0D">
            <w:pPr>
              <w:pStyle w:val="TableBody0"/>
              <w:spacing w:line="288" w:lineRule="auto"/>
            </w:pPr>
            <w:r w:rsidRPr="00F110F6">
              <w:t>Overseas</w:t>
            </w:r>
          </w:p>
        </w:tc>
        <w:tc>
          <w:tcPr>
            <w:tcW w:w="844" w:type="dxa"/>
          </w:tcPr>
          <w:p w14:paraId="4F4693EE" w14:textId="0362AAE7" w:rsidR="00DF5731" w:rsidRPr="00F110F6" w:rsidRDefault="00DF5731" w:rsidP="002D3A0D">
            <w:pPr>
              <w:pStyle w:val="TableBody0"/>
              <w:spacing w:line="288" w:lineRule="auto"/>
              <w:jc w:val="right"/>
            </w:pPr>
            <w:r w:rsidRPr="00F110F6">
              <w:rPr>
                <w:rStyle w:val="normaltextrun"/>
              </w:rPr>
              <w:t>0</w:t>
            </w:r>
          </w:p>
        </w:tc>
        <w:tc>
          <w:tcPr>
            <w:tcW w:w="844" w:type="dxa"/>
          </w:tcPr>
          <w:p w14:paraId="61A5F51D" w14:textId="0EF7EFBC" w:rsidR="00DF5731" w:rsidRPr="00F110F6" w:rsidRDefault="00DF5731" w:rsidP="002D3A0D">
            <w:pPr>
              <w:pStyle w:val="TableBody0"/>
              <w:spacing w:line="288" w:lineRule="auto"/>
              <w:jc w:val="right"/>
            </w:pPr>
            <w:r w:rsidRPr="00F110F6">
              <w:rPr>
                <w:rStyle w:val="normaltextrun"/>
              </w:rPr>
              <w:t>0</w:t>
            </w:r>
          </w:p>
        </w:tc>
        <w:tc>
          <w:tcPr>
            <w:tcW w:w="844" w:type="dxa"/>
          </w:tcPr>
          <w:p w14:paraId="36B949B4" w14:textId="714EE5DA" w:rsidR="00DF5731" w:rsidRPr="00F110F6" w:rsidRDefault="00DF5731" w:rsidP="002D3A0D">
            <w:pPr>
              <w:pStyle w:val="TableBody0"/>
              <w:spacing w:line="288" w:lineRule="auto"/>
              <w:jc w:val="right"/>
            </w:pPr>
            <w:r w:rsidRPr="00F110F6">
              <w:rPr>
                <w:rStyle w:val="normaltextrun"/>
              </w:rPr>
              <w:t>0</w:t>
            </w:r>
          </w:p>
        </w:tc>
        <w:tc>
          <w:tcPr>
            <w:tcW w:w="844" w:type="dxa"/>
          </w:tcPr>
          <w:p w14:paraId="7D4D5501" w14:textId="0B8444BF" w:rsidR="00DF5731" w:rsidRPr="00F110F6" w:rsidRDefault="00DF5731" w:rsidP="002D3A0D">
            <w:pPr>
              <w:pStyle w:val="TableBody0"/>
              <w:spacing w:line="288" w:lineRule="auto"/>
              <w:jc w:val="right"/>
            </w:pPr>
            <w:r w:rsidRPr="00F110F6">
              <w:rPr>
                <w:rStyle w:val="normaltextrun"/>
              </w:rPr>
              <w:t>0</w:t>
            </w:r>
          </w:p>
        </w:tc>
        <w:tc>
          <w:tcPr>
            <w:tcW w:w="844" w:type="dxa"/>
          </w:tcPr>
          <w:p w14:paraId="1AC306AB" w14:textId="282CFF57" w:rsidR="00DF5731" w:rsidRPr="00F110F6" w:rsidRDefault="00DF5731" w:rsidP="002D3A0D">
            <w:pPr>
              <w:pStyle w:val="TableBody0"/>
              <w:spacing w:line="288" w:lineRule="auto"/>
              <w:jc w:val="right"/>
            </w:pPr>
            <w:r w:rsidRPr="00F110F6">
              <w:rPr>
                <w:rStyle w:val="normaltextrun"/>
              </w:rPr>
              <w:t>0</w:t>
            </w:r>
          </w:p>
        </w:tc>
        <w:tc>
          <w:tcPr>
            <w:tcW w:w="844" w:type="dxa"/>
          </w:tcPr>
          <w:p w14:paraId="46E398F9" w14:textId="3363FAFC" w:rsidR="00DF5731" w:rsidRPr="00F110F6" w:rsidRDefault="00DF5731" w:rsidP="002D3A0D">
            <w:pPr>
              <w:pStyle w:val="TableBody0"/>
              <w:spacing w:line="288" w:lineRule="auto"/>
              <w:jc w:val="right"/>
            </w:pPr>
            <w:r w:rsidRPr="00F110F6">
              <w:rPr>
                <w:rStyle w:val="normaltextrun"/>
              </w:rPr>
              <w:t>0</w:t>
            </w:r>
          </w:p>
        </w:tc>
        <w:tc>
          <w:tcPr>
            <w:tcW w:w="737" w:type="dxa"/>
          </w:tcPr>
          <w:p w14:paraId="247073E8" w14:textId="5873D94E" w:rsidR="00DF5731" w:rsidRPr="00F110F6" w:rsidRDefault="00DF5731" w:rsidP="002D3A0D">
            <w:pPr>
              <w:pStyle w:val="TableBody0"/>
              <w:spacing w:line="288" w:lineRule="auto"/>
              <w:jc w:val="right"/>
            </w:pPr>
            <w:r w:rsidRPr="00F110F6">
              <w:rPr>
                <w:rStyle w:val="normaltextrun"/>
              </w:rPr>
              <w:t>0</w:t>
            </w:r>
          </w:p>
        </w:tc>
        <w:tc>
          <w:tcPr>
            <w:tcW w:w="737" w:type="dxa"/>
          </w:tcPr>
          <w:p w14:paraId="091B50E5" w14:textId="3DF9BA4B" w:rsidR="00DF5731" w:rsidRPr="00F110F6" w:rsidRDefault="00DF5731" w:rsidP="002D3A0D">
            <w:pPr>
              <w:pStyle w:val="TableBody0"/>
              <w:spacing w:line="288" w:lineRule="auto"/>
              <w:jc w:val="right"/>
            </w:pPr>
            <w:r w:rsidRPr="00F110F6">
              <w:rPr>
                <w:rStyle w:val="normaltextrun"/>
              </w:rPr>
              <w:t>0</w:t>
            </w:r>
          </w:p>
        </w:tc>
        <w:tc>
          <w:tcPr>
            <w:tcW w:w="567" w:type="dxa"/>
          </w:tcPr>
          <w:p w14:paraId="77FB0AD9" w14:textId="05B07EF7" w:rsidR="00DF5731" w:rsidRPr="00F110F6" w:rsidRDefault="00DF5731" w:rsidP="002D3A0D">
            <w:pPr>
              <w:pStyle w:val="TableBody0"/>
              <w:spacing w:line="288" w:lineRule="auto"/>
              <w:jc w:val="right"/>
            </w:pPr>
            <w:r w:rsidRPr="00F110F6">
              <w:rPr>
                <w:rStyle w:val="normaltextrun"/>
              </w:rPr>
              <w:t>0</w:t>
            </w:r>
          </w:p>
        </w:tc>
        <w:tc>
          <w:tcPr>
            <w:tcW w:w="844" w:type="dxa"/>
          </w:tcPr>
          <w:p w14:paraId="74DC26BB" w14:textId="31F8D964" w:rsidR="00DF5731" w:rsidRPr="00F110F6" w:rsidRDefault="00DF5731" w:rsidP="002D3A0D">
            <w:pPr>
              <w:pStyle w:val="TableBody0"/>
              <w:spacing w:line="288" w:lineRule="auto"/>
              <w:jc w:val="right"/>
            </w:pPr>
            <w:r w:rsidRPr="00F110F6">
              <w:rPr>
                <w:rStyle w:val="normaltextrun"/>
              </w:rPr>
              <w:t>0</w:t>
            </w:r>
          </w:p>
        </w:tc>
        <w:tc>
          <w:tcPr>
            <w:tcW w:w="844" w:type="dxa"/>
          </w:tcPr>
          <w:p w14:paraId="3CC6D689" w14:textId="55EDD2B3" w:rsidR="00DF5731" w:rsidRPr="00F110F6" w:rsidRDefault="00DF5731" w:rsidP="002D3A0D">
            <w:pPr>
              <w:pStyle w:val="TableBody0"/>
              <w:spacing w:line="288" w:lineRule="auto"/>
              <w:jc w:val="right"/>
            </w:pPr>
            <w:r w:rsidRPr="00F110F6">
              <w:rPr>
                <w:rStyle w:val="normaltextrun"/>
              </w:rPr>
              <w:t>0</w:t>
            </w:r>
          </w:p>
        </w:tc>
        <w:tc>
          <w:tcPr>
            <w:tcW w:w="844" w:type="dxa"/>
          </w:tcPr>
          <w:p w14:paraId="33211053" w14:textId="5C3CB2DA" w:rsidR="00DF5731" w:rsidRPr="00F110F6" w:rsidRDefault="00DF5731" w:rsidP="002D3A0D">
            <w:pPr>
              <w:pStyle w:val="TableBody0"/>
              <w:spacing w:line="288" w:lineRule="auto"/>
              <w:jc w:val="right"/>
            </w:pPr>
            <w:r w:rsidRPr="00F110F6">
              <w:rPr>
                <w:rStyle w:val="normaltextrun"/>
              </w:rPr>
              <w:t>0</w:t>
            </w:r>
          </w:p>
        </w:tc>
        <w:tc>
          <w:tcPr>
            <w:tcW w:w="844" w:type="dxa"/>
          </w:tcPr>
          <w:p w14:paraId="167C0FBB" w14:textId="7C1EB029" w:rsidR="00DF5731" w:rsidRPr="00F110F6" w:rsidRDefault="00DF5731" w:rsidP="002D3A0D">
            <w:pPr>
              <w:pStyle w:val="TableBody0"/>
              <w:spacing w:line="288" w:lineRule="auto"/>
              <w:jc w:val="right"/>
            </w:pPr>
            <w:r w:rsidRPr="00F110F6">
              <w:rPr>
                <w:rStyle w:val="normaltextrun"/>
              </w:rPr>
              <w:t>0</w:t>
            </w:r>
          </w:p>
        </w:tc>
        <w:tc>
          <w:tcPr>
            <w:tcW w:w="850" w:type="dxa"/>
          </w:tcPr>
          <w:p w14:paraId="307428AA" w14:textId="20125F0D" w:rsidR="00DF5731" w:rsidRPr="00F110F6" w:rsidRDefault="00DF5731" w:rsidP="002D3A0D">
            <w:pPr>
              <w:pStyle w:val="TableBody0"/>
              <w:spacing w:line="288" w:lineRule="auto"/>
              <w:jc w:val="right"/>
            </w:pPr>
            <w:r w:rsidRPr="00F110F6">
              <w:rPr>
                <w:rStyle w:val="normaltextrun"/>
              </w:rPr>
              <w:t>0</w:t>
            </w:r>
          </w:p>
        </w:tc>
        <w:tc>
          <w:tcPr>
            <w:tcW w:w="850" w:type="dxa"/>
          </w:tcPr>
          <w:p w14:paraId="7348D048" w14:textId="472EBB45" w:rsidR="00DF5731" w:rsidRPr="00F110F6" w:rsidRDefault="00DF5731" w:rsidP="002D3A0D">
            <w:pPr>
              <w:pStyle w:val="TableBody0"/>
              <w:spacing w:line="288" w:lineRule="auto"/>
              <w:jc w:val="right"/>
            </w:pPr>
            <w:r w:rsidRPr="00F110F6">
              <w:rPr>
                <w:rStyle w:val="normaltextrun"/>
              </w:rPr>
              <w:t>0</w:t>
            </w:r>
          </w:p>
        </w:tc>
        <w:tc>
          <w:tcPr>
            <w:tcW w:w="838" w:type="dxa"/>
          </w:tcPr>
          <w:p w14:paraId="4B6B41C8" w14:textId="69D5C18D" w:rsidR="00DF5731" w:rsidRPr="00F110F6" w:rsidRDefault="00DF5731" w:rsidP="002D3A0D">
            <w:pPr>
              <w:pStyle w:val="TableBody0"/>
              <w:spacing w:line="288" w:lineRule="auto"/>
              <w:jc w:val="right"/>
            </w:pPr>
            <w:r w:rsidRPr="00F110F6">
              <w:rPr>
                <w:rStyle w:val="normaltextrun"/>
              </w:rPr>
              <w:t>0</w:t>
            </w:r>
          </w:p>
        </w:tc>
      </w:tr>
      <w:tr w:rsidR="00DF5731" w:rsidRPr="0028122F" w14:paraId="197FF041" w14:textId="77777777" w:rsidTr="006C1EDF">
        <w:trPr>
          <w:cnfStyle w:val="000000100000" w:firstRow="0" w:lastRow="0" w:firstColumn="0" w:lastColumn="0" w:oddVBand="0" w:evenVBand="0" w:oddHBand="1" w:evenHBand="0" w:firstRowFirstColumn="0" w:firstRowLastColumn="0" w:lastRowFirstColumn="0" w:lastRowLastColumn="0"/>
        </w:trPr>
        <w:tc>
          <w:tcPr>
            <w:tcW w:w="1194" w:type="dxa"/>
          </w:tcPr>
          <w:p w14:paraId="3B439ED8" w14:textId="77777777" w:rsidR="00DF5731" w:rsidRPr="00F110F6" w:rsidRDefault="00DF5731" w:rsidP="002D3A0D">
            <w:pPr>
              <w:pStyle w:val="TableBody0"/>
              <w:spacing w:line="288" w:lineRule="auto"/>
              <w:rPr>
                <w:b/>
                <w:bCs/>
              </w:rPr>
            </w:pPr>
            <w:r w:rsidRPr="00F110F6">
              <w:rPr>
                <w:b/>
                <w:bCs/>
              </w:rPr>
              <w:t>Total</w:t>
            </w:r>
          </w:p>
        </w:tc>
        <w:tc>
          <w:tcPr>
            <w:tcW w:w="844" w:type="dxa"/>
          </w:tcPr>
          <w:p w14:paraId="2C3186EF" w14:textId="7111B871" w:rsidR="00DF5731" w:rsidRPr="00F110F6" w:rsidRDefault="00DF5731" w:rsidP="002D3A0D">
            <w:pPr>
              <w:pStyle w:val="TableBody0"/>
              <w:spacing w:line="288" w:lineRule="auto"/>
              <w:jc w:val="right"/>
              <w:rPr>
                <w:b/>
                <w:bCs/>
              </w:rPr>
            </w:pPr>
            <w:r w:rsidRPr="00F110F6">
              <w:rPr>
                <w:rStyle w:val="normaltextrun"/>
                <w:b/>
                <w:bCs/>
              </w:rPr>
              <w:t>132</w:t>
            </w:r>
          </w:p>
        </w:tc>
        <w:tc>
          <w:tcPr>
            <w:tcW w:w="844" w:type="dxa"/>
          </w:tcPr>
          <w:p w14:paraId="031236BA" w14:textId="74185246" w:rsidR="00DF5731" w:rsidRPr="00F110F6" w:rsidRDefault="00DF5731" w:rsidP="002D3A0D">
            <w:pPr>
              <w:pStyle w:val="TableBody0"/>
              <w:spacing w:line="288" w:lineRule="auto"/>
              <w:jc w:val="right"/>
              <w:rPr>
                <w:b/>
                <w:bCs/>
              </w:rPr>
            </w:pPr>
            <w:r w:rsidRPr="00F110F6">
              <w:rPr>
                <w:rStyle w:val="normaltextrun"/>
                <w:b/>
                <w:bCs/>
              </w:rPr>
              <w:t>7</w:t>
            </w:r>
          </w:p>
        </w:tc>
        <w:tc>
          <w:tcPr>
            <w:tcW w:w="844" w:type="dxa"/>
          </w:tcPr>
          <w:p w14:paraId="6CCA1E03" w14:textId="409642EA" w:rsidR="00DF5731" w:rsidRPr="00F110F6" w:rsidRDefault="00DF5731" w:rsidP="002D3A0D">
            <w:pPr>
              <w:pStyle w:val="TableBody0"/>
              <w:spacing w:line="288" w:lineRule="auto"/>
              <w:jc w:val="right"/>
              <w:rPr>
                <w:b/>
                <w:bCs/>
              </w:rPr>
            </w:pPr>
            <w:r w:rsidRPr="00F110F6">
              <w:rPr>
                <w:rStyle w:val="normaltextrun"/>
                <w:b/>
                <w:bCs/>
              </w:rPr>
              <w:t>139</w:t>
            </w:r>
          </w:p>
        </w:tc>
        <w:tc>
          <w:tcPr>
            <w:tcW w:w="844" w:type="dxa"/>
          </w:tcPr>
          <w:p w14:paraId="20EE4BE2" w14:textId="288EB1B5" w:rsidR="00DF5731" w:rsidRPr="00F110F6" w:rsidRDefault="00DF5731" w:rsidP="002D3A0D">
            <w:pPr>
              <w:pStyle w:val="TableBody0"/>
              <w:spacing w:line="288" w:lineRule="auto"/>
              <w:jc w:val="right"/>
              <w:rPr>
                <w:b/>
                <w:bCs/>
              </w:rPr>
            </w:pPr>
            <w:r w:rsidRPr="00F110F6">
              <w:rPr>
                <w:rStyle w:val="normaltextrun"/>
                <w:b/>
                <w:bCs/>
              </w:rPr>
              <w:t>304</w:t>
            </w:r>
          </w:p>
        </w:tc>
        <w:tc>
          <w:tcPr>
            <w:tcW w:w="844" w:type="dxa"/>
          </w:tcPr>
          <w:p w14:paraId="70E1F224" w14:textId="2FB3CC27" w:rsidR="00DF5731" w:rsidRPr="00F110F6" w:rsidRDefault="00DF5731" w:rsidP="002D3A0D">
            <w:pPr>
              <w:pStyle w:val="TableBody0"/>
              <w:spacing w:line="288" w:lineRule="auto"/>
              <w:jc w:val="right"/>
              <w:rPr>
                <w:b/>
                <w:bCs/>
              </w:rPr>
            </w:pPr>
            <w:r w:rsidRPr="00F110F6">
              <w:rPr>
                <w:rStyle w:val="normaltextrun"/>
                <w:b/>
                <w:bCs/>
              </w:rPr>
              <w:t>18</w:t>
            </w:r>
          </w:p>
        </w:tc>
        <w:tc>
          <w:tcPr>
            <w:tcW w:w="844" w:type="dxa"/>
          </w:tcPr>
          <w:p w14:paraId="27135580" w14:textId="236FC377" w:rsidR="00DF5731" w:rsidRPr="00F110F6" w:rsidRDefault="00DF5731" w:rsidP="002D3A0D">
            <w:pPr>
              <w:pStyle w:val="TableBody0"/>
              <w:spacing w:line="288" w:lineRule="auto"/>
              <w:jc w:val="right"/>
              <w:rPr>
                <w:b/>
                <w:bCs/>
              </w:rPr>
            </w:pPr>
            <w:r w:rsidRPr="00F110F6">
              <w:rPr>
                <w:rStyle w:val="normaltextrun"/>
                <w:b/>
                <w:bCs/>
              </w:rPr>
              <w:t>322</w:t>
            </w:r>
          </w:p>
        </w:tc>
        <w:tc>
          <w:tcPr>
            <w:tcW w:w="737" w:type="dxa"/>
          </w:tcPr>
          <w:p w14:paraId="2BC3E43F" w14:textId="7E21D14E" w:rsidR="00DF5731" w:rsidRPr="00F110F6" w:rsidRDefault="00DF5731" w:rsidP="002D3A0D">
            <w:pPr>
              <w:pStyle w:val="TableBody0"/>
              <w:spacing w:line="288" w:lineRule="auto"/>
              <w:jc w:val="right"/>
              <w:rPr>
                <w:b/>
                <w:bCs/>
              </w:rPr>
            </w:pPr>
            <w:r w:rsidRPr="00F110F6">
              <w:rPr>
                <w:rStyle w:val="normaltextrun"/>
                <w:b/>
                <w:bCs/>
              </w:rPr>
              <w:t>6</w:t>
            </w:r>
          </w:p>
        </w:tc>
        <w:tc>
          <w:tcPr>
            <w:tcW w:w="737" w:type="dxa"/>
          </w:tcPr>
          <w:p w14:paraId="15180913" w14:textId="2090A739" w:rsidR="00DF5731" w:rsidRPr="00F110F6" w:rsidRDefault="00DF5731" w:rsidP="002D3A0D">
            <w:pPr>
              <w:pStyle w:val="TableBody0"/>
              <w:spacing w:line="288" w:lineRule="auto"/>
              <w:jc w:val="right"/>
              <w:rPr>
                <w:b/>
                <w:bCs/>
              </w:rPr>
            </w:pPr>
            <w:r w:rsidRPr="00F110F6">
              <w:rPr>
                <w:rStyle w:val="normaltextrun"/>
                <w:b/>
                <w:bCs/>
              </w:rPr>
              <w:t>0</w:t>
            </w:r>
          </w:p>
        </w:tc>
        <w:tc>
          <w:tcPr>
            <w:tcW w:w="567" w:type="dxa"/>
          </w:tcPr>
          <w:p w14:paraId="5620DC9E" w14:textId="7C59CAB8" w:rsidR="00DF5731" w:rsidRPr="00F110F6" w:rsidRDefault="00DF5731" w:rsidP="002D3A0D">
            <w:pPr>
              <w:pStyle w:val="TableBody0"/>
              <w:spacing w:line="288" w:lineRule="auto"/>
              <w:jc w:val="right"/>
              <w:rPr>
                <w:b/>
                <w:bCs/>
              </w:rPr>
            </w:pPr>
            <w:r w:rsidRPr="00F110F6">
              <w:rPr>
                <w:rStyle w:val="normaltextrun"/>
                <w:b/>
                <w:bCs/>
              </w:rPr>
              <w:t>6</w:t>
            </w:r>
          </w:p>
        </w:tc>
        <w:tc>
          <w:tcPr>
            <w:tcW w:w="844" w:type="dxa"/>
          </w:tcPr>
          <w:p w14:paraId="45BC7483" w14:textId="22121CA7" w:rsidR="00DF5731" w:rsidRPr="00F110F6" w:rsidRDefault="00DF5731" w:rsidP="002D3A0D">
            <w:pPr>
              <w:pStyle w:val="TableBody0"/>
              <w:spacing w:line="288" w:lineRule="auto"/>
              <w:jc w:val="right"/>
              <w:rPr>
                <w:b/>
                <w:bCs/>
              </w:rPr>
            </w:pPr>
            <w:r w:rsidRPr="00F110F6">
              <w:rPr>
                <w:rStyle w:val="normaltextrun"/>
                <w:b/>
                <w:bCs/>
              </w:rPr>
              <w:t>0</w:t>
            </w:r>
          </w:p>
        </w:tc>
        <w:tc>
          <w:tcPr>
            <w:tcW w:w="844" w:type="dxa"/>
          </w:tcPr>
          <w:p w14:paraId="69CE9AA2" w14:textId="27A8224B" w:rsidR="00DF5731" w:rsidRPr="00F110F6" w:rsidRDefault="00DF5731" w:rsidP="002D3A0D">
            <w:pPr>
              <w:pStyle w:val="TableBody0"/>
              <w:spacing w:line="288" w:lineRule="auto"/>
              <w:jc w:val="right"/>
              <w:rPr>
                <w:b/>
                <w:bCs/>
              </w:rPr>
            </w:pPr>
            <w:r w:rsidRPr="00F110F6">
              <w:rPr>
                <w:rStyle w:val="normaltextrun"/>
                <w:b/>
                <w:bCs/>
              </w:rPr>
              <w:t>0</w:t>
            </w:r>
          </w:p>
        </w:tc>
        <w:tc>
          <w:tcPr>
            <w:tcW w:w="844" w:type="dxa"/>
          </w:tcPr>
          <w:p w14:paraId="360F18E9" w14:textId="227F5283" w:rsidR="00DF5731" w:rsidRPr="00F110F6" w:rsidRDefault="00DF5731" w:rsidP="002D3A0D">
            <w:pPr>
              <w:pStyle w:val="TableBody0"/>
              <w:spacing w:line="288" w:lineRule="auto"/>
              <w:jc w:val="right"/>
              <w:rPr>
                <w:b/>
                <w:bCs/>
              </w:rPr>
            </w:pPr>
            <w:r w:rsidRPr="00F110F6">
              <w:rPr>
                <w:rStyle w:val="normaltextrun"/>
                <w:b/>
                <w:bCs/>
              </w:rPr>
              <w:t>0</w:t>
            </w:r>
          </w:p>
        </w:tc>
        <w:tc>
          <w:tcPr>
            <w:tcW w:w="844" w:type="dxa"/>
          </w:tcPr>
          <w:p w14:paraId="7C3B773C" w14:textId="3CD08E90" w:rsidR="00DF5731" w:rsidRPr="00F110F6" w:rsidRDefault="00DF5731" w:rsidP="002D3A0D">
            <w:pPr>
              <w:pStyle w:val="TableBody0"/>
              <w:spacing w:line="288" w:lineRule="auto"/>
              <w:jc w:val="right"/>
              <w:rPr>
                <w:b/>
                <w:bCs/>
              </w:rPr>
            </w:pPr>
            <w:r w:rsidRPr="00F110F6">
              <w:rPr>
                <w:rStyle w:val="normaltextrun"/>
                <w:b/>
                <w:bCs/>
              </w:rPr>
              <w:t>0</w:t>
            </w:r>
          </w:p>
        </w:tc>
        <w:tc>
          <w:tcPr>
            <w:tcW w:w="850" w:type="dxa"/>
          </w:tcPr>
          <w:p w14:paraId="105A3BC6" w14:textId="1EE32C53" w:rsidR="00DF5731" w:rsidRPr="00F110F6" w:rsidRDefault="00DF5731" w:rsidP="002D3A0D">
            <w:pPr>
              <w:pStyle w:val="TableBody0"/>
              <w:spacing w:line="288" w:lineRule="auto"/>
              <w:jc w:val="right"/>
              <w:rPr>
                <w:b/>
                <w:bCs/>
              </w:rPr>
            </w:pPr>
            <w:r w:rsidRPr="00F110F6">
              <w:rPr>
                <w:rStyle w:val="normaltextrun"/>
                <w:b/>
                <w:bCs/>
              </w:rPr>
              <w:t>0</w:t>
            </w:r>
          </w:p>
        </w:tc>
        <w:tc>
          <w:tcPr>
            <w:tcW w:w="850" w:type="dxa"/>
          </w:tcPr>
          <w:p w14:paraId="70B3E1E2" w14:textId="00197D9B" w:rsidR="00DF5731" w:rsidRPr="00F110F6" w:rsidRDefault="00DF5731" w:rsidP="002D3A0D">
            <w:pPr>
              <w:pStyle w:val="TableBody0"/>
              <w:spacing w:line="288" w:lineRule="auto"/>
              <w:jc w:val="right"/>
              <w:rPr>
                <w:b/>
                <w:bCs/>
              </w:rPr>
            </w:pPr>
            <w:r w:rsidRPr="00F110F6">
              <w:rPr>
                <w:rStyle w:val="normaltextrun"/>
                <w:b/>
                <w:bCs/>
              </w:rPr>
              <w:t>0</w:t>
            </w:r>
          </w:p>
        </w:tc>
        <w:tc>
          <w:tcPr>
            <w:tcW w:w="838" w:type="dxa"/>
          </w:tcPr>
          <w:p w14:paraId="3FED9BD4" w14:textId="0E343512" w:rsidR="00DF5731" w:rsidRPr="0028122F" w:rsidRDefault="00DF5731" w:rsidP="002D3A0D">
            <w:pPr>
              <w:pStyle w:val="TableBody0"/>
              <w:spacing w:line="288" w:lineRule="auto"/>
              <w:jc w:val="right"/>
              <w:rPr>
                <w:b/>
                <w:bCs/>
              </w:rPr>
            </w:pPr>
            <w:r w:rsidRPr="00F110F6">
              <w:rPr>
                <w:rStyle w:val="normaltextrun"/>
                <w:b/>
                <w:bCs/>
              </w:rPr>
              <w:t>467</w:t>
            </w:r>
          </w:p>
        </w:tc>
      </w:tr>
    </w:tbl>
    <w:p w14:paraId="5F917B7B" w14:textId="77777777" w:rsidR="001F6195" w:rsidRDefault="001F6195">
      <w:pPr>
        <w:spacing w:before="120" w:line="288" w:lineRule="auto"/>
      </w:pPr>
      <w:r>
        <w:br w:type="page"/>
      </w:r>
    </w:p>
    <w:p w14:paraId="6B3AFB0B" w14:textId="77777777" w:rsidR="00BB15DB" w:rsidRPr="00BB15DB" w:rsidRDefault="00BB15DB" w:rsidP="00741632">
      <w:pPr>
        <w:pStyle w:val="Heading3"/>
      </w:pPr>
      <w:bookmarkStart w:id="88" w:name="_Toc226723933"/>
      <w:bookmarkStart w:id="89" w:name="_Toc241826744"/>
      <w:r w:rsidRPr="00BB15DB">
        <w:t>7.2 Remuneration tables</w:t>
      </w:r>
      <w:bookmarkEnd w:id="88"/>
      <w:bookmarkEnd w:id="89"/>
    </w:p>
    <w:p w14:paraId="50BDBB46" w14:textId="1C421AC2" w:rsidR="00920D7D" w:rsidRDefault="00300BE2" w:rsidP="00300BE2">
      <w:pPr>
        <w:pStyle w:val="Caption"/>
      </w:pPr>
      <w:r>
        <w:t xml:space="preserve">Table </w:t>
      </w:r>
      <w:r w:rsidR="00D51B17">
        <w:rPr>
          <w:noProof/>
        </w:rPr>
        <w:t>2</w:t>
      </w:r>
      <w:r w:rsidR="0068179C">
        <w:rPr>
          <w:noProof/>
        </w:rPr>
        <w:t>7</w:t>
      </w:r>
      <w:r>
        <w:t xml:space="preserve">. </w:t>
      </w:r>
      <w:r w:rsidR="00920D7D" w:rsidRPr="007222D0">
        <w:t>Key management personnel</w:t>
      </w:r>
    </w:p>
    <w:tbl>
      <w:tblPr>
        <w:tblStyle w:val="NDISTable1"/>
        <w:tblW w:w="14229"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2381"/>
        <w:gridCol w:w="3118"/>
        <w:gridCol w:w="1247"/>
        <w:gridCol w:w="907"/>
        <w:gridCol w:w="1020"/>
        <w:gridCol w:w="1361"/>
        <w:gridCol w:w="1020"/>
        <w:gridCol w:w="907"/>
        <w:gridCol w:w="907"/>
        <w:gridCol w:w="1361"/>
      </w:tblGrid>
      <w:tr w:rsidR="001118A4" w:rsidRPr="00D92DA6" w14:paraId="0F2C9FA6" w14:textId="77777777" w:rsidTr="00485F2E">
        <w:trPr>
          <w:cnfStyle w:val="100000000000" w:firstRow="1" w:lastRow="0" w:firstColumn="0" w:lastColumn="0" w:oddVBand="0" w:evenVBand="0" w:oddHBand="0" w:evenHBand="0" w:firstRowFirstColumn="0" w:firstRowLastColumn="0" w:lastRowFirstColumn="0" w:lastRowLastColumn="0"/>
          <w:trHeight w:val="3118"/>
        </w:trPr>
        <w:tc>
          <w:tcPr>
            <w:tcW w:w="2381" w:type="dxa"/>
            <w:textDirection w:val="tbRl"/>
            <w:vAlign w:val="bottom"/>
          </w:tcPr>
          <w:p w14:paraId="29DBD9D0" w14:textId="77777777" w:rsidR="001118A4" w:rsidRPr="00D92DA6" w:rsidRDefault="001118A4" w:rsidP="008333D2">
            <w:pPr>
              <w:spacing w:before="100" w:after="100" w:line="288" w:lineRule="auto"/>
              <w:ind w:left="113" w:right="113"/>
              <w:rPr>
                <w:rFonts w:eastAsia="MS Mincho" w:cs="Arial"/>
                <w:bCs/>
                <w:color w:val="FFFFFF"/>
                <w:szCs w:val="22"/>
              </w:rPr>
            </w:pPr>
            <w:r w:rsidRPr="004D5FC7">
              <w:rPr>
                <w:rFonts w:eastAsia="MS Mincho" w:cs="Arial"/>
                <w:color w:val="FFFFFF"/>
                <w:szCs w:val="22"/>
              </w:rPr>
              <w:t>Name</w:t>
            </w:r>
          </w:p>
        </w:tc>
        <w:tc>
          <w:tcPr>
            <w:tcW w:w="3118" w:type="dxa"/>
            <w:textDirection w:val="tbRl"/>
            <w:vAlign w:val="bottom"/>
          </w:tcPr>
          <w:p w14:paraId="723FCD70" w14:textId="77777777" w:rsidR="001118A4" w:rsidRPr="00D92DA6" w:rsidRDefault="001118A4" w:rsidP="008333D2">
            <w:pPr>
              <w:spacing w:before="100" w:after="100" w:line="288" w:lineRule="auto"/>
              <w:ind w:left="113" w:right="113"/>
              <w:rPr>
                <w:rFonts w:eastAsia="MS Mincho" w:cs="Arial"/>
                <w:bCs/>
                <w:color w:val="FFFFFF"/>
                <w:szCs w:val="22"/>
              </w:rPr>
            </w:pPr>
            <w:r w:rsidRPr="004D5FC7">
              <w:rPr>
                <w:rFonts w:eastAsia="MS Mincho" w:cs="Arial"/>
                <w:color w:val="FFFFFF"/>
                <w:szCs w:val="22"/>
              </w:rPr>
              <w:t>Position title</w:t>
            </w:r>
          </w:p>
        </w:tc>
        <w:tc>
          <w:tcPr>
            <w:tcW w:w="1247" w:type="dxa"/>
            <w:textDirection w:val="tbRl"/>
          </w:tcPr>
          <w:p w14:paraId="14B92977" w14:textId="77777777" w:rsidR="001118A4" w:rsidRPr="00D92DA6" w:rsidRDefault="001118A4" w:rsidP="00CA79F5">
            <w:pPr>
              <w:spacing w:before="100" w:after="100" w:line="288" w:lineRule="auto"/>
              <w:ind w:left="113" w:right="113"/>
              <w:rPr>
                <w:rFonts w:eastAsia="MS Mincho" w:cs="Arial"/>
                <w:bCs/>
                <w:color w:val="FFFFFF"/>
                <w:szCs w:val="22"/>
              </w:rPr>
            </w:pPr>
            <w:r w:rsidRPr="004D5FC7">
              <w:rPr>
                <w:rFonts w:eastAsia="MS Mincho" w:cs="Arial"/>
                <w:color w:val="FFFFFF"/>
                <w:szCs w:val="22"/>
              </w:rPr>
              <w:t>Short-term benefits – base salary</w:t>
            </w:r>
          </w:p>
        </w:tc>
        <w:tc>
          <w:tcPr>
            <w:tcW w:w="907" w:type="dxa"/>
            <w:textDirection w:val="tbRl"/>
          </w:tcPr>
          <w:p w14:paraId="1E7883BD" w14:textId="77777777" w:rsidR="001118A4" w:rsidRPr="00D92DA6" w:rsidRDefault="001118A4" w:rsidP="00CA79F5">
            <w:pPr>
              <w:spacing w:before="100" w:after="100" w:line="288" w:lineRule="auto"/>
              <w:ind w:left="113" w:right="113"/>
              <w:rPr>
                <w:rFonts w:eastAsia="MS Mincho" w:cs="Arial"/>
                <w:bCs/>
                <w:color w:val="FFFFFF"/>
                <w:szCs w:val="22"/>
              </w:rPr>
            </w:pPr>
            <w:r w:rsidRPr="004D5FC7">
              <w:rPr>
                <w:rFonts w:eastAsia="MS Mincho" w:cs="Arial"/>
                <w:color w:val="FFFFFF"/>
                <w:szCs w:val="22"/>
              </w:rPr>
              <w:t>Short-term benefits – bonuses</w:t>
            </w:r>
          </w:p>
        </w:tc>
        <w:tc>
          <w:tcPr>
            <w:tcW w:w="1020" w:type="dxa"/>
            <w:textDirection w:val="tbRl"/>
          </w:tcPr>
          <w:p w14:paraId="1062A468" w14:textId="77777777" w:rsidR="001118A4" w:rsidRPr="00D92DA6" w:rsidRDefault="001118A4" w:rsidP="00CA79F5">
            <w:pPr>
              <w:spacing w:before="100" w:after="100" w:line="288" w:lineRule="auto"/>
              <w:ind w:left="113" w:right="113"/>
              <w:rPr>
                <w:rFonts w:eastAsia="MS Mincho" w:cs="Arial"/>
                <w:bCs/>
                <w:color w:val="FFFFFF"/>
                <w:szCs w:val="22"/>
              </w:rPr>
            </w:pPr>
            <w:r w:rsidRPr="004D5FC7">
              <w:rPr>
                <w:rFonts w:eastAsia="MS Mincho" w:cs="Arial"/>
                <w:color w:val="FFFFFF"/>
                <w:szCs w:val="22"/>
              </w:rPr>
              <w:t>Short-term benefits – other benefits and allowances</w:t>
            </w:r>
          </w:p>
        </w:tc>
        <w:tc>
          <w:tcPr>
            <w:tcW w:w="1361" w:type="dxa"/>
            <w:textDirection w:val="tbRl"/>
          </w:tcPr>
          <w:p w14:paraId="3349ECD8" w14:textId="77777777" w:rsidR="001118A4" w:rsidRPr="00D92DA6" w:rsidRDefault="001118A4" w:rsidP="00CA79F5">
            <w:pPr>
              <w:spacing w:before="100" w:after="100" w:line="288" w:lineRule="auto"/>
              <w:ind w:left="113" w:right="113"/>
              <w:rPr>
                <w:rFonts w:eastAsia="MS Mincho" w:cs="Arial"/>
                <w:bCs/>
                <w:color w:val="FFFFFF"/>
                <w:szCs w:val="22"/>
              </w:rPr>
            </w:pPr>
            <w:r w:rsidRPr="004D5FC7">
              <w:rPr>
                <w:rFonts w:eastAsia="MS Mincho" w:cs="Arial"/>
                <w:color w:val="FFFFFF"/>
                <w:szCs w:val="22"/>
              </w:rPr>
              <w:t>Post-employment benefits – superannuation contributions</w:t>
            </w:r>
          </w:p>
        </w:tc>
        <w:tc>
          <w:tcPr>
            <w:tcW w:w="1020" w:type="dxa"/>
            <w:textDirection w:val="tbRl"/>
          </w:tcPr>
          <w:p w14:paraId="360FE3C0" w14:textId="77777777" w:rsidR="001118A4" w:rsidRPr="00D92DA6" w:rsidRDefault="001118A4" w:rsidP="00CA79F5">
            <w:pPr>
              <w:spacing w:before="100" w:after="100" w:line="288" w:lineRule="auto"/>
              <w:ind w:left="113" w:right="113"/>
              <w:rPr>
                <w:rFonts w:eastAsia="MS Mincho" w:cs="Arial"/>
                <w:bCs/>
                <w:color w:val="FFFFFF"/>
                <w:szCs w:val="22"/>
              </w:rPr>
            </w:pPr>
            <w:r w:rsidRPr="004D5FC7">
              <w:rPr>
                <w:rFonts w:eastAsia="MS Mincho" w:cs="Arial"/>
                <w:color w:val="FFFFFF"/>
                <w:szCs w:val="22"/>
              </w:rPr>
              <w:t>Other long-term benefits – long service leave</w:t>
            </w:r>
          </w:p>
        </w:tc>
        <w:tc>
          <w:tcPr>
            <w:tcW w:w="907" w:type="dxa"/>
            <w:textDirection w:val="tbRl"/>
          </w:tcPr>
          <w:p w14:paraId="1AA108F4" w14:textId="77777777" w:rsidR="001118A4" w:rsidRPr="00D92DA6" w:rsidRDefault="001118A4" w:rsidP="00CA79F5">
            <w:pPr>
              <w:spacing w:before="100" w:after="100" w:line="288" w:lineRule="auto"/>
              <w:ind w:left="113" w:right="113"/>
              <w:rPr>
                <w:rFonts w:eastAsia="MS Mincho" w:cs="Arial"/>
                <w:bCs/>
                <w:color w:val="FFFFFF"/>
                <w:szCs w:val="22"/>
              </w:rPr>
            </w:pPr>
            <w:r w:rsidRPr="004D5FC7">
              <w:rPr>
                <w:rFonts w:eastAsia="MS Mincho" w:cs="Arial"/>
                <w:color w:val="FFFFFF"/>
                <w:szCs w:val="22"/>
              </w:rPr>
              <w:t>Other long-term benefits</w:t>
            </w:r>
          </w:p>
        </w:tc>
        <w:tc>
          <w:tcPr>
            <w:tcW w:w="907" w:type="dxa"/>
            <w:textDirection w:val="tbRl"/>
          </w:tcPr>
          <w:p w14:paraId="2EE14811" w14:textId="77777777" w:rsidR="001118A4" w:rsidRPr="00D92DA6" w:rsidRDefault="001118A4" w:rsidP="00CA79F5">
            <w:pPr>
              <w:spacing w:before="100" w:after="100" w:line="288" w:lineRule="auto"/>
              <w:ind w:left="113" w:right="113"/>
              <w:rPr>
                <w:rFonts w:eastAsia="MS Mincho" w:cs="Arial"/>
                <w:bCs/>
                <w:color w:val="FFFFFF"/>
                <w:szCs w:val="22"/>
              </w:rPr>
            </w:pPr>
            <w:r w:rsidRPr="004D5FC7">
              <w:rPr>
                <w:rFonts w:eastAsia="MS Mincho" w:cs="Arial"/>
                <w:color w:val="FFFFFF"/>
                <w:szCs w:val="22"/>
              </w:rPr>
              <w:t>Termination benefits</w:t>
            </w:r>
          </w:p>
        </w:tc>
        <w:tc>
          <w:tcPr>
            <w:tcW w:w="1361" w:type="dxa"/>
            <w:textDirection w:val="tbRl"/>
          </w:tcPr>
          <w:p w14:paraId="13967C56" w14:textId="77777777" w:rsidR="001118A4" w:rsidRPr="00D92DA6" w:rsidRDefault="001118A4" w:rsidP="00CA79F5">
            <w:pPr>
              <w:spacing w:before="100" w:after="100" w:line="288" w:lineRule="auto"/>
              <w:ind w:left="113" w:right="113"/>
              <w:rPr>
                <w:rFonts w:eastAsia="MS Mincho" w:cs="Arial"/>
                <w:bCs/>
                <w:color w:val="FFFFFF"/>
                <w:szCs w:val="22"/>
              </w:rPr>
            </w:pPr>
            <w:r w:rsidRPr="004D5FC7">
              <w:rPr>
                <w:rFonts w:eastAsia="MS Mincho" w:cs="Arial"/>
                <w:color w:val="FFFFFF"/>
                <w:szCs w:val="22"/>
              </w:rPr>
              <w:t>Total remuneration</w:t>
            </w:r>
          </w:p>
        </w:tc>
      </w:tr>
      <w:tr w:rsidR="001118A4" w:rsidRPr="001118A4" w14:paraId="4B4A39F0"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3DF563D2"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Mr Kurt Fearnley AO</w:t>
            </w:r>
          </w:p>
        </w:tc>
        <w:tc>
          <w:tcPr>
            <w:tcW w:w="3118" w:type="dxa"/>
          </w:tcPr>
          <w:p w14:paraId="0A0331D4"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Chair of the Board</w:t>
            </w:r>
          </w:p>
        </w:tc>
        <w:tc>
          <w:tcPr>
            <w:tcW w:w="1247" w:type="dxa"/>
          </w:tcPr>
          <w:p w14:paraId="379B50E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$159,579</w:t>
            </w:r>
          </w:p>
        </w:tc>
        <w:tc>
          <w:tcPr>
            <w:tcW w:w="907" w:type="dxa"/>
          </w:tcPr>
          <w:p w14:paraId="5C7AB0C9"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69DD022F"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5EA9A5E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$24,575</w:t>
            </w:r>
          </w:p>
        </w:tc>
        <w:tc>
          <w:tcPr>
            <w:tcW w:w="1020" w:type="dxa"/>
          </w:tcPr>
          <w:p w14:paraId="2D4D9CA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157F8C6F"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593B490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526D6F0D"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$184,154</w:t>
            </w:r>
          </w:p>
        </w:tc>
      </w:tr>
      <w:tr w:rsidR="001118A4" w:rsidRPr="001118A4" w14:paraId="44834B29" w14:textId="77777777" w:rsidTr="00485F2E">
        <w:trPr>
          <w:cnfStyle w:val="000000010000" w:firstRow="0" w:lastRow="0" w:firstColumn="0" w:lastColumn="0" w:oddVBand="0" w:evenVBand="0" w:oddHBand="0" w:evenHBand="1" w:firstRowFirstColumn="0" w:firstRowLastColumn="0" w:lastRowFirstColumn="0" w:lastRowLastColumn="0"/>
        </w:trPr>
        <w:tc>
          <w:tcPr>
            <w:tcW w:w="2381" w:type="dxa"/>
          </w:tcPr>
          <w:p w14:paraId="799D7B75"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Ms Lois Boswell</w:t>
            </w:r>
            <w:r w:rsidRPr="001118A4">
              <w:rPr>
                <w:rFonts w:eastAsia="MS Mincho" w:cs="Arial"/>
                <w:szCs w:val="22"/>
                <w:vertAlign w:val="superscript"/>
              </w:rPr>
              <w:t>2</w:t>
            </w:r>
          </w:p>
        </w:tc>
        <w:tc>
          <w:tcPr>
            <w:tcW w:w="3118" w:type="dxa"/>
          </w:tcPr>
          <w:p w14:paraId="29963E74"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Board Member</w:t>
            </w:r>
          </w:p>
        </w:tc>
        <w:tc>
          <w:tcPr>
            <w:tcW w:w="1247" w:type="dxa"/>
          </w:tcPr>
          <w:p w14:paraId="03E6A0DE"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$3,056</w:t>
            </w:r>
          </w:p>
        </w:tc>
        <w:tc>
          <w:tcPr>
            <w:tcW w:w="907" w:type="dxa"/>
          </w:tcPr>
          <w:p w14:paraId="41B6050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7EEB564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2559A3E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$471</w:t>
            </w:r>
          </w:p>
        </w:tc>
        <w:tc>
          <w:tcPr>
            <w:tcW w:w="1020" w:type="dxa"/>
          </w:tcPr>
          <w:p w14:paraId="7AF0D0A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03821979"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3117F96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7FC85C2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$3,527</w:t>
            </w:r>
          </w:p>
        </w:tc>
      </w:tr>
      <w:tr w:rsidR="001118A4" w:rsidRPr="001118A4" w14:paraId="49B1B24B"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7BE73065" w14:textId="5CC5BCCB" w:rsidR="001118A4" w:rsidRPr="001118A4" w:rsidRDefault="005A6E0D" w:rsidP="00CA79F5">
            <w:pPr>
              <w:spacing w:before="100" w:after="100" w:line="288" w:lineRule="auto"/>
              <w:rPr>
                <w:rFonts w:eastAsia="MS Mincho" w:cs="Arial"/>
                <w:szCs w:val="22"/>
              </w:rPr>
            </w:pPr>
            <w:r w:rsidRPr="005A6E0D">
              <w:rPr>
                <w:rFonts w:eastAsia="MS Mincho" w:cs="Arial"/>
                <w:szCs w:val="22"/>
              </w:rPr>
              <w:t>Mr Asimakis</w:t>
            </w:r>
            <w:r w:rsidR="004412F1">
              <w:rPr>
                <w:rFonts w:eastAsia="MS Mincho" w:cs="Arial"/>
                <w:szCs w:val="22"/>
              </w:rPr>
              <w:t xml:space="preserve"> (Mark</w:t>
            </w:r>
            <w:r w:rsidRPr="005A6E0D">
              <w:rPr>
                <w:rFonts w:eastAsia="MS Mincho" w:cs="Arial"/>
                <w:szCs w:val="22"/>
              </w:rPr>
              <w:t>) Darras</w:t>
            </w:r>
          </w:p>
        </w:tc>
        <w:tc>
          <w:tcPr>
            <w:tcW w:w="3118" w:type="dxa"/>
          </w:tcPr>
          <w:p w14:paraId="6F387DFC"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Board Member</w:t>
            </w:r>
          </w:p>
        </w:tc>
        <w:tc>
          <w:tcPr>
            <w:tcW w:w="1247" w:type="dxa"/>
          </w:tcPr>
          <w:p w14:paraId="654630F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$89,062</w:t>
            </w:r>
          </w:p>
        </w:tc>
        <w:tc>
          <w:tcPr>
            <w:tcW w:w="907" w:type="dxa"/>
          </w:tcPr>
          <w:p w14:paraId="50D08C4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6BA1795F"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2CBA1099"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$13,716</w:t>
            </w:r>
          </w:p>
        </w:tc>
        <w:tc>
          <w:tcPr>
            <w:tcW w:w="1020" w:type="dxa"/>
          </w:tcPr>
          <w:p w14:paraId="791B846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2FB2BCC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77001C7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5A4FFD3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$102,778</w:t>
            </w:r>
          </w:p>
        </w:tc>
      </w:tr>
      <w:tr w:rsidR="001118A4" w:rsidRPr="001118A4" w14:paraId="5FFD0917" w14:textId="77777777" w:rsidTr="00485F2E">
        <w:trPr>
          <w:cnfStyle w:val="000000010000" w:firstRow="0" w:lastRow="0" w:firstColumn="0" w:lastColumn="0" w:oddVBand="0" w:evenVBand="0" w:oddHBand="0" w:evenHBand="1" w:firstRowFirstColumn="0" w:firstRowLastColumn="0" w:lastRowFirstColumn="0" w:lastRowLastColumn="0"/>
        </w:trPr>
        <w:tc>
          <w:tcPr>
            <w:tcW w:w="2381" w:type="dxa"/>
          </w:tcPr>
          <w:p w14:paraId="4111D17F"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Ms Maryanne Diamond AO</w:t>
            </w:r>
            <w:r w:rsidRPr="001118A4">
              <w:rPr>
                <w:rFonts w:eastAsia="MS Mincho" w:cs="Arial"/>
                <w:szCs w:val="22"/>
                <w:vertAlign w:val="superscript"/>
              </w:rPr>
              <w:t>1</w:t>
            </w:r>
          </w:p>
        </w:tc>
        <w:tc>
          <w:tcPr>
            <w:tcW w:w="3118" w:type="dxa"/>
          </w:tcPr>
          <w:p w14:paraId="639EBE57"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Board Member</w:t>
            </w:r>
          </w:p>
        </w:tc>
        <w:tc>
          <w:tcPr>
            <w:tcW w:w="1247" w:type="dxa"/>
          </w:tcPr>
          <w:p w14:paraId="5BF8FB3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$92,328</w:t>
            </w:r>
          </w:p>
        </w:tc>
        <w:tc>
          <w:tcPr>
            <w:tcW w:w="907" w:type="dxa"/>
          </w:tcPr>
          <w:p w14:paraId="79C9CD6F"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4DDB097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67071B0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$14,219</w:t>
            </w:r>
          </w:p>
        </w:tc>
        <w:tc>
          <w:tcPr>
            <w:tcW w:w="1020" w:type="dxa"/>
          </w:tcPr>
          <w:p w14:paraId="16A4E4F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4EF0902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7DD6F96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3B2A4746"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$106,547</w:t>
            </w:r>
          </w:p>
        </w:tc>
      </w:tr>
      <w:tr w:rsidR="001118A4" w:rsidRPr="001118A4" w14:paraId="49155405"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0952AE32"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Dr Richard Fejo</w:t>
            </w:r>
          </w:p>
        </w:tc>
        <w:tc>
          <w:tcPr>
            <w:tcW w:w="3118" w:type="dxa"/>
          </w:tcPr>
          <w:p w14:paraId="43F16AC9"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Board Member</w:t>
            </w:r>
          </w:p>
        </w:tc>
        <w:tc>
          <w:tcPr>
            <w:tcW w:w="1247" w:type="dxa"/>
          </w:tcPr>
          <w:p w14:paraId="1F9A8AD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$83,598</w:t>
            </w:r>
          </w:p>
        </w:tc>
        <w:tc>
          <w:tcPr>
            <w:tcW w:w="907" w:type="dxa"/>
          </w:tcPr>
          <w:p w14:paraId="06CC600D"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698D8A5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76003D1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$12,874</w:t>
            </w:r>
          </w:p>
        </w:tc>
        <w:tc>
          <w:tcPr>
            <w:tcW w:w="1020" w:type="dxa"/>
          </w:tcPr>
          <w:p w14:paraId="023451E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2C36EDC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524BA8A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3B911D14"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$96,472</w:t>
            </w:r>
          </w:p>
        </w:tc>
      </w:tr>
      <w:tr w:rsidR="001118A4" w:rsidRPr="001118A4" w14:paraId="15CD5A5A" w14:textId="77777777" w:rsidTr="00485F2E">
        <w:trPr>
          <w:cnfStyle w:val="000000010000" w:firstRow="0" w:lastRow="0" w:firstColumn="0" w:lastColumn="0" w:oddVBand="0" w:evenVBand="0" w:oddHBand="0" w:evenHBand="1" w:firstRowFirstColumn="0" w:firstRowLastColumn="0" w:lastRowFirstColumn="0" w:lastRowLastColumn="0"/>
        </w:trPr>
        <w:tc>
          <w:tcPr>
            <w:tcW w:w="2381" w:type="dxa"/>
          </w:tcPr>
          <w:p w14:paraId="52450FCB"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Dr Rhonda Galbally AC</w:t>
            </w:r>
          </w:p>
        </w:tc>
        <w:tc>
          <w:tcPr>
            <w:tcW w:w="3118" w:type="dxa"/>
          </w:tcPr>
          <w:p w14:paraId="3E7BBFA1"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Board Member</w:t>
            </w:r>
          </w:p>
        </w:tc>
        <w:tc>
          <w:tcPr>
            <w:tcW w:w="1247" w:type="dxa"/>
          </w:tcPr>
          <w:p w14:paraId="2C73580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$79,798</w:t>
            </w:r>
          </w:p>
        </w:tc>
        <w:tc>
          <w:tcPr>
            <w:tcW w:w="907" w:type="dxa"/>
          </w:tcPr>
          <w:p w14:paraId="60041A5E"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1874799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47696FD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$12,289</w:t>
            </w:r>
          </w:p>
        </w:tc>
        <w:tc>
          <w:tcPr>
            <w:tcW w:w="1020" w:type="dxa"/>
          </w:tcPr>
          <w:p w14:paraId="32F49114"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6B6E7D69"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08CE1A7C"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65DACBE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$92,087</w:t>
            </w:r>
          </w:p>
        </w:tc>
      </w:tr>
      <w:tr w:rsidR="001118A4" w:rsidRPr="001118A4" w14:paraId="3AACA483"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020FE4B9"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Dr Graeme Innes AM</w:t>
            </w:r>
          </w:p>
        </w:tc>
        <w:tc>
          <w:tcPr>
            <w:tcW w:w="3118" w:type="dxa"/>
          </w:tcPr>
          <w:p w14:paraId="36C63F43"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Board Member</w:t>
            </w:r>
          </w:p>
        </w:tc>
        <w:tc>
          <w:tcPr>
            <w:tcW w:w="1247" w:type="dxa"/>
          </w:tcPr>
          <w:p w14:paraId="6E75ADB4"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$98,281</w:t>
            </w:r>
          </w:p>
        </w:tc>
        <w:tc>
          <w:tcPr>
            <w:tcW w:w="907" w:type="dxa"/>
          </w:tcPr>
          <w:p w14:paraId="3395C45C"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139ABB8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321966DD"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$15,135</w:t>
            </w:r>
          </w:p>
        </w:tc>
        <w:tc>
          <w:tcPr>
            <w:tcW w:w="1020" w:type="dxa"/>
          </w:tcPr>
          <w:p w14:paraId="138BFBF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7C4CDCE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2BC2BADF"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6887BEB9"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$113,416</w:t>
            </w:r>
          </w:p>
        </w:tc>
      </w:tr>
      <w:tr w:rsidR="001118A4" w:rsidRPr="001118A4" w14:paraId="7819EC4F" w14:textId="77777777" w:rsidTr="00485F2E">
        <w:trPr>
          <w:cnfStyle w:val="000000010000" w:firstRow="0" w:lastRow="0" w:firstColumn="0" w:lastColumn="0" w:oddVBand="0" w:evenVBand="0" w:oddHBand="0" w:evenHBand="1" w:firstRowFirstColumn="0" w:firstRowLastColumn="0" w:lastRowFirstColumn="0" w:lastRowLastColumn="0"/>
        </w:trPr>
        <w:tc>
          <w:tcPr>
            <w:tcW w:w="2381" w:type="dxa"/>
          </w:tcPr>
          <w:p w14:paraId="0C2FFF3F"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Mrs Joan McKenna Kerr AM</w:t>
            </w:r>
            <w:r w:rsidRPr="001118A4">
              <w:rPr>
                <w:rFonts w:eastAsia="MS Mincho" w:cs="Arial"/>
                <w:szCs w:val="22"/>
                <w:vertAlign w:val="superscript"/>
              </w:rPr>
              <w:t>1</w:t>
            </w:r>
          </w:p>
        </w:tc>
        <w:tc>
          <w:tcPr>
            <w:tcW w:w="3118" w:type="dxa"/>
          </w:tcPr>
          <w:p w14:paraId="285FDC92"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Board Member</w:t>
            </w:r>
          </w:p>
        </w:tc>
        <w:tc>
          <w:tcPr>
            <w:tcW w:w="1247" w:type="dxa"/>
          </w:tcPr>
          <w:p w14:paraId="009D87DD"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$76,742</w:t>
            </w:r>
          </w:p>
        </w:tc>
        <w:tc>
          <w:tcPr>
            <w:tcW w:w="907" w:type="dxa"/>
          </w:tcPr>
          <w:p w14:paraId="3671CCF4"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46D071CD"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45AA9D8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$11,818</w:t>
            </w:r>
          </w:p>
        </w:tc>
        <w:tc>
          <w:tcPr>
            <w:tcW w:w="1020" w:type="dxa"/>
          </w:tcPr>
          <w:p w14:paraId="3D6994D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167FC55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3EC1534C"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19A55E2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$88,560</w:t>
            </w:r>
          </w:p>
        </w:tc>
      </w:tr>
      <w:tr w:rsidR="001118A4" w:rsidRPr="001118A4" w14:paraId="458554A5"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158B935B"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Dr Denis Napthine AO</w:t>
            </w:r>
            <w:r w:rsidRPr="001118A4">
              <w:rPr>
                <w:rFonts w:eastAsia="MS Mincho" w:cs="Arial"/>
                <w:szCs w:val="22"/>
                <w:vertAlign w:val="superscript"/>
              </w:rPr>
              <w:t>1</w:t>
            </w:r>
          </w:p>
        </w:tc>
        <w:tc>
          <w:tcPr>
            <w:tcW w:w="3118" w:type="dxa"/>
          </w:tcPr>
          <w:p w14:paraId="26A0B8E4"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Board Member</w:t>
            </w:r>
          </w:p>
        </w:tc>
        <w:tc>
          <w:tcPr>
            <w:tcW w:w="1247" w:type="dxa"/>
          </w:tcPr>
          <w:p w14:paraId="7EE1CA7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$61,048</w:t>
            </w:r>
          </w:p>
        </w:tc>
        <w:tc>
          <w:tcPr>
            <w:tcW w:w="907" w:type="dxa"/>
          </w:tcPr>
          <w:p w14:paraId="3720DD3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02D38AC9"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087FE18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$9,402</w:t>
            </w:r>
          </w:p>
        </w:tc>
        <w:tc>
          <w:tcPr>
            <w:tcW w:w="1020" w:type="dxa"/>
          </w:tcPr>
          <w:p w14:paraId="2CFC3E8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63F7B83E"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3164131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673DB63E"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$70,450</w:t>
            </w:r>
          </w:p>
        </w:tc>
      </w:tr>
      <w:tr w:rsidR="001118A4" w:rsidRPr="001118A4" w14:paraId="4B1C46E6" w14:textId="77777777" w:rsidTr="00485F2E">
        <w:trPr>
          <w:cnfStyle w:val="000000010000" w:firstRow="0" w:lastRow="0" w:firstColumn="0" w:lastColumn="0" w:oddVBand="0" w:evenVBand="0" w:oddHBand="0" w:evenHBand="1" w:firstRowFirstColumn="0" w:firstRowLastColumn="0" w:lastRowFirstColumn="0" w:lastRowLastColumn="0"/>
        </w:trPr>
        <w:tc>
          <w:tcPr>
            <w:tcW w:w="2381" w:type="dxa"/>
          </w:tcPr>
          <w:p w14:paraId="270D1BE7"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Ms Estelle Pearson</w:t>
            </w:r>
          </w:p>
        </w:tc>
        <w:tc>
          <w:tcPr>
            <w:tcW w:w="3118" w:type="dxa"/>
          </w:tcPr>
          <w:p w14:paraId="3CF43E37"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Board Member</w:t>
            </w:r>
          </w:p>
        </w:tc>
        <w:tc>
          <w:tcPr>
            <w:tcW w:w="1247" w:type="dxa"/>
          </w:tcPr>
          <w:p w14:paraId="0103A0E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$93,656</w:t>
            </w:r>
          </w:p>
        </w:tc>
        <w:tc>
          <w:tcPr>
            <w:tcW w:w="907" w:type="dxa"/>
          </w:tcPr>
          <w:p w14:paraId="03402DA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50247646"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21DA4484"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$14,423</w:t>
            </w:r>
          </w:p>
        </w:tc>
        <w:tc>
          <w:tcPr>
            <w:tcW w:w="1020" w:type="dxa"/>
          </w:tcPr>
          <w:p w14:paraId="4D834874"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407F757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74C927B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6405BC7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$108,079</w:t>
            </w:r>
          </w:p>
        </w:tc>
      </w:tr>
      <w:tr w:rsidR="001118A4" w:rsidRPr="001118A4" w14:paraId="76D4CE76"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16D8B056"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Mr Nigel Ray PSM</w:t>
            </w:r>
            <w:r w:rsidRPr="001118A4">
              <w:rPr>
                <w:rFonts w:eastAsia="MS Mincho" w:cs="Arial"/>
                <w:szCs w:val="22"/>
                <w:vertAlign w:val="superscript"/>
              </w:rPr>
              <w:t>2</w:t>
            </w:r>
          </w:p>
        </w:tc>
        <w:tc>
          <w:tcPr>
            <w:tcW w:w="3118" w:type="dxa"/>
          </w:tcPr>
          <w:p w14:paraId="11F1915C"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Board Member</w:t>
            </w:r>
          </w:p>
        </w:tc>
        <w:tc>
          <w:tcPr>
            <w:tcW w:w="1247" w:type="dxa"/>
          </w:tcPr>
          <w:p w14:paraId="7B624026"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$3,056</w:t>
            </w:r>
          </w:p>
        </w:tc>
        <w:tc>
          <w:tcPr>
            <w:tcW w:w="907" w:type="dxa"/>
          </w:tcPr>
          <w:p w14:paraId="0343E7D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5F211A0F"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13F1A93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$471</w:t>
            </w:r>
          </w:p>
        </w:tc>
        <w:tc>
          <w:tcPr>
            <w:tcW w:w="1020" w:type="dxa"/>
          </w:tcPr>
          <w:p w14:paraId="38F46AF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13B80EA6"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1716C16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5F05A69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$3,527</w:t>
            </w:r>
          </w:p>
        </w:tc>
      </w:tr>
      <w:tr w:rsidR="001118A4" w:rsidRPr="001118A4" w14:paraId="2320D6E0" w14:textId="77777777" w:rsidTr="00485F2E">
        <w:trPr>
          <w:cnfStyle w:val="000000010000" w:firstRow="0" w:lastRow="0" w:firstColumn="0" w:lastColumn="0" w:oddVBand="0" w:evenVBand="0" w:oddHBand="0" w:evenHBand="1" w:firstRowFirstColumn="0" w:firstRowLastColumn="0" w:lastRowFirstColumn="0" w:lastRowLastColumn="0"/>
        </w:trPr>
        <w:tc>
          <w:tcPr>
            <w:tcW w:w="2381" w:type="dxa"/>
          </w:tcPr>
          <w:p w14:paraId="5D017C60"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Ms Jane Spring AM</w:t>
            </w:r>
            <w:r w:rsidRPr="001118A4">
              <w:rPr>
                <w:rFonts w:eastAsia="MS Mincho" w:cs="Arial"/>
                <w:szCs w:val="22"/>
                <w:vertAlign w:val="superscript"/>
              </w:rPr>
              <w:t>2</w:t>
            </w:r>
          </w:p>
        </w:tc>
        <w:tc>
          <w:tcPr>
            <w:tcW w:w="3118" w:type="dxa"/>
          </w:tcPr>
          <w:p w14:paraId="1D0D644A"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Board Member</w:t>
            </w:r>
          </w:p>
        </w:tc>
        <w:tc>
          <w:tcPr>
            <w:tcW w:w="1247" w:type="dxa"/>
          </w:tcPr>
          <w:p w14:paraId="25CD369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$3,056</w:t>
            </w:r>
          </w:p>
        </w:tc>
        <w:tc>
          <w:tcPr>
            <w:tcW w:w="907" w:type="dxa"/>
          </w:tcPr>
          <w:p w14:paraId="4CB2F75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08C6E9CC"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5203E4E4"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$471</w:t>
            </w:r>
          </w:p>
        </w:tc>
        <w:tc>
          <w:tcPr>
            <w:tcW w:w="1020" w:type="dxa"/>
          </w:tcPr>
          <w:p w14:paraId="7A70D7FD"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561B0AF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6680313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5EEC1CFC"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$3,527</w:t>
            </w:r>
          </w:p>
        </w:tc>
      </w:tr>
      <w:tr w:rsidR="001118A4" w:rsidRPr="001118A4" w14:paraId="3A3444C5"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3DE0155C"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Ms Leah van Poppel</w:t>
            </w:r>
          </w:p>
        </w:tc>
        <w:tc>
          <w:tcPr>
            <w:tcW w:w="3118" w:type="dxa"/>
          </w:tcPr>
          <w:p w14:paraId="58A036EC"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Board Member</w:t>
            </w:r>
          </w:p>
        </w:tc>
        <w:tc>
          <w:tcPr>
            <w:tcW w:w="1247" w:type="dxa"/>
          </w:tcPr>
          <w:p w14:paraId="1567E709"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$218,563</w:t>
            </w:r>
          </w:p>
        </w:tc>
        <w:tc>
          <w:tcPr>
            <w:tcW w:w="907" w:type="dxa"/>
          </w:tcPr>
          <w:p w14:paraId="4E16FBF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62CC24D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4CAD3EB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$33,373</w:t>
            </w:r>
          </w:p>
        </w:tc>
        <w:tc>
          <w:tcPr>
            <w:tcW w:w="1020" w:type="dxa"/>
          </w:tcPr>
          <w:p w14:paraId="2D4BD5B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5151874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3FC0379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4C21728C"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$251,936</w:t>
            </w:r>
          </w:p>
        </w:tc>
      </w:tr>
      <w:tr w:rsidR="001118A4" w:rsidRPr="001118A4" w14:paraId="4467C034" w14:textId="77777777" w:rsidTr="00485F2E">
        <w:trPr>
          <w:cnfStyle w:val="000000010000" w:firstRow="0" w:lastRow="0" w:firstColumn="0" w:lastColumn="0" w:oddVBand="0" w:evenVBand="0" w:oddHBand="0" w:evenHBand="1" w:firstRowFirstColumn="0" w:firstRowLastColumn="0" w:lastRowFirstColumn="0" w:lastRowLastColumn="0"/>
        </w:trPr>
        <w:tc>
          <w:tcPr>
            <w:tcW w:w="2381" w:type="dxa"/>
          </w:tcPr>
          <w:p w14:paraId="023F003A"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Dr Ian Watt AC</w:t>
            </w:r>
          </w:p>
        </w:tc>
        <w:tc>
          <w:tcPr>
            <w:tcW w:w="3118" w:type="dxa"/>
          </w:tcPr>
          <w:p w14:paraId="45F86F8F"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Board Member</w:t>
            </w:r>
          </w:p>
        </w:tc>
        <w:tc>
          <w:tcPr>
            <w:tcW w:w="1247" w:type="dxa"/>
          </w:tcPr>
          <w:p w14:paraId="66DCAD8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$89,062</w:t>
            </w:r>
          </w:p>
        </w:tc>
        <w:tc>
          <w:tcPr>
            <w:tcW w:w="907" w:type="dxa"/>
          </w:tcPr>
          <w:p w14:paraId="3AF9BFB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1A3D187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34DF60AC"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$13,716</w:t>
            </w:r>
          </w:p>
        </w:tc>
        <w:tc>
          <w:tcPr>
            <w:tcW w:w="1020" w:type="dxa"/>
          </w:tcPr>
          <w:p w14:paraId="788C741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3F4F36E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5CFA28F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0401640C"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$102,778</w:t>
            </w:r>
          </w:p>
        </w:tc>
      </w:tr>
      <w:tr w:rsidR="001118A4" w:rsidRPr="001118A4" w14:paraId="1E013A29"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5B456C4C"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Ms Rebecca Falkingham PSM</w:t>
            </w:r>
            <w:r w:rsidRPr="001118A4">
              <w:rPr>
                <w:rFonts w:eastAsia="MS Mincho" w:cs="Arial"/>
                <w:szCs w:val="22"/>
                <w:vertAlign w:val="superscript"/>
              </w:rPr>
              <w:t>3</w:t>
            </w:r>
          </w:p>
        </w:tc>
        <w:tc>
          <w:tcPr>
            <w:tcW w:w="3118" w:type="dxa"/>
          </w:tcPr>
          <w:p w14:paraId="11587E8C"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NDIA CEO</w:t>
            </w:r>
          </w:p>
        </w:tc>
        <w:tc>
          <w:tcPr>
            <w:tcW w:w="1247" w:type="dxa"/>
          </w:tcPr>
          <w:p w14:paraId="0AFB79A9"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$245,937</w:t>
            </w:r>
          </w:p>
        </w:tc>
        <w:tc>
          <w:tcPr>
            <w:tcW w:w="907" w:type="dxa"/>
          </w:tcPr>
          <w:p w14:paraId="6C76EFB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29D7C0A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$859</w:t>
            </w:r>
          </w:p>
        </w:tc>
        <w:tc>
          <w:tcPr>
            <w:tcW w:w="1361" w:type="dxa"/>
          </w:tcPr>
          <w:p w14:paraId="5505EFAD"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$9,000</w:t>
            </w:r>
          </w:p>
        </w:tc>
        <w:tc>
          <w:tcPr>
            <w:tcW w:w="1020" w:type="dxa"/>
          </w:tcPr>
          <w:p w14:paraId="5FC89E1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$5,869</w:t>
            </w:r>
          </w:p>
        </w:tc>
        <w:tc>
          <w:tcPr>
            <w:tcW w:w="907" w:type="dxa"/>
          </w:tcPr>
          <w:p w14:paraId="2E665EF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28568F9D"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1BD0380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$261,665</w:t>
            </w:r>
          </w:p>
        </w:tc>
      </w:tr>
      <w:tr w:rsidR="001118A4" w:rsidRPr="001118A4" w14:paraId="34F0FBB8" w14:textId="77777777" w:rsidTr="00485F2E">
        <w:trPr>
          <w:cnfStyle w:val="000000010000" w:firstRow="0" w:lastRow="0" w:firstColumn="0" w:lastColumn="0" w:oddVBand="0" w:evenVBand="0" w:oddHBand="0" w:evenHBand="1" w:firstRowFirstColumn="0" w:firstRowLastColumn="0" w:lastRowFirstColumn="0" w:lastRowLastColumn="0"/>
        </w:trPr>
        <w:tc>
          <w:tcPr>
            <w:tcW w:w="2381" w:type="dxa"/>
          </w:tcPr>
          <w:p w14:paraId="3020E86C" w14:textId="416FDC1A" w:rsidR="001118A4" w:rsidRPr="001118A4" w:rsidRDefault="001118A4" w:rsidP="00CA79F5">
            <w:pPr>
              <w:spacing w:before="100" w:after="100" w:line="288" w:lineRule="auto"/>
              <w:rPr>
                <w:rFonts w:eastAsia="MS Mincho" w:cs="Arial"/>
                <w:szCs w:val="22"/>
              </w:rPr>
            </w:pPr>
            <w:r w:rsidRPr="001118A4">
              <w:rPr>
                <w:rFonts w:eastAsia="MS Mincho" w:cs="Arial"/>
                <w:szCs w:val="22"/>
              </w:rPr>
              <w:t>Mr Graeme Head</w:t>
            </w:r>
            <w:r w:rsidR="002D4366">
              <w:rPr>
                <w:rFonts w:eastAsia="MS Mincho" w:cs="Arial"/>
                <w:szCs w:val="22"/>
              </w:rPr>
              <w:t xml:space="preserve"> AO</w:t>
            </w:r>
            <w:r w:rsidRPr="001118A4">
              <w:rPr>
                <w:rFonts w:eastAsia="MS Mincho" w:cs="Arial"/>
                <w:szCs w:val="22"/>
                <w:vertAlign w:val="superscript"/>
              </w:rPr>
              <w:t>4</w:t>
            </w:r>
          </w:p>
        </w:tc>
        <w:tc>
          <w:tcPr>
            <w:tcW w:w="3118" w:type="dxa"/>
          </w:tcPr>
          <w:p w14:paraId="7981538B"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NDIA CEO</w:t>
            </w:r>
          </w:p>
        </w:tc>
        <w:tc>
          <w:tcPr>
            <w:tcW w:w="1247" w:type="dxa"/>
          </w:tcPr>
          <w:p w14:paraId="716EF34E"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$447,002</w:t>
            </w:r>
          </w:p>
        </w:tc>
        <w:tc>
          <w:tcPr>
            <w:tcW w:w="907" w:type="dxa"/>
          </w:tcPr>
          <w:p w14:paraId="4878E24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608CDF9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176B312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$25,066</w:t>
            </w:r>
          </w:p>
        </w:tc>
        <w:tc>
          <w:tcPr>
            <w:tcW w:w="1020" w:type="dxa"/>
          </w:tcPr>
          <w:p w14:paraId="0649519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$10,668</w:t>
            </w:r>
          </w:p>
        </w:tc>
        <w:tc>
          <w:tcPr>
            <w:tcW w:w="907" w:type="dxa"/>
          </w:tcPr>
          <w:p w14:paraId="45CC4FC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4A1D15B4"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58D66BC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$482,736</w:t>
            </w:r>
          </w:p>
        </w:tc>
      </w:tr>
      <w:tr w:rsidR="001118A4" w:rsidRPr="001118A4" w14:paraId="7418DC03"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1BF5A08E" w14:textId="02FB688F" w:rsidR="001118A4" w:rsidRPr="00A3112E" w:rsidRDefault="001118A4" w:rsidP="00CA79F5">
            <w:pPr>
              <w:spacing w:before="100" w:after="100" w:line="288" w:lineRule="auto"/>
              <w:rPr>
                <w:rFonts w:eastAsia="MS Mincho" w:cs="Arial"/>
              </w:rPr>
            </w:pPr>
            <w:r w:rsidRPr="00A3112E">
              <w:rPr>
                <w:rFonts w:eastAsia="MS Mincho" w:cs="Arial"/>
              </w:rPr>
              <w:t>Mr John Dardaneliotis</w:t>
            </w:r>
            <w:r w:rsidR="004412F1" w:rsidRPr="00A3112E">
              <w:rPr>
                <w:rFonts w:eastAsia="MS Mincho" w:cs="Arial"/>
              </w:rPr>
              <w:t xml:space="preserve"> (Dardo)</w:t>
            </w:r>
          </w:p>
        </w:tc>
        <w:tc>
          <w:tcPr>
            <w:tcW w:w="3118" w:type="dxa"/>
          </w:tcPr>
          <w:p w14:paraId="391D31D7"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Deputy CEO Integrity Transformation and Technology Services</w:t>
            </w:r>
          </w:p>
        </w:tc>
        <w:tc>
          <w:tcPr>
            <w:tcW w:w="1247" w:type="dxa"/>
          </w:tcPr>
          <w:p w14:paraId="300DDF2C"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$474,083</w:t>
            </w:r>
          </w:p>
        </w:tc>
        <w:tc>
          <w:tcPr>
            <w:tcW w:w="907" w:type="dxa"/>
          </w:tcPr>
          <w:p w14:paraId="1F375B3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29B2808E"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3FFA96EF"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$83,449</w:t>
            </w:r>
          </w:p>
        </w:tc>
        <w:tc>
          <w:tcPr>
            <w:tcW w:w="1020" w:type="dxa"/>
          </w:tcPr>
          <w:p w14:paraId="0B7D366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$11,735</w:t>
            </w:r>
          </w:p>
        </w:tc>
        <w:tc>
          <w:tcPr>
            <w:tcW w:w="907" w:type="dxa"/>
          </w:tcPr>
          <w:p w14:paraId="5D9BDBC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3F4AAE5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2F0F2C0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$569,267</w:t>
            </w:r>
          </w:p>
        </w:tc>
      </w:tr>
      <w:tr w:rsidR="001118A4" w:rsidRPr="001118A4" w14:paraId="6C8623D1" w14:textId="77777777" w:rsidTr="00485F2E">
        <w:trPr>
          <w:cnfStyle w:val="000000010000" w:firstRow="0" w:lastRow="0" w:firstColumn="0" w:lastColumn="0" w:oddVBand="0" w:evenVBand="0" w:oddHBand="0" w:evenHBand="1" w:firstRowFirstColumn="0" w:firstRowLastColumn="0" w:lastRowFirstColumn="0" w:lastRowLastColumn="0"/>
        </w:trPr>
        <w:tc>
          <w:tcPr>
            <w:tcW w:w="2381" w:type="dxa"/>
          </w:tcPr>
          <w:p w14:paraId="78BD4643"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Ms Amity Durham</w:t>
            </w:r>
          </w:p>
        </w:tc>
        <w:tc>
          <w:tcPr>
            <w:tcW w:w="3118" w:type="dxa"/>
          </w:tcPr>
          <w:p w14:paraId="103D7D31"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Deputy CEO Participant Experience and Service Design</w:t>
            </w:r>
          </w:p>
        </w:tc>
        <w:tc>
          <w:tcPr>
            <w:tcW w:w="1247" w:type="dxa"/>
          </w:tcPr>
          <w:p w14:paraId="21F8763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$455,230</w:t>
            </w:r>
          </w:p>
        </w:tc>
        <w:tc>
          <w:tcPr>
            <w:tcW w:w="907" w:type="dxa"/>
          </w:tcPr>
          <w:p w14:paraId="53DC561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46E004C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1B241E4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$54,076</w:t>
            </w:r>
          </w:p>
        </w:tc>
        <w:tc>
          <w:tcPr>
            <w:tcW w:w="1020" w:type="dxa"/>
          </w:tcPr>
          <w:p w14:paraId="53A9AD4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$11,576</w:t>
            </w:r>
          </w:p>
        </w:tc>
        <w:tc>
          <w:tcPr>
            <w:tcW w:w="907" w:type="dxa"/>
          </w:tcPr>
          <w:p w14:paraId="2F688A4E"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588E973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714B303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$520,882</w:t>
            </w:r>
          </w:p>
        </w:tc>
      </w:tr>
      <w:tr w:rsidR="001118A4" w:rsidRPr="001118A4" w14:paraId="04131CBE"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711907C7"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Mr David Gifford</w:t>
            </w:r>
          </w:p>
        </w:tc>
        <w:tc>
          <w:tcPr>
            <w:tcW w:w="3118" w:type="dxa"/>
          </w:tcPr>
          <w:p w14:paraId="684C4B10"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GM Actuarial/Scheme Actuary</w:t>
            </w:r>
          </w:p>
        </w:tc>
        <w:tc>
          <w:tcPr>
            <w:tcW w:w="1247" w:type="dxa"/>
          </w:tcPr>
          <w:p w14:paraId="51E882B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$389,328</w:t>
            </w:r>
          </w:p>
        </w:tc>
        <w:tc>
          <w:tcPr>
            <w:tcW w:w="907" w:type="dxa"/>
          </w:tcPr>
          <w:p w14:paraId="5FEAD75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4F549F1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$50,032</w:t>
            </w:r>
          </w:p>
        </w:tc>
        <w:tc>
          <w:tcPr>
            <w:tcW w:w="1361" w:type="dxa"/>
          </w:tcPr>
          <w:p w14:paraId="7C6817CF"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$53,040</w:t>
            </w:r>
          </w:p>
        </w:tc>
        <w:tc>
          <w:tcPr>
            <w:tcW w:w="1020" w:type="dxa"/>
          </w:tcPr>
          <w:p w14:paraId="406653F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$10,106</w:t>
            </w:r>
          </w:p>
        </w:tc>
        <w:tc>
          <w:tcPr>
            <w:tcW w:w="907" w:type="dxa"/>
          </w:tcPr>
          <w:p w14:paraId="30AFF6A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69957EC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272CFDD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$502,506</w:t>
            </w:r>
          </w:p>
        </w:tc>
      </w:tr>
      <w:tr w:rsidR="001118A4" w:rsidRPr="001118A4" w14:paraId="553768C9" w14:textId="77777777" w:rsidTr="00485F2E">
        <w:trPr>
          <w:cnfStyle w:val="000000010000" w:firstRow="0" w:lastRow="0" w:firstColumn="0" w:lastColumn="0" w:oddVBand="0" w:evenVBand="0" w:oddHBand="0" w:evenHBand="1" w:firstRowFirstColumn="0" w:firstRowLastColumn="0" w:lastRowFirstColumn="0" w:lastRowLastColumn="0"/>
        </w:trPr>
        <w:tc>
          <w:tcPr>
            <w:tcW w:w="2381" w:type="dxa"/>
          </w:tcPr>
          <w:p w14:paraId="6C424D42"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Ms Penelope McKay</w:t>
            </w:r>
            <w:r w:rsidRPr="001118A4">
              <w:rPr>
                <w:rFonts w:eastAsia="MS Mincho" w:cs="Arial"/>
                <w:szCs w:val="22"/>
                <w:vertAlign w:val="superscript"/>
              </w:rPr>
              <w:t>5</w:t>
            </w:r>
          </w:p>
        </w:tc>
        <w:tc>
          <w:tcPr>
            <w:tcW w:w="3118" w:type="dxa"/>
          </w:tcPr>
          <w:p w14:paraId="469ACB92"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Deputy CEO Partners and Providers</w:t>
            </w:r>
          </w:p>
        </w:tc>
        <w:tc>
          <w:tcPr>
            <w:tcW w:w="1247" w:type="dxa"/>
          </w:tcPr>
          <w:p w14:paraId="3B807DC6"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$458,839</w:t>
            </w:r>
          </w:p>
        </w:tc>
        <w:tc>
          <w:tcPr>
            <w:tcW w:w="907" w:type="dxa"/>
          </w:tcPr>
          <w:p w14:paraId="4B65F7AF"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21DBDDD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0ADAAF8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$85,142</w:t>
            </w:r>
          </w:p>
        </w:tc>
        <w:tc>
          <w:tcPr>
            <w:tcW w:w="1020" w:type="dxa"/>
          </w:tcPr>
          <w:p w14:paraId="028D159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$11,877</w:t>
            </w:r>
          </w:p>
        </w:tc>
        <w:tc>
          <w:tcPr>
            <w:tcW w:w="907" w:type="dxa"/>
          </w:tcPr>
          <w:p w14:paraId="79819D7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7C81C74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19C5D2DF"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$555,858</w:t>
            </w:r>
          </w:p>
        </w:tc>
      </w:tr>
      <w:tr w:rsidR="001118A4" w:rsidRPr="001118A4" w14:paraId="5F16A9C2"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49BBD490"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Mr Scott McNaughton</w:t>
            </w:r>
            <w:r w:rsidRPr="001118A4">
              <w:rPr>
                <w:rFonts w:eastAsia="MS Mincho" w:cs="Arial"/>
                <w:szCs w:val="22"/>
                <w:vertAlign w:val="superscript"/>
              </w:rPr>
              <w:t>6</w:t>
            </w:r>
          </w:p>
        </w:tc>
        <w:tc>
          <w:tcPr>
            <w:tcW w:w="3118" w:type="dxa"/>
          </w:tcPr>
          <w:p w14:paraId="45D68795"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Deputy CEO Service Delivery</w:t>
            </w:r>
          </w:p>
        </w:tc>
        <w:tc>
          <w:tcPr>
            <w:tcW w:w="1247" w:type="dxa"/>
          </w:tcPr>
          <w:p w14:paraId="521C2ED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$517,514</w:t>
            </w:r>
          </w:p>
        </w:tc>
        <w:tc>
          <w:tcPr>
            <w:tcW w:w="907" w:type="dxa"/>
          </w:tcPr>
          <w:p w14:paraId="1E3E453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55F2885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5465CD1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$82,149</w:t>
            </w:r>
          </w:p>
        </w:tc>
        <w:tc>
          <w:tcPr>
            <w:tcW w:w="1020" w:type="dxa"/>
          </w:tcPr>
          <w:p w14:paraId="6079065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$13,418</w:t>
            </w:r>
          </w:p>
        </w:tc>
        <w:tc>
          <w:tcPr>
            <w:tcW w:w="907" w:type="dxa"/>
          </w:tcPr>
          <w:p w14:paraId="1DF58A3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6FC4C39C"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6A91312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$613,081</w:t>
            </w:r>
          </w:p>
        </w:tc>
      </w:tr>
      <w:tr w:rsidR="001118A4" w:rsidRPr="001118A4" w14:paraId="388BAFB2" w14:textId="77777777" w:rsidTr="00485F2E">
        <w:trPr>
          <w:cnfStyle w:val="000000010000" w:firstRow="0" w:lastRow="0" w:firstColumn="0" w:lastColumn="0" w:oddVBand="0" w:evenVBand="0" w:oddHBand="0" w:evenHBand="1" w:firstRowFirstColumn="0" w:firstRowLastColumn="0" w:lastRowFirstColumn="0" w:lastRowLastColumn="0"/>
        </w:trPr>
        <w:tc>
          <w:tcPr>
            <w:tcW w:w="2381" w:type="dxa"/>
          </w:tcPr>
          <w:p w14:paraId="037B7177"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Ms Janine Mohamed</w:t>
            </w:r>
          </w:p>
        </w:tc>
        <w:tc>
          <w:tcPr>
            <w:tcW w:w="3118" w:type="dxa"/>
          </w:tcPr>
          <w:p w14:paraId="31BC8A9E"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Deputy CEO First Nations</w:t>
            </w:r>
          </w:p>
        </w:tc>
        <w:tc>
          <w:tcPr>
            <w:tcW w:w="1247" w:type="dxa"/>
          </w:tcPr>
          <w:p w14:paraId="291EA59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$444,869</w:t>
            </w:r>
          </w:p>
        </w:tc>
        <w:tc>
          <w:tcPr>
            <w:tcW w:w="907" w:type="dxa"/>
          </w:tcPr>
          <w:p w14:paraId="17C2812C"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1BE2322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4FA9D7D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$69,446</w:t>
            </w:r>
          </w:p>
        </w:tc>
        <w:tc>
          <w:tcPr>
            <w:tcW w:w="1020" w:type="dxa"/>
          </w:tcPr>
          <w:p w14:paraId="41CACB6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$11,485</w:t>
            </w:r>
          </w:p>
        </w:tc>
        <w:tc>
          <w:tcPr>
            <w:tcW w:w="907" w:type="dxa"/>
          </w:tcPr>
          <w:p w14:paraId="1BEAA01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130B57A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352DC92E"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$525,800</w:t>
            </w:r>
          </w:p>
        </w:tc>
      </w:tr>
      <w:tr w:rsidR="001118A4" w:rsidRPr="001118A4" w14:paraId="4661F39D"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61E00C2A"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Mr Samuel Porter</w:t>
            </w:r>
            <w:r w:rsidRPr="001118A4">
              <w:rPr>
                <w:rFonts w:eastAsia="MS Mincho" w:cs="Arial"/>
                <w:szCs w:val="22"/>
                <w:vertAlign w:val="superscript"/>
              </w:rPr>
              <w:t>10</w:t>
            </w:r>
          </w:p>
        </w:tc>
        <w:tc>
          <w:tcPr>
            <w:tcW w:w="3118" w:type="dxa"/>
          </w:tcPr>
          <w:p w14:paraId="6B3F928E"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Deputy CEO Enabling Services/Chief Operating Officer</w:t>
            </w:r>
          </w:p>
        </w:tc>
        <w:tc>
          <w:tcPr>
            <w:tcW w:w="1247" w:type="dxa"/>
          </w:tcPr>
          <w:p w14:paraId="00E62FA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$483,682</w:t>
            </w:r>
          </w:p>
        </w:tc>
        <w:tc>
          <w:tcPr>
            <w:tcW w:w="907" w:type="dxa"/>
          </w:tcPr>
          <w:p w14:paraId="19BDBF1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1F59283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3A683D7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$30,200</w:t>
            </w:r>
          </w:p>
        </w:tc>
        <w:tc>
          <w:tcPr>
            <w:tcW w:w="1020" w:type="dxa"/>
          </w:tcPr>
          <w:p w14:paraId="4C0B46B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$12,541</w:t>
            </w:r>
          </w:p>
        </w:tc>
        <w:tc>
          <w:tcPr>
            <w:tcW w:w="907" w:type="dxa"/>
          </w:tcPr>
          <w:p w14:paraId="67A42D39"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2067C8A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4888E264"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$526,423</w:t>
            </w:r>
          </w:p>
        </w:tc>
      </w:tr>
      <w:tr w:rsidR="001118A4" w:rsidRPr="001118A4" w14:paraId="21292729" w14:textId="77777777" w:rsidTr="00485F2E">
        <w:trPr>
          <w:cnfStyle w:val="000000010000" w:firstRow="0" w:lastRow="0" w:firstColumn="0" w:lastColumn="0" w:oddVBand="0" w:evenVBand="0" w:oddHBand="0" w:evenHBand="1" w:firstRowFirstColumn="0" w:firstRowLastColumn="0" w:lastRowFirstColumn="0" w:lastRowLastColumn="0"/>
          <w:cantSplit/>
        </w:trPr>
        <w:tc>
          <w:tcPr>
            <w:tcW w:w="2381" w:type="dxa"/>
          </w:tcPr>
          <w:p w14:paraId="36CBAD58"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Mr Matthew Swainson</w:t>
            </w:r>
            <w:r w:rsidRPr="001118A4">
              <w:rPr>
                <w:rFonts w:eastAsia="MS Mincho" w:cs="Arial"/>
                <w:szCs w:val="22"/>
                <w:vertAlign w:val="superscript"/>
              </w:rPr>
              <w:t>11</w:t>
            </w:r>
          </w:p>
        </w:tc>
        <w:tc>
          <w:tcPr>
            <w:tcW w:w="3118" w:type="dxa"/>
          </w:tcPr>
          <w:p w14:paraId="3EC5E49B"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Deputy CEO Legal, Reviews, Actuarial and Data and thereafter Deputy CEO Enabling Services/Chief Operating Officer</w:t>
            </w:r>
          </w:p>
        </w:tc>
        <w:tc>
          <w:tcPr>
            <w:tcW w:w="1247" w:type="dxa"/>
          </w:tcPr>
          <w:p w14:paraId="48DFEDC4"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$416,108</w:t>
            </w:r>
          </w:p>
        </w:tc>
        <w:tc>
          <w:tcPr>
            <w:tcW w:w="907" w:type="dxa"/>
          </w:tcPr>
          <w:p w14:paraId="51B161C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1D00E68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4697F38D"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$30,202</w:t>
            </w:r>
          </w:p>
        </w:tc>
        <w:tc>
          <w:tcPr>
            <w:tcW w:w="1020" w:type="dxa"/>
          </w:tcPr>
          <w:p w14:paraId="4E67386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$10,939</w:t>
            </w:r>
          </w:p>
        </w:tc>
        <w:tc>
          <w:tcPr>
            <w:tcW w:w="907" w:type="dxa"/>
          </w:tcPr>
          <w:p w14:paraId="68EB622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2921DF8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13899BC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$457,249</w:t>
            </w:r>
          </w:p>
        </w:tc>
      </w:tr>
      <w:tr w:rsidR="001118A4" w:rsidRPr="001118A4" w14:paraId="7ACB0A55"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42D026E3"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Mr Andrew Maitland</w:t>
            </w:r>
            <w:r w:rsidRPr="001118A4">
              <w:rPr>
                <w:rFonts w:eastAsia="MS Mincho" w:cs="Arial"/>
                <w:szCs w:val="22"/>
                <w:vertAlign w:val="superscript"/>
              </w:rPr>
              <w:t>8</w:t>
            </w:r>
          </w:p>
        </w:tc>
        <w:tc>
          <w:tcPr>
            <w:tcW w:w="3118" w:type="dxa"/>
          </w:tcPr>
          <w:p w14:paraId="4670A7E2"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Acting Deputy CEO Service Delivery</w:t>
            </w:r>
          </w:p>
        </w:tc>
        <w:tc>
          <w:tcPr>
            <w:tcW w:w="1247" w:type="dxa"/>
          </w:tcPr>
          <w:p w14:paraId="6AE565A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$207,688</w:t>
            </w:r>
          </w:p>
        </w:tc>
        <w:tc>
          <w:tcPr>
            <w:tcW w:w="907" w:type="dxa"/>
          </w:tcPr>
          <w:p w14:paraId="7D79049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26B10D5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7158796C"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$26,154</w:t>
            </w:r>
          </w:p>
        </w:tc>
        <w:tc>
          <w:tcPr>
            <w:tcW w:w="1020" w:type="dxa"/>
          </w:tcPr>
          <w:p w14:paraId="6A37096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$4,930</w:t>
            </w:r>
          </w:p>
        </w:tc>
        <w:tc>
          <w:tcPr>
            <w:tcW w:w="907" w:type="dxa"/>
          </w:tcPr>
          <w:p w14:paraId="5C6FFD32"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4F514606"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7BF82C5E"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$238,772</w:t>
            </w:r>
          </w:p>
        </w:tc>
      </w:tr>
      <w:tr w:rsidR="001118A4" w:rsidRPr="001118A4" w14:paraId="1878384B" w14:textId="77777777" w:rsidTr="00485F2E">
        <w:trPr>
          <w:cnfStyle w:val="000000010000" w:firstRow="0" w:lastRow="0" w:firstColumn="0" w:lastColumn="0" w:oddVBand="0" w:evenVBand="0" w:oddHBand="0" w:evenHBand="1" w:firstRowFirstColumn="0" w:firstRowLastColumn="0" w:lastRowFirstColumn="0" w:lastRowLastColumn="0"/>
        </w:trPr>
        <w:tc>
          <w:tcPr>
            <w:tcW w:w="2381" w:type="dxa"/>
          </w:tcPr>
          <w:p w14:paraId="5A584634"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Mr Tom McGregor</w:t>
            </w:r>
            <w:r w:rsidRPr="001118A4">
              <w:rPr>
                <w:rFonts w:eastAsia="MS Mincho" w:cs="Arial"/>
                <w:szCs w:val="22"/>
                <w:vertAlign w:val="superscript"/>
              </w:rPr>
              <w:t>7</w:t>
            </w:r>
          </w:p>
        </w:tc>
        <w:tc>
          <w:tcPr>
            <w:tcW w:w="3118" w:type="dxa"/>
          </w:tcPr>
          <w:p w14:paraId="078A2551"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Acting Deputy CEO Legal, Actuarial, Governance and Reviews</w:t>
            </w:r>
          </w:p>
        </w:tc>
        <w:tc>
          <w:tcPr>
            <w:tcW w:w="1247" w:type="dxa"/>
          </w:tcPr>
          <w:p w14:paraId="59C64188"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$28,352</w:t>
            </w:r>
          </w:p>
        </w:tc>
        <w:tc>
          <w:tcPr>
            <w:tcW w:w="907" w:type="dxa"/>
          </w:tcPr>
          <w:p w14:paraId="25CCE596"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4090638A"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7E4779E0"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$2,048</w:t>
            </w:r>
          </w:p>
        </w:tc>
        <w:tc>
          <w:tcPr>
            <w:tcW w:w="1020" w:type="dxa"/>
          </w:tcPr>
          <w:p w14:paraId="171B70ED"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$668</w:t>
            </w:r>
          </w:p>
        </w:tc>
        <w:tc>
          <w:tcPr>
            <w:tcW w:w="907" w:type="dxa"/>
          </w:tcPr>
          <w:p w14:paraId="12C7F2F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1BC0B06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4A3CC5AC"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$31,068</w:t>
            </w:r>
          </w:p>
        </w:tc>
      </w:tr>
      <w:tr w:rsidR="001118A4" w:rsidRPr="001118A4" w14:paraId="5407FAC2" w14:textId="77777777" w:rsidTr="00485F2E">
        <w:trPr>
          <w:cnfStyle w:val="000000100000" w:firstRow="0" w:lastRow="0" w:firstColumn="0" w:lastColumn="0" w:oddVBand="0" w:evenVBand="0" w:oddHBand="1" w:evenHBand="0" w:firstRowFirstColumn="0" w:firstRowLastColumn="0" w:lastRowFirstColumn="0" w:lastRowLastColumn="0"/>
        </w:trPr>
        <w:tc>
          <w:tcPr>
            <w:tcW w:w="2381" w:type="dxa"/>
          </w:tcPr>
          <w:p w14:paraId="571462CC"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Mr Aaron Verlin</w:t>
            </w:r>
            <w:r w:rsidRPr="001118A4">
              <w:rPr>
                <w:rFonts w:eastAsia="MS Mincho" w:cs="Arial"/>
                <w:szCs w:val="22"/>
                <w:vertAlign w:val="superscript"/>
              </w:rPr>
              <w:t>9</w:t>
            </w:r>
          </w:p>
        </w:tc>
        <w:tc>
          <w:tcPr>
            <w:tcW w:w="3118" w:type="dxa"/>
          </w:tcPr>
          <w:p w14:paraId="441F05E0" w14:textId="77777777" w:rsidR="001118A4" w:rsidRPr="001118A4" w:rsidRDefault="001118A4" w:rsidP="00CA79F5">
            <w:pPr>
              <w:spacing w:before="100" w:after="100" w:line="288" w:lineRule="auto"/>
              <w:rPr>
                <w:rFonts w:eastAsia="MS Mincho" w:cs="Arial"/>
                <w:szCs w:val="22"/>
              </w:rPr>
            </w:pPr>
            <w:r w:rsidRPr="001118A4">
              <w:rPr>
                <w:rFonts w:eastAsia="MS Mincho" w:cs="Arial"/>
                <w:szCs w:val="22"/>
              </w:rPr>
              <w:t>Acting Deputy CEO Service Design and Improvement</w:t>
            </w:r>
          </w:p>
        </w:tc>
        <w:tc>
          <w:tcPr>
            <w:tcW w:w="1247" w:type="dxa"/>
          </w:tcPr>
          <w:p w14:paraId="75312D13"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$363,362</w:t>
            </w:r>
          </w:p>
        </w:tc>
        <w:tc>
          <w:tcPr>
            <w:tcW w:w="907" w:type="dxa"/>
          </w:tcPr>
          <w:p w14:paraId="7A9B35C6"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020" w:type="dxa"/>
          </w:tcPr>
          <w:p w14:paraId="2F6AE125"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324C17CB"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$51,418</w:t>
            </w:r>
          </w:p>
        </w:tc>
        <w:tc>
          <w:tcPr>
            <w:tcW w:w="1020" w:type="dxa"/>
          </w:tcPr>
          <w:p w14:paraId="2C3987EF"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$9,327</w:t>
            </w:r>
          </w:p>
        </w:tc>
        <w:tc>
          <w:tcPr>
            <w:tcW w:w="907" w:type="dxa"/>
          </w:tcPr>
          <w:p w14:paraId="3620B6B7"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907" w:type="dxa"/>
          </w:tcPr>
          <w:p w14:paraId="200E4A9F"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0</w:t>
            </w:r>
          </w:p>
        </w:tc>
        <w:tc>
          <w:tcPr>
            <w:tcW w:w="1361" w:type="dxa"/>
          </w:tcPr>
          <w:p w14:paraId="5F517BD1" w14:textId="77777777" w:rsidR="001118A4" w:rsidRPr="001118A4" w:rsidRDefault="001118A4" w:rsidP="00CA79F5">
            <w:pPr>
              <w:spacing w:before="100" w:after="100" w:line="288" w:lineRule="auto"/>
              <w:jc w:val="right"/>
              <w:rPr>
                <w:rFonts w:eastAsia="MS Mincho" w:cs="Arial"/>
                <w:szCs w:val="22"/>
              </w:rPr>
            </w:pPr>
            <w:r w:rsidRPr="001118A4">
              <w:rPr>
                <w:rFonts w:eastAsia="MS Mincho" w:cs="Arial"/>
                <w:szCs w:val="22"/>
              </w:rPr>
              <w:t>$424,107</w:t>
            </w:r>
          </w:p>
        </w:tc>
      </w:tr>
    </w:tbl>
    <w:p w14:paraId="512BCBA7" w14:textId="7CF14DD6" w:rsidR="001118A4" w:rsidRPr="00CA79F5" w:rsidRDefault="001118A4" w:rsidP="00CA79F5">
      <w:pPr>
        <w:pStyle w:val="Tablenote"/>
        <w:rPr>
          <w:b/>
          <w:bCs/>
        </w:rPr>
      </w:pPr>
      <w:r w:rsidRPr="00CA79F5">
        <w:rPr>
          <w:b/>
          <w:bCs/>
        </w:rPr>
        <w:t>Notes:</w:t>
      </w:r>
    </w:p>
    <w:p w14:paraId="1830A415" w14:textId="77777777" w:rsidR="001118A4" w:rsidRPr="00C13293" w:rsidRDefault="001118A4" w:rsidP="00CA79F5">
      <w:pPr>
        <w:pStyle w:val="Tablenote"/>
      </w:pPr>
      <w:r w:rsidRPr="00C13293">
        <w:t>1  Ms Maryanne Diamond AO, Mrs Joan McKenna Kerr AM, Dr Denis Napthine AO – Term expired on 16 June 2026.</w:t>
      </w:r>
    </w:p>
    <w:p w14:paraId="1D136803" w14:textId="77777777" w:rsidR="001118A4" w:rsidRPr="00C13293" w:rsidRDefault="001118A4" w:rsidP="00CA79F5">
      <w:pPr>
        <w:pStyle w:val="Tablenote"/>
      </w:pPr>
      <w:r w:rsidRPr="00C13293">
        <w:t>2  Ms Lois Boswell, Mr Nigel Ray PSM, Ms Jane Spring AM – Joined on 17 June 2026.</w:t>
      </w:r>
    </w:p>
    <w:p w14:paraId="0C89FF47" w14:textId="77777777" w:rsidR="001118A4" w:rsidRPr="00C13293" w:rsidRDefault="001118A4" w:rsidP="00CA79F5">
      <w:pPr>
        <w:pStyle w:val="Tablenote"/>
      </w:pPr>
      <w:r w:rsidRPr="00C13293">
        <w:t>3  Ms Rebecca Falkingham PSM – Term expired on 16 October 2025.</w:t>
      </w:r>
    </w:p>
    <w:p w14:paraId="25130583" w14:textId="6760F529" w:rsidR="001118A4" w:rsidRPr="00C13293" w:rsidRDefault="001118A4" w:rsidP="00CA79F5">
      <w:pPr>
        <w:pStyle w:val="Tablenote"/>
      </w:pPr>
      <w:r w:rsidRPr="00C13293">
        <w:t>4  Mr Graeme Head</w:t>
      </w:r>
      <w:r w:rsidR="002D4366">
        <w:t xml:space="preserve"> AO</w:t>
      </w:r>
      <w:r w:rsidRPr="00C13293">
        <w:t xml:space="preserve"> – Joined on 24 November 202</w:t>
      </w:r>
      <w:r w:rsidR="00122447">
        <w:t>5</w:t>
      </w:r>
      <w:r w:rsidRPr="00C13293">
        <w:t>.</w:t>
      </w:r>
    </w:p>
    <w:p w14:paraId="65C72756" w14:textId="1D3BB128" w:rsidR="001118A4" w:rsidRPr="00C13293" w:rsidRDefault="001118A4" w:rsidP="00CA79F5">
      <w:pPr>
        <w:pStyle w:val="Tablenote"/>
      </w:pPr>
      <w:r w:rsidRPr="00C13293">
        <w:t>5  Ms Penelope McKay – Acted in the position of CEO from 18 October 2025 to 27 October 2025, covering annual leave period for Mr Scott McNaughton: 20</w:t>
      </w:r>
      <w:r w:rsidR="00EC4E62">
        <w:t xml:space="preserve"> October </w:t>
      </w:r>
      <w:r w:rsidRPr="00C13293">
        <w:t>2025 to 27</w:t>
      </w:r>
      <w:r w:rsidR="00EC4E62">
        <w:t xml:space="preserve"> October</w:t>
      </w:r>
      <w:r w:rsidRPr="00C13293">
        <w:t>2025.</w:t>
      </w:r>
    </w:p>
    <w:p w14:paraId="243D09A7" w14:textId="77777777" w:rsidR="001118A4" w:rsidRPr="00C13293" w:rsidRDefault="001118A4" w:rsidP="00CA79F5">
      <w:pPr>
        <w:pStyle w:val="Tablenote"/>
      </w:pPr>
      <w:r w:rsidRPr="00C13293">
        <w:t>6  Mr Scott McNaughton – Acted in the position of CEO from 1 July 2025 to 23 November 2025 and from 13 February 2026 to 17 February 2026.</w:t>
      </w:r>
    </w:p>
    <w:p w14:paraId="54A8055D" w14:textId="77777777" w:rsidR="001118A4" w:rsidRPr="00C13293" w:rsidRDefault="001118A4" w:rsidP="00CA79F5">
      <w:pPr>
        <w:pStyle w:val="Tablenote"/>
      </w:pPr>
      <w:r w:rsidRPr="00C13293">
        <w:t>7  Mr Tom McGregor – Acted in the position of Deputy CEO Legal, Actuarial, Governance and Reviews from 6 June 2026 to 30 June 2026.</w:t>
      </w:r>
    </w:p>
    <w:p w14:paraId="4CE29561" w14:textId="77777777" w:rsidR="001118A4" w:rsidRPr="00C13293" w:rsidRDefault="001118A4" w:rsidP="00CA79F5">
      <w:pPr>
        <w:pStyle w:val="Tablenote"/>
      </w:pPr>
      <w:r w:rsidRPr="00C13293">
        <w:t>8  Mr Andrew Maitland – Acted in the position of Deputy CEO Service Delivery from 1 July 2025 to 7 December 2025, from 3 April 2026 to 19 April 2026 and from 19 June 2026 to 26 June 2026.</w:t>
      </w:r>
    </w:p>
    <w:p w14:paraId="2B8986DA" w14:textId="77777777" w:rsidR="001118A4" w:rsidRPr="00C13293" w:rsidRDefault="001118A4" w:rsidP="00CA79F5">
      <w:pPr>
        <w:pStyle w:val="Tablenote"/>
      </w:pPr>
      <w:r w:rsidRPr="00C13293">
        <w:t>9  Mr Aaron Verlin – Acted in the position of Deputy CEO Service Design and Improvement from 1 July 2025 to 7 June 2026.</w:t>
      </w:r>
    </w:p>
    <w:p w14:paraId="56072027" w14:textId="77777777" w:rsidR="001118A4" w:rsidRPr="00C13293" w:rsidRDefault="001118A4" w:rsidP="00CA79F5">
      <w:pPr>
        <w:pStyle w:val="Tablenote"/>
      </w:pPr>
      <w:r w:rsidRPr="00C13293">
        <w:t>10 Mr Samuel Porter – Resigned on 5 June 2026.</w:t>
      </w:r>
    </w:p>
    <w:p w14:paraId="28F78ADD" w14:textId="45C31943" w:rsidR="00516790" w:rsidRPr="00C13293" w:rsidRDefault="001118A4" w:rsidP="00CA79F5">
      <w:pPr>
        <w:pStyle w:val="Tablenote"/>
      </w:pPr>
      <w:r w:rsidRPr="00C13293">
        <w:t>11 Mr Matthew Swainson – The Deputy CEO of Legal, Reviews, Actuarial and Data was appointed Deputy CEO Enabling Services/Chief Operating Officer on 6</w:t>
      </w:r>
      <w:r w:rsidR="00E558DD">
        <w:t> </w:t>
      </w:r>
      <w:r w:rsidRPr="00C13293">
        <w:t>June 2026.</w:t>
      </w:r>
      <w:r w:rsidR="00516790" w:rsidRPr="00C13293">
        <w:br w:type="page"/>
      </w:r>
    </w:p>
    <w:p w14:paraId="3B96F6C2" w14:textId="2F095121" w:rsidR="00920D7D" w:rsidRDefault="00300BE2" w:rsidP="00300BE2">
      <w:pPr>
        <w:pStyle w:val="Caption"/>
      </w:pPr>
      <w:r>
        <w:t xml:space="preserve">Table </w:t>
      </w:r>
      <w:r w:rsidR="00D51B17">
        <w:t>2</w:t>
      </w:r>
      <w:r w:rsidR="0068179C">
        <w:t>8</w:t>
      </w:r>
      <w:r>
        <w:t xml:space="preserve">. </w:t>
      </w:r>
      <w:r w:rsidR="00920D7D" w:rsidRPr="00EC105B">
        <w:t>Senior executive remuneration</w:t>
      </w:r>
    </w:p>
    <w:tbl>
      <w:tblPr>
        <w:tblStyle w:val="NDISTable1"/>
        <w:tblW w:w="14225"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2547"/>
        <w:gridCol w:w="794"/>
        <w:gridCol w:w="1474"/>
        <w:gridCol w:w="850"/>
        <w:gridCol w:w="1474"/>
        <w:gridCol w:w="1474"/>
        <w:gridCol w:w="1338"/>
        <w:gridCol w:w="1275"/>
        <w:gridCol w:w="1242"/>
        <w:gridCol w:w="1757"/>
      </w:tblGrid>
      <w:tr w:rsidR="00420F07" w:rsidRPr="00982555" w14:paraId="57BE9773" w14:textId="77777777" w:rsidTr="00CD3D9A">
        <w:trPr>
          <w:cnfStyle w:val="100000000000" w:firstRow="1" w:lastRow="0" w:firstColumn="0" w:lastColumn="0" w:oddVBand="0" w:evenVBand="0" w:oddHBand="0" w:evenHBand="0" w:firstRowFirstColumn="0" w:firstRowLastColumn="0" w:lastRowFirstColumn="0" w:lastRowLastColumn="0"/>
          <w:trHeight w:val="2989"/>
        </w:trPr>
        <w:tc>
          <w:tcPr>
            <w:tcW w:w="2547" w:type="dxa"/>
            <w:textDirection w:val="tbRl"/>
            <w:vAlign w:val="bottom"/>
          </w:tcPr>
          <w:p w14:paraId="61BC193E" w14:textId="77777777" w:rsidR="00420F07" w:rsidRPr="00982555" w:rsidRDefault="00420F07" w:rsidP="00426313">
            <w:pPr>
              <w:pStyle w:val="TableBody0"/>
              <w:spacing w:line="288" w:lineRule="auto"/>
              <w:ind w:left="113" w:right="113"/>
              <w:rPr>
                <w:b/>
                <w:bCs/>
              </w:rPr>
            </w:pPr>
            <w:r w:rsidRPr="00982555">
              <w:rPr>
                <w:bCs/>
              </w:rPr>
              <w:t>Total remuneration bands</w:t>
            </w:r>
          </w:p>
        </w:tc>
        <w:tc>
          <w:tcPr>
            <w:tcW w:w="794" w:type="dxa"/>
            <w:textDirection w:val="tbRl"/>
            <w:vAlign w:val="center"/>
          </w:tcPr>
          <w:p w14:paraId="082144C1" w14:textId="77777777" w:rsidR="00420F07" w:rsidRPr="00982555" w:rsidRDefault="00420F07" w:rsidP="00CD3D9A">
            <w:pPr>
              <w:pStyle w:val="TableBody0"/>
              <w:spacing w:line="288" w:lineRule="auto"/>
              <w:ind w:left="113" w:right="113"/>
              <w:rPr>
                <w:b/>
                <w:bCs/>
              </w:rPr>
            </w:pPr>
            <w:r w:rsidRPr="00982555">
              <w:rPr>
                <w:bCs/>
              </w:rPr>
              <w:t>Number of senior executives</w:t>
            </w:r>
          </w:p>
        </w:tc>
        <w:tc>
          <w:tcPr>
            <w:tcW w:w="1474" w:type="dxa"/>
            <w:textDirection w:val="tbRl"/>
          </w:tcPr>
          <w:p w14:paraId="7F5762CC" w14:textId="77777777" w:rsidR="00420F07" w:rsidRPr="00982555" w:rsidRDefault="00420F07" w:rsidP="00172730">
            <w:pPr>
              <w:pStyle w:val="TableBody0"/>
              <w:spacing w:line="288" w:lineRule="auto"/>
              <w:ind w:left="113" w:right="113"/>
              <w:rPr>
                <w:b/>
                <w:bCs/>
              </w:rPr>
            </w:pPr>
            <w:r w:rsidRPr="00982555">
              <w:rPr>
                <w:bCs/>
              </w:rPr>
              <w:t>Short-term benefits – average base salary</w:t>
            </w:r>
          </w:p>
        </w:tc>
        <w:tc>
          <w:tcPr>
            <w:tcW w:w="850" w:type="dxa"/>
            <w:textDirection w:val="tbRl"/>
          </w:tcPr>
          <w:p w14:paraId="56761F46" w14:textId="77777777" w:rsidR="00420F07" w:rsidRPr="00982555" w:rsidRDefault="00420F07" w:rsidP="00172730">
            <w:pPr>
              <w:pStyle w:val="TableBody0"/>
              <w:spacing w:line="288" w:lineRule="auto"/>
              <w:ind w:left="113" w:right="113"/>
              <w:rPr>
                <w:b/>
                <w:bCs/>
              </w:rPr>
            </w:pPr>
            <w:r w:rsidRPr="00982555">
              <w:rPr>
                <w:bCs/>
              </w:rPr>
              <w:t>Short-term benefits – average bonuses</w:t>
            </w:r>
          </w:p>
        </w:tc>
        <w:tc>
          <w:tcPr>
            <w:tcW w:w="1474" w:type="dxa"/>
            <w:textDirection w:val="tbRl"/>
          </w:tcPr>
          <w:p w14:paraId="0C9AA151" w14:textId="77777777" w:rsidR="00420F07" w:rsidRPr="00982555" w:rsidRDefault="00420F07" w:rsidP="00172730">
            <w:pPr>
              <w:pStyle w:val="TableBody0"/>
              <w:spacing w:line="288" w:lineRule="auto"/>
              <w:ind w:left="113" w:right="113"/>
              <w:rPr>
                <w:b/>
                <w:bCs/>
              </w:rPr>
            </w:pPr>
            <w:r w:rsidRPr="00982555">
              <w:rPr>
                <w:bCs/>
              </w:rPr>
              <w:t>Short-term benefits – average other benefits and allowances</w:t>
            </w:r>
          </w:p>
        </w:tc>
        <w:tc>
          <w:tcPr>
            <w:tcW w:w="1474" w:type="dxa"/>
            <w:textDirection w:val="tbRl"/>
          </w:tcPr>
          <w:p w14:paraId="232B4E95" w14:textId="77777777" w:rsidR="00420F07" w:rsidRPr="00982555" w:rsidRDefault="00420F07" w:rsidP="00172730">
            <w:pPr>
              <w:pStyle w:val="TableBody0"/>
              <w:spacing w:line="288" w:lineRule="auto"/>
              <w:ind w:left="113" w:right="113"/>
              <w:rPr>
                <w:b/>
                <w:bCs/>
              </w:rPr>
            </w:pPr>
            <w:r w:rsidRPr="00982555">
              <w:rPr>
                <w:bCs/>
              </w:rPr>
              <w:t>Post-employment benefits – average superannuation contributions</w:t>
            </w:r>
          </w:p>
        </w:tc>
        <w:tc>
          <w:tcPr>
            <w:tcW w:w="1338" w:type="dxa"/>
            <w:textDirection w:val="tbRl"/>
          </w:tcPr>
          <w:p w14:paraId="4F727FC5" w14:textId="77777777" w:rsidR="00420F07" w:rsidRPr="00982555" w:rsidRDefault="00420F07" w:rsidP="00172730">
            <w:pPr>
              <w:pStyle w:val="TableBody0"/>
              <w:spacing w:line="288" w:lineRule="auto"/>
              <w:ind w:left="113" w:right="113"/>
              <w:rPr>
                <w:b/>
                <w:bCs/>
              </w:rPr>
            </w:pPr>
            <w:r w:rsidRPr="00982555">
              <w:rPr>
                <w:bCs/>
              </w:rPr>
              <w:t>Other long-term benefits – average long service leave</w:t>
            </w:r>
          </w:p>
        </w:tc>
        <w:tc>
          <w:tcPr>
            <w:tcW w:w="1275" w:type="dxa"/>
            <w:textDirection w:val="tbRl"/>
          </w:tcPr>
          <w:p w14:paraId="769C9A01" w14:textId="14B3F18E" w:rsidR="00420F07" w:rsidRPr="00982555" w:rsidRDefault="00FA2C2D" w:rsidP="00172730">
            <w:pPr>
              <w:pStyle w:val="TableBody0"/>
              <w:spacing w:line="288" w:lineRule="auto"/>
              <w:ind w:left="113" w:right="113"/>
              <w:rPr>
                <w:b/>
                <w:bCs/>
              </w:rPr>
            </w:pPr>
            <w:r w:rsidRPr="00982555">
              <w:rPr>
                <w:bCs/>
              </w:rPr>
              <w:t xml:space="preserve">Other long-term benefits </w:t>
            </w:r>
            <w:r>
              <w:rPr>
                <w:bCs/>
              </w:rPr>
              <w:t xml:space="preserve">– </w:t>
            </w:r>
            <w:r w:rsidR="00454400">
              <w:rPr>
                <w:bCs/>
              </w:rPr>
              <w:t>a</w:t>
            </w:r>
            <w:r w:rsidR="00420F07" w:rsidRPr="00982555">
              <w:rPr>
                <w:bCs/>
              </w:rPr>
              <w:t>verage other long-term benefits</w:t>
            </w:r>
          </w:p>
        </w:tc>
        <w:tc>
          <w:tcPr>
            <w:tcW w:w="1242" w:type="dxa"/>
            <w:textDirection w:val="tbRl"/>
          </w:tcPr>
          <w:p w14:paraId="70CD18B6" w14:textId="77777777" w:rsidR="00420F07" w:rsidRPr="00982555" w:rsidRDefault="00420F07" w:rsidP="00172730">
            <w:pPr>
              <w:pStyle w:val="TableBody0"/>
              <w:spacing w:line="288" w:lineRule="auto"/>
              <w:ind w:left="113" w:right="113"/>
              <w:rPr>
                <w:b/>
                <w:bCs/>
              </w:rPr>
            </w:pPr>
            <w:r w:rsidRPr="00982555">
              <w:rPr>
                <w:bCs/>
              </w:rPr>
              <w:t>Termination benefits – average termination benefits</w:t>
            </w:r>
          </w:p>
        </w:tc>
        <w:tc>
          <w:tcPr>
            <w:tcW w:w="1757" w:type="dxa"/>
            <w:textDirection w:val="tbRl"/>
          </w:tcPr>
          <w:p w14:paraId="073A042B" w14:textId="77777777" w:rsidR="00420F07" w:rsidRPr="00982555" w:rsidRDefault="00420F07" w:rsidP="00172730">
            <w:pPr>
              <w:pStyle w:val="TableBody0"/>
              <w:spacing w:line="288" w:lineRule="auto"/>
              <w:ind w:left="113" w:right="113"/>
              <w:rPr>
                <w:b/>
                <w:bCs/>
              </w:rPr>
            </w:pPr>
            <w:r w:rsidRPr="00982555">
              <w:rPr>
                <w:bCs/>
              </w:rPr>
              <w:t>Total remuneration – average total remuneration</w:t>
            </w:r>
          </w:p>
        </w:tc>
      </w:tr>
      <w:tr w:rsidR="00420F07" w:rsidRPr="0054222F" w14:paraId="4D08CC48" w14:textId="77777777" w:rsidTr="00CD3D9A">
        <w:trPr>
          <w:cnfStyle w:val="000000100000" w:firstRow="0" w:lastRow="0" w:firstColumn="0" w:lastColumn="0" w:oddVBand="0" w:evenVBand="0" w:oddHBand="1" w:evenHBand="0" w:firstRowFirstColumn="0" w:firstRowLastColumn="0" w:lastRowFirstColumn="0" w:lastRowLastColumn="0"/>
          <w:trHeight w:val="454"/>
        </w:trPr>
        <w:tc>
          <w:tcPr>
            <w:tcW w:w="2547" w:type="dxa"/>
            <w:vAlign w:val="center"/>
          </w:tcPr>
          <w:p w14:paraId="45C4E899" w14:textId="77777777" w:rsidR="00420F07" w:rsidRPr="0054222F" w:rsidRDefault="00420F07" w:rsidP="00172730">
            <w:pPr>
              <w:pStyle w:val="TableBody0"/>
              <w:spacing w:before="40" w:after="40" w:line="288" w:lineRule="auto"/>
            </w:pPr>
            <w:r>
              <w:t>$0–$220,000</w:t>
            </w:r>
          </w:p>
        </w:tc>
        <w:tc>
          <w:tcPr>
            <w:tcW w:w="794" w:type="dxa"/>
            <w:vAlign w:val="center"/>
          </w:tcPr>
          <w:p w14:paraId="2E1C1CE9" w14:textId="77777777" w:rsidR="00420F07" w:rsidRPr="0054222F" w:rsidRDefault="00420F07" w:rsidP="00CD3D9A">
            <w:pPr>
              <w:pStyle w:val="TableBody0"/>
              <w:spacing w:before="40" w:after="40" w:line="288" w:lineRule="auto"/>
            </w:pPr>
            <w:r w:rsidRPr="00701C89">
              <w:t>46</w:t>
            </w:r>
          </w:p>
        </w:tc>
        <w:tc>
          <w:tcPr>
            <w:tcW w:w="1474" w:type="dxa"/>
            <w:vAlign w:val="center"/>
          </w:tcPr>
          <w:p w14:paraId="078DDCA2" w14:textId="77777777" w:rsidR="00420F07" w:rsidRPr="0054222F" w:rsidRDefault="00420F07" w:rsidP="00CD3D9A">
            <w:pPr>
              <w:pStyle w:val="TableBody0"/>
              <w:spacing w:before="40" w:after="40" w:line="288" w:lineRule="auto"/>
              <w:jc w:val="right"/>
            </w:pPr>
            <w:r w:rsidRPr="00F976C5">
              <w:t>$92,408</w:t>
            </w:r>
          </w:p>
        </w:tc>
        <w:tc>
          <w:tcPr>
            <w:tcW w:w="850" w:type="dxa"/>
            <w:vAlign w:val="center"/>
          </w:tcPr>
          <w:p w14:paraId="6855D8FD" w14:textId="77777777" w:rsidR="00420F07" w:rsidRPr="0054222F" w:rsidRDefault="00420F07" w:rsidP="00CD3D9A">
            <w:pPr>
              <w:pStyle w:val="TableBody0"/>
              <w:spacing w:before="40" w:after="40" w:line="288" w:lineRule="auto"/>
              <w:jc w:val="right"/>
            </w:pPr>
            <w:r w:rsidRPr="00F976C5">
              <w:t>0</w:t>
            </w:r>
          </w:p>
        </w:tc>
        <w:tc>
          <w:tcPr>
            <w:tcW w:w="1474" w:type="dxa"/>
            <w:vAlign w:val="center"/>
          </w:tcPr>
          <w:p w14:paraId="40724D35" w14:textId="77777777" w:rsidR="00420F07" w:rsidRPr="0054222F" w:rsidRDefault="00420F07" w:rsidP="00CD3D9A">
            <w:pPr>
              <w:pStyle w:val="TableBody0"/>
              <w:spacing w:before="40" w:after="40" w:line="288" w:lineRule="auto"/>
              <w:jc w:val="right"/>
            </w:pPr>
            <w:r w:rsidRPr="00F976C5">
              <w:t>$148</w:t>
            </w:r>
          </w:p>
        </w:tc>
        <w:tc>
          <w:tcPr>
            <w:tcW w:w="1474" w:type="dxa"/>
            <w:vAlign w:val="center"/>
          </w:tcPr>
          <w:p w14:paraId="7C08C849" w14:textId="77777777" w:rsidR="00420F07" w:rsidRPr="0054222F" w:rsidRDefault="00420F07" w:rsidP="00CD3D9A">
            <w:pPr>
              <w:pStyle w:val="TableBody0"/>
              <w:spacing w:before="40" w:after="40" w:line="288" w:lineRule="auto"/>
              <w:jc w:val="right"/>
            </w:pPr>
            <w:r w:rsidRPr="00F976C5">
              <w:t>$12,801</w:t>
            </w:r>
          </w:p>
        </w:tc>
        <w:tc>
          <w:tcPr>
            <w:tcW w:w="1338" w:type="dxa"/>
            <w:vAlign w:val="center"/>
          </w:tcPr>
          <w:p w14:paraId="77F89725" w14:textId="77777777" w:rsidR="00420F07" w:rsidRPr="0054222F" w:rsidRDefault="00420F07" w:rsidP="00CD3D9A">
            <w:pPr>
              <w:pStyle w:val="TableBody0"/>
              <w:spacing w:before="40" w:after="40" w:line="288" w:lineRule="auto"/>
              <w:jc w:val="right"/>
            </w:pPr>
            <w:r w:rsidRPr="00F976C5">
              <w:t>$2,397</w:t>
            </w:r>
          </w:p>
        </w:tc>
        <w:tc>
          <w:tcPr>
            <w:tcW w:w="1275" w:type="dxa"/>
            <w:vAlign w:val="center"/>
          </w:tcPr>
          <w:p w14:paraId="16CB65BF" w14:textId="77777777" w:rsidR="00420F07" w:rsidRPr="0054222F" w:rsidRDefault="00420F07" w:rsidP="00CD3D9A">
            <w:pPr>
              <w:pStyle w:val="TableBody0"/>
              <w:spacing w:before="40" w:after="40" w:line="288" w:lineRule="auto"/>
              <w:jc w:val="right"/>
            </w:pPr>
            <w:r w:rsidRPr="00F976C5">
              <w:t>0</w:t>
            </w:r>
          </w:p>
        </w:tc>
        <w:tc>
          <w:tcPr>
            <w:tcW w:w="1242" w:type="dxa"/>
            <w:vAlign w:val="center"/>
          </w:tcPr>
          <w:p w14:paraId="140B1B3E" w14:textId="77777777" w:rsidR="00420F07" w:rsidRPr="0054222F" w:rsidRDefault="00420F07" w:rsidP="00CD3D9A">
            <w:pPr>
              <w:pStyle w:val="TableBody0"/>
              <w:spacing w:before="40" w:after="40" w:line="288" w:lineRule="auto"/>
              <w:jc w:val="right"/>
            </w:pPr>
            <w:r w:rsidRPr="00F976C5">
              <w:t>$7,373</w:t>
            </w:r>
          </w:p>
        </w:tc>
        <w:tc>
          <w:tcPr>
            <w:tcW w:w="1757" w:type="dxa"/>
            <w:vAlign w:val="center"/>
          </w:tcPr>
          <w:p w14:paraId="0920DE9C" w14:textId="77777777" w:rsidR="00420F07" w:rsidRPr="0054222F" w:rsidRDefault="00420F07" w:rsidP="00CD3D9A">
            <w:pPr>
              <w:pStyle w:val="TableBody0"/>
              <w:spacing w:before="40" w:after="40" w:line="288" w:lineRule="auto"/>
              <w:jc w:val="right"/>
            </w:pPr>
            <w:r w:rsidRPr="00F976C5">
              <w:t>$115,127</w:t>
            </w:r>
          </w:p>
        </w:tc>
      </w:tr>
      <w:tr w:rsidR="00420F07" w:rsidRPr="0054222F" w14:paraId="12E04BC8" w14:textId="77777777" w:rsidTr="00CD3D9A">
        <w:trPr>
          <w:cnfStyle w:val="000000010000" w:firstRow="0" w:lastRow="0" w:firstColumn="0" w:lastColumn="0" w:oddVBand="0" w:evenVBand="0" w:oddHBand="0" w:evenHBand="1" w:firstRowFirstColumn="0" w:firstRowLastColumn="0" w:lastRowFirstColumn="0" w:lastRowLastColumn="0"/>
          <w:trHeight w:val="454"/>
        </w:trPr>
        <w:tc>
          <w:tcPr>
            <w:tcW w:w="2547" w:type="dxa"/>
            <w:vAlign w:val="center"/>
          </w:tcPr>
          <w:p w14:paraId="6591B62D" w14:textId="77777777" w:rsidR="00420F07" w:rsidRPr="0054222F" w:rsidRDefault="00420F07" w:rsidP="00172730">
            <w:pPr>
              <w:pStyle w:val="TableBody0"/>
              <w:spacing w:before="40" w:after="40" w:line="288" w:lineRule="auto"/>
            </w:pPr>
            <w:r>
              <w:t>$220,001–$245,000</w:t>
            </w:r>
          </w:p>
        </w:tc>
        <w:tc>
          <w:tcPr>
            <w:tcW w:w="794" w:type="dxa"/>
            <w:vAlign w:val="center"/>
          </w:tcPr>
          <w:p w14:paraId="2206DC41" w14:textId="77777777" w:rsidR="00420F07" w:rsidRPr="0054222F" w:rsidRDefault="00420F07" w:rsidP="00CD3D9A">
            <w:pPr>
              <w:pStyle w:val="TableBody0"/>
              <w:spacing w:before="40" w:after="40" w:line="288" w:lineRule="auto"/>
            </w:pPr>
            <w:r w:rsidRPr="00701C89">
              <w:t>6</w:t>
            </w:r>
          </w:p>
        </w:tc>
        <w:tc>
          <w:tcPr>
            <w:tcW w:w="1474" w:type="dxa"/>
            <w:vAlign w:val="center"/>
          </w:tcPr>
          <w:p w14:paraId="7C3C5F69" w14:textId="77777777" w:rsidR="00420F07" w:rsidRPr="0054222F" w:rsidRDefault="00420F07" w:rsidP="00CD3D9A">
            <w:pPr>
              <w:pStyle w:val="TableBody0"/>
              <w:spacing w:before="40" w:after="40" w:line="288" w:lineRule="auto"/>
              <w:jc w:val="right"/>
            </w:pPr>
            <w:r w:rsidRPr="00F976C5">
              <w:t>$199,149</w:t>
            </w:r>
          </w:p>
        </w:tc>
        <w:tc>
          <w:tcPr>
            <w:tcW w:w="850" w:type="dxa"/>
            <w:vAlign w:val="center"/>
          </w:tcPr>
          <w:p w14:paraId="33252905" w14:textId="77777777" w:rsidR="00420F07" w:rsidRPr="0054222F" w:rsidRDefault="00420F07" w:rsidP="00CD3D9A">
            <w:pPr>
              <w:pStyle w:val="TableBody0"/>
              <w:spacing w:before="40" w:after="40" w:line="288" w:lineRule="auto"/>
              <w:jc w:val="right"/>
            </w:pPr>
            <w:r w:rsidRPr="00F976C5">
              <w:t>0</w:t>
            </w:r>
          </w:p>
        </w:tc>
        <w:tc>
          <w:tcPr>
            <w:tcW w:w="1474" w:type="dxa"/>
            <w:vAlign w:val="center"/>
          </w:tcPr>
          <w:p w14:paraId="33A3719E" w14:textId="77777777" w:rsidR="00420F07" w:rsidRPr="0054222F" w:rsidRDefault="00420F07" w:rsidP="00CD3D9A">
            <w:pPr>
              <w:pStyle w:val="TableBody0"/>
              <w:spacing w:before="40" w:after="40" w:line="288" w:lineRule="auto"/>
              <w:jc w:val="right"/>
            </w:pPr>
            <w:r w:rsidRPr="00F976C5">
              <w:t>$114</w:t>
            </w:r>
          </w:p>
        </w:tc>
        <w:tc>
          <w:tcPr>
            <w:tcW w:w="1474" w:type="dxa"/>
            <w:vAlign w:val="center"/>
          </w:tcPr>
          <w:p w14:paraId="204A9B35" w14:textId="77777777" w:rsidR="00420F07" w:rsidRPr="0054222F" w:rsidRDefault="00420F07" w:rsidP="00CD3D9A">
            <w:pPr>
              <w:pStyle w:val="TableBody0"/>
              <w:spacing w:before="40" w:after="40" w:line="288" w:lineRule="auto"/>
              <w:jc w:val="right"/>
            </w:pPr>
            <w:r w:rsidRPr="00F976C5">
              <w:t>$28,768</w:t>
            </w:r>
          </w:p>
        </w:tc>
        <w:tc>
          <w:tcPr>
            <w:tcW w:w="1338" w:type="dxa"/>
            <w:vAlign w:val="center"/>
          </w:tcPr>
          <w:p w14:paraId="69310DCD" w14:textId="77777777" w:rsidR="00420F07" w:rsidRPr="0054222F" w:rsidRDefault="00420F07" w:rsidP="00CD3D9A">
            <w:pPr>
              <w:pStyle w:val="TableBody0"/>
              <w:spacing w:before="40" w:after="40" w:line="288" w:lineRule="auto"/>
              <w:jc w:val="right"/>
            </w:pPr>
            <w:r w:rsidRPr="00F976C5">
              <w:t>$5,195</w:t>
            </w:r>
          </w:p>
        </w:tc>
        <w:tc>
          <w:tcPr>
            <w:tcW w:w="1275" w:type="dxa"/>
            <w:vAlign w:val="center"/>
          </w:tcPr>
          <w:p w14:paraId="19EB719A" w14:textId="77777777" w:rsidR="00420F07" w:rsidRPr="0054222F" w:rsidRDefault="00420F07" w:rsidP="00CD3D9A">
            <w:pPr>
              <w:pStyle w:val="TableBody0"/>
              <w:spacing w:before="40" w:after="40" w:line="288" w:lineRule="auto"/>
              <w:jc w:val="right"/>
            </w:pPr>
            <w:r w:rsidRPr="00F976C5">
              <w:t>0</w:t>
            </w:r>
          </w:p>
        </w:tc>
        <w:tc>
          <w:tcPr>
            <w:tcW w:w="1242" w:type="dxa"/>
            <w:vAlign w:val="center"/>
          </w:tcPr>
          <w:p w14:paraId="7871EBA5" w14:textId="77777777" w:rsidR="00420F07" w:rsidRPr="0054222F" w:rsidRDefault="00420F07" w:rsidP="00CD3D9A">
            <w:pPr>
              <w:pStyle w:val="TableBody0"/>
              <w:spacing w:before="40" w:after="40" w:line="288" w:lineRule="auto"/>
              <w:jc w:val="right"/>
            </w:pPr>
            <w:r w:rsidRPr="00F976C5">
              <w:t>0</w:t>
            </w:r>
          </w:p>
        </w:tc>
        <w:tc>
          <w:tcPr>
            <w:tcW w:w="1757" w:type="dxa"/>
            <w:vAlign w:val="center"/>
          </w:tcPr>
          <w:p w14:paraId="456A1CD1" w14:textId="77777777" w:rsidR="00420F07" w:rsidRPr="0054222F" w:rsidRDefault="00420F07" w:rsidP="00CD3D9A">
            <w:pPr>
              <w:pStyle w:val="TableBody0"/>
              <w:spacing w:before="40" w:after="40" w:line="288" w:lineRule="auto"/>
              <w:jc w:val="right"/>
            </w:pPr>
            <w:r w:rsidRPr="00F976C5">
              <w:t>$233,226</w:t>
            </w:r>
          </w:p>
        </w:tc>
      </w:tr>
      <w:tr w:rsidR="00420F07" w:rsidRPr="0054222F" w14:paraId="69D0BC38" w14:textId="77777777" w:rsidTr="00CD3D9A">
        <w:trPr>
          <w:cnfStyle w:val="000000100000" w:firstRow="0" w:lastRow="0" w:firstColumn="0" w:lastColumn="0" w:oddVBand="0" w:evenVBand="0" w:oddHBand="1" w:evenHBand="0" w:firstRowFirstColumn="0" w:firstRowLastColumn="0" w:lastRowFirstColumn="0" w:lastRowLastColumn="0"/>
          <w:trHeight w:val="454"/>
        </w:trPr>
        <w:tc>
          <w:tcPr>
            <w:tcW w:w="2547" w:type="dxa"/>
            <w:vAlign w:val="center"/>
          </w:tcPr>
          <w:p w14:paraId="41C7E091" w14:textId="77777777" w:rsidR="00420F07" w:rsidRPr="0054222F" w:rsidRDefault="00420F07" w:rsidP="00172730">
            <w:pPr>
              <w:pStyle w:val="TableBody0"/>
              <w:spacing w:before="40" w:after="40" w:line="288" w:lineRule="auto"/>
            </w:pPr>
            <w:r>
              <w:t>$245,001–$270,000</w:t>
            </w:r>
          </w:p>
        </w:tc>
        <w:tc>
          <w:tcPr>
            <w:tcW w:w="794" w:type="dxa"/>
            <w:vAlign w:val="center"/>
          </w:tcPr>
          <w:p w14:paraId="2BFEFB43" w14:textId="77777777" w:rsidR="00420F07" w:rsidRPr="0054222F" w:rsidRDefault="00420F07" w:rsidP="00CD3D9A">
            <w:pPr>
              <w:pStyle w:val="TableBody0"/>
              <w:spacing w:before="40" w:after="40" w:line="288" w:lineRule="auto"/>
            </w:pPr>
            <w:r w:rsidRPr="00701C89">
              <w:t>28</w:t>
            </w:r>
          </w:p>
        </w:tc>
        <w:tc>
          <w:tcPr>
            <w:tcW w:w="1474" w:type="dxa"/>
            <w:vAlign w:val="center"/>
          </w:tcPr>
          <w:p w14:paraId="6FF9F1FC" w14:textId="77777777" w:rsidR="00420F07" w:rsidRPr="0054222F" w:rsidRDefault="00420F07" w:rsidP="00CD3D9A">
            <w:pPr>
              <w:pStyle w:val="TableBody0"/>
              <w:spacing w:before="40" w:after="40" w:line="288" w:lineRule="auto"/>
              <w:jc w:val="right"/>
            </w:pPr>
            <w:r w:rsidRPr="00F976C5">
              <w:t>$211,745</w:t>
            </w:r>
          </w:p>
        </w:tc>
        <w:tc>
          <w:tcPr>
            <w:tcW w:w="850" w:type="dxa"/>
            <w:vAlign w:val="center"/>
          </w:tcPr>
          <w:p w14:paraId="62C536AC" w14:textId="77777777" w:rsidR="00420F07" w:rsidRPr="0054222F" w:rsidRDefault="00420F07" w:rsidP="00CD3D9A">
            <w:pPr>
              <w:pStyle w:val="TableBody0"/>
              <w:spacing w:before="40" w:after="40" w:line="288" w:lineRule="auto"/>
              <w:jc w:val="right"/>
            </w:pPr>
            <w:r w:rsidRPr="00F976C5">
              <w:t>0</w:t>
            </w:r>
          </w:p>
        </w:tc>
        <w:tc>
          <w:tcPr>
            <w:tcW w:w="1474" w:type="dxa"/>
            <w:vAlign w:val="center"/>
          </w:tcPr>
          <w:p w14:paraId="42CF5481" w14:textId="77777777" w:rsidR="00420F07" w:rsidRPr="0054222F" w:rsidRDefault="00420F07" w:rsidP="00CD3D9A">
            <w:pPr>
              <w:pStyle w:val="TableBody0"/>
              <w:spacing w:before="40" w:after="40" w:line="288" w:lineRule="auto"/>
              <w:jc w:val="right"/>
            </w:pPr>
            <w:r w:rsidRPr="00F976C5">
              <w:t>$175</w:t>
            </w:r>
          </w:p>
        </w:tc>
        <w:tc>
          <w:tcPr>
            <w:tcW w:w="1474" w:type="dxa"/>
            <w:vAlign w:val="center"/>
          </w:tcPr>
          <w:p w14:paraId="26E9A18C" w14:textId="77777777" w:rsidR="00420F07" w:rsidRPr="0054222F" w:rsidRDefault="00420F07" w:rsidP="00CD3D9A">
            <w:pPr>
              <w:pStyle w:val="TableBody0"/>
              <w:spacing w:before="40" w:after="40" w:line="288" w:lineRule="auto"/>
              <w:jc w:val="right"/>
            </w:pPr>
            <w:r w:rsidRPr="00F976C5">
              <w:t>$31,999</w:t>
            </w:r>
          </w:p>
        </w:tc>
        <w:tc>
          <w:tcPr>
            <w:tcW w:w="1338" w:type="dxa"/>
            <w:vAlign w:val="center"/>
          </w:tcPr>
          <w:p w14:paraId="6BE732AD" w14:textId="77777777" w:rsidR="00420F07" w:rsidRPr="0054222F" w:rsidRDefault="00420F07" w:rsidP="00CD3D9A">
            <w:pPr>
              <w:pStyle w:val="TableBody0"/>
              <w:spacing w:before="40" w:after="40" w:line="288" w:lineRule="auto"/>
              <w:jc w:val="right"/>
            </w:pPr>
            <w:r w:rsidRPr="00F976C5">
              <w:t>$5,560</w:t>
            </w:r>
          </w:p>
        </w:tc>
        <w:tc>
          <w:tcPr>
            <w:tcW w:w="1275" w:type="dxa"/>
            <w:vAlign w:val="center"/>
          </w:tcPr>
          <w:p w14:paraId="1F90073E" w14:textId="77777777" w:rsidR="00420F07" w:rsidRPr="0054222F" w:rsidRDefault="00420F07" w:rsidP="00CD3D9A">
            <w:pPr>
              <w:pStyle w:val="TableBody0"/>
              <w:spacing w:before="40" w:after="40" w:line="288" w:lineRule="auto"/>
              <w:jc w:val="right"/>
            </w:pPr>
            <w:r w:rsidRPr="00F976C5">
              <w:t>0</w:t>
            </w:r>
          </w:p>
        </w:tc>
        <w:tc>
          <w:tcPr>
            <w:tcW w:w="1242" w:type="dxa"/>
            <w:vAlign w:val="center"/>
          </w:tcPr>
          <w:p w14:paraId="73729AAE" w14:textId="77777777" w:rsidR="00420F07" w:rsidRPr="0054222F" w:rsidRDefault="00420F07" w:rsidP="00CD3D9A">
            <w:pPr>
              <w:pStyle w:val="TableBody0"/>
              <w:spacing w:before="40" w:after="40" w:line="288" w:lineRule="auto"/>
              <w:jc w:val="right"/>
            </w:pPr>
            <w:r w:rsidRPr="00F976C5">
              <w:t>$8,914</w:t>
            </w:r>
          </w:p>
        </w:tc>
        <w:tc>
          <w:tcPr>
            <w:tcW w:w="1757" w:type="dxa"/>
            <w:vAlign w:val="center"/>
          </w:tcPr>
          <w:p w14:paraId="0EA4F827" w14:textId="77777777" w:rsidR="00420F07" w:rsidRPr="0054222F" w:rsidRDefault="00420F07" w:rsidP="00CD3D9A">
            <w:pPr>
              <w:pStyle w:val="TableBody0"/>
              <w:spacing w:before="40" w:after="40" w:line="288" w:lineRule="auto"/>
              <w:jc w:val="right"/>
            </w:pPr>
            <w:r w:rsidRPr="00F976C5">
              <w:t>$258,393</w:t>
            </w:r>
          </w:p>
        </w:tc>
      </w:tr>
      <w:tr w:rsidR="00420F07" w:rsidRPr="0054222F" w14:paraId="45CA70A2" w14:textId="77777777" w:rsidTr="00CD3D9A">
        <w:trPr>
          <w:cnfStyle w:val="000000010000" w:firstRow="0" w:lastRow="0" w:firstColumn="0" w:lastColumn="0" w:oddVBand="0" w:evenVBand="0" w:oddHBand="0" w:evenHBand="1" w:firstRowFirstColumn="0" w:firstRowLastColumn="0" w:lastRowFirstColumn="0" w:lastRowLastColumn="0"/>
          <w:trHeight w:val="454"/>
        </w:trPr>
        <w:tc>
          <w:tcPr>
            <w:tcW w:w="2547" w:type="dxa"/>
            <w:vAlign w:val="center"/>
          </w:tcPr>
          <w:p w14:paraId="07D19833" w14:textId="77777777" w:rsidR="00420F07" w:rsidRPr="0054222F" w:rsidRDefault="00420F07" w:rsidP="00172730">
            <w:pPr>
              <w:pStyle w:val="TableBody0"/>
              <w:spacing w:before="40" w:after="40" w:line="288" w:lineRule="auto"/>
            </w:pPr>
            <w:r w:rsidRPr="002016A9">
              <w:t>$270,001</w:t>
            </w:r>
            <w:r>
              <w:t>–</w:t>
            </w:r>
            <w:r w:rsidRPr="002016A9">
              <w:t>$295,000</w:t>
            </w:r>
          </w:p>
        </w:tc>
        <w:tc>
          <w:tcPr>
            <w:tcW w:w="794" w:type="dxa"/>
            <w:vAlign w:val="center"/>
          </w:tcPr>
          <w:p w14:paraId="0EC88691" w14:textId="77777777" w:rsidR="00420F07" w:rsidRPr="0054222F" w:rsidRDefault="00420F07" w:rsidP="00CD3D9A">
            <w:pPr>
              <w:pStyle w:val="TableBody0"/>
              <w:spacing w:before="40" w:after="40" w:line="288" w:lineRule="auto"/>
            </w:pPr>
            <w:r w:rsidRPr="00701C89">
              <w:t>20</w:t>
            </w:r>
          </w:p>
        </w:tc>
        <w:tc>
          <w:tcPr>
            <w:tcW w:w="1474" w:type="dxa"/>
            <w:vAlign w:val="center"/>
          </w:tcPr>
          <w:p w14:paraId="3DDF1855" w14:textId="77777777" w:rsidR="00420F07" w:rsidRPr="0054222F" w:rsidRDefault="00420F07" w:rsidP="00CD3D9A">
            <w:pPr>
              <w:pStyle w:val="TableBody0"/>
              <w:spacing w:before="40" w:after="40" w:line="288" w:lineRule="auto"/>
              <w:jc w:val="right"/>
            </w:pPr>
            <w:r w:rsidRPr="00F976C5">
              <w:t>$226,682</w:t>
            </w:r>
          </w:p>
        </w:tc>
        <w:tc>
          <w:tcPr>
            <w:tcW w:w="850" w:type="dxa"/>
            <w:vAlign w:val="center"/>
          </w:tcPr>
          <w:p w14:paraId="32B53C70" w14:textId="77777777" w:rsidR="00420F07" w:rsidRPr="0054222F" w:rsidRDefault="00420F07" w:rsidP="00CD3D9A">
            <w:pPr>
              <w:pStyle w:val="TableBody0"/>
              <w:spacing w:before="40" w:after="40" w:line="288" w:lineRule="auto"/>
              <w:jc w:val="right"/>
            </w:pPr>
            <w:r w:rsidRPr="00F976C5">
              <w:t>0</w:t>
            </w:r>
          </w:p>
        </w:tc>
        <w:tc>
          <w:tcPr>
            <w:tcW w:w="1474" w:type="dxa"/>
            <w:vAlign w:val="center"/>
          </w:tcPr>
          <w:p w14:paraId="6DDC5A12" w14:textId="77777777" w:rsidR="00420F07" w:rsidRPr="0054222F" w:rsidRDefault="00420F07" w:rsidP="00CD3D9A">
            <w:pPr>
              <w:pStyle w:val="TableBody0"/>
              <w:spacing w:before="40" w:after="40" w:line="288" w:lineRule="auto"/>
              <w:jc w:val="right"/>
            </w:pPr>
            <w:r w:rsidRPr="00F976C5">
              <w:t>$150</w:t>
            </w:r>
          </w:p>
        </w:tc>
        <w:tc>
          <w:tcPr>
            <w:tcW w:w="1474" w:type="dxa"/>
            <w:vAlign w:val="center"/>
          </w:tcPr>
          <w:p w14:paraId="39784606" w14:textId="77777777" w:rsidR="00420F07" w:rsidRPr="0054222F" w:rsidRDefault="00420F07" w:rsidP="00CD3D9A">
            <w:pPr>
              <w:pStyle w:val="TableBody0"/>
              <w:spacing w:before="40" w:after="40" w:line="288" w:lineRule="auto"/>
              <w:jc w:val="right"/>
            </w:pPr>
            <w:r w:rsidRPr="00F976C5">
              <w:t>$35,592</w:t>
            </w:r>
          </w:p>
        </w:tc>
        <w:tc>
          <w:tcPr>
            <w:tcW w:w="1338" w:type="dxa"/>
            <w:vAlign w:val="center"/>
          </w:tcPr>
          <w:p w14:paraId="562313CB" w14:textId="77777777" w:rsidR="00420F07" w:rsidRPr="0054222F" w:rsidRDefault="00420F07" w:rsidP="00CD3D9A">
            <w:pPr>
              <w:pStyle w:val="TableBody0"/>
              <w:spacing w:before="40" w:after="40" w:line="288" w:lineRule="auto"/>
              <w:jc w:val="right"/>
            </w:pPr>
            <w:r w:rsidRPr="00F976C5">
              <w:t>$5,840</w:t>
            </w:r>
          </w:p>
        </w:tc>
        <w:tc>
          <w:tcPr>
            <w:tcW w:w="1275" w:type="dxa"/>
            <w:vAlign w:val="center"/>
          </w:tcPr>
          <w:p w14:paraId="1ABB34C1" w14:textId="77777777" w:rsidR="00420F07" w:rsidRPr="0054222F" w:rsidRDefault="00420F07" w:rsidP="00CD3D9A">
            <w:pPr>
              <w:pStyle w:val="TableBody0"/>
              <w:spacing w:before="40" w:after="40" w:line="288" w:lineRule="auto"/>
              <w:jc w:val="right"/>
            </w:pPr>
            <w:r w:rsidRPr="00F976C5">
              <w:t>0</w:t>
            </w:r>
          </w:p>
        </w:tc>
        <w:tc>
          <w:tcPr>
            <w:tcW w:w="1242" w:type="dxa"/>
            <w:vAlign w:val="center"/>
          </w:tcPr>
          <w:p w14:paraId="1AE39A12" w14:textId="77777777" w:rsidR="00420F07" w:rsidRPr="0054222F" w:rsidRDefault="00420F07" w:rsidP="00CD3D9A">
            <w:pPr>
              <w:pStyle w:val="TableBody0"/>
              <w:spacing w:before="40" w:after="40" w:line="288" w:lineRule="auto"/>
              <w:jc w:val="right"/>
            </w:pPr>
            <w:r w:rsidRPr="00F976C5">
              <w:t>$14,154</w:t>
            </w:r>
          </w:p>
        </w:tc>
        <w:tc>
          <w:tcPr>
            <w:tcW w:w="1757" w:type="dxa"/>
            <w:vAlign w:val="center"/>
          </w:tcPr>
          <w:p w14:paraId="289A62BB" w14:textId="77777777" w:rsidR="00420F07" w:rsidRPr="0054222F" w:rsidRDefault="00420F07" w:rsidP="00CD3D9A">
            <w:pPr>
              <w:pStyle w:val="TableBody0"/>
              <w:spacing w:before="40" w:after="40" w:line="288" w:lineRule="auto"/>
              <w:jc w:val="right"/>
            </w:pPr>
            <w:r w:rsidRPr="00F976C5">
              <w:t>$282,418</w:t>
            </w:r>
          </w:p>
        </w:tc>
      </w:tr>
      <w:tr w:rsidR="00420F07" w:rsidRPr="0054222F" w14:paraId="470CDDA7" w14:textId="77777777" w:rsidTr="00CD3D9A">
        <w:trPr>
          <w:cnfStyle w:val="000000100000" w:firstRow="0" w:lastRow="0" w:firstColumn="0" w:lastColumn="0" w:oddVBand="0" w:evenVBand="0" w:oddHBand="1" w:evenHBand="0" w:firstRowFirstColumn="0" w:firstRowLastColumn="0" w:lastRowFirstColumn="0" w:lastRowLastColumn="0"/>
          <w:trHeight w:val="454"/>
        </w:trPr>
        <w:tc>
          <w:tcPr>
            <w:tcW w:w="2547" w:type="dxa"/>
            <w:vAlign w:val="center"/>
          </w:tcPr>
          <w:p w14:paraId="024FC262" w14:textId="77777777" w:rsidR="00420F07" w:rsidRPr="0054222F" w:rsidRDefault="00420F07" w:rsidP="00172730">
            <w:pPr>
              <w:pStyle w:val="TableBody0"/>
              <w:spacing w:before="40" w:after="40" w:line="288" w:lineRule="auto"/>
            </w:pPr>
            <w:r w:rsidRPr="00A831DF">
              <w:t>$295,001</w:t>
            </w:r>
            <w:r>
              <w:t>–</w:t>
            </w:r>
            <w:r w:rsidRPr="00A831DF">
              <w:t>$320,000</w:t>
            </w:r>
          </w:p>
        </w:tc>
        <w:tc>
          <w:tcPr>
            <w:tcW w:w="794" w:type="dxa"/>
            <w:vAlign w:val="center"/>
          </w:tcPr>
          <w:p w14:paraId="48E0E0AC" w14:textId="77777777" w:rsidR="00420F07" w:rsidRPr="0054222F" w:rsidRDefault="00420F07" w:rsidP="00CD3D9A">
            <w:pPr>
              <w:pStyle w:val="TableBody0"/>
              <w:spacing w:before="40" w:after="40" w:line="288" w:lineRule="auto"/>
            </w:pPr>
            <w:r w:rsidRPr="00701C89">
              <w:t>19</w:t>
            </w:r>
          </w:p>
        </w:tc>
        <w:tc>
          <w:tcPr>
            <w:tcW w:w="1474" w:type="dxa"/>
            <w:vAlign w:val="center"/>
          </w:tcPr>
          <w:p w14:paraId="761813BB" w14:textId="77777777" w:rsidR="00420F07" w:rsidRPr="0054222F" w:rsidRDefault="00420F07" w:rsidP="00CD3D9A">
            <w:pPr>
              <w:pStyle w:val="TableBody0"/>
              <w:spacing w:before="40" w:after="40" w:line="288" w:lineRule="auto"/>
              <w:jc w:val="right"/>
            </w:pPr>
            <w:r w:rsidRPr="00F976C5">
              <w:t>$249,547</w:t>
            </w:r>
          </w:p>
        </w:tc>
        <w:tc>
          <w:tcPr>
            <w:tcW w:w="850" w:type="dxa"/>
            <w:vAlign w:val="center"/>
          </w:tcPr>
          <w:p w14:paraId="14B9D756" w14:textId="77777777" w:rsidR="00420F07" w:rsidRPr="0054222F" w:rsidRDefault="00420F07" w:rsidP="00CD3D9A">
            <w:pPr>
              <w:pStyle w:val="TableBody0"/>
              <w:spacing w:before="40" w:after="40" w:line="288" w:lineRule="auto"/>
              <w:jc w:val="right"/>
            </w:pPr>
            <w:r w:rsidRPr="00F976C5">
              <w:t>0</w:t>
            </w:r>
          </w:p>
        </w:tc>
        <w:tc>
          <w:tcPr>
            <w:tcW w:w="1474" w:type="dxa"/>
            <w:vAlign w:val="center"/>
          </w:tcPr>
          <w:p w14:paraId="3886AF05" w14:textId="77777777" w:rsidR="00420F07" w:rsidRPr="0054222F" w:rsidRDefault="00420F07" w:rsidP="00CD3D9A">
            <w:pPr>
              <w:pStyle w:val="TableBody0"/>
              <w:spacing w:before="40" w:after="40" w:line="288" w:lineRule="auto"/>
              <w:jc w:val="right"/>
            </w:pPr>
            <w:r w:rsidRPr="00F976C5">
              <w:t>$703</w:t>
            </w:r>
          </w:p>
        </w:tc>
        <w:tc>
          <w:tcPr>
            <w:tcW w:w="1474" w:type="dxa"/>
            <w:vAlign w:val="center"/>
          </w:tcPr>
          <w:p w14:paraId="21F5362C" w14:textId="77777777" w:rsidR="00420F07" w:rsidRPr="0054222F" w:rsidRDefault="00420F07" w:rsidP="00CD3D9A">
            <w:pPr>
              <w:pStyle w:val="TableBody0"/>
              <w:spacing w:before="40" w:after="40" w:line="288" w:lineRule="auto"/>
              <w:jc w:val="right"/>
            </w:pPr>
            <w:r w:rsidRPr="00F976C5">
              <w:t>$37,999</w:t>
            </w:r>
          </w:p>
        </w:tc>
        <w:tc>
          <w:tcPr>
            <w:tcW w:w="1338" w:type="dxa"/>
            <w:vAlign w:val="center"/>
          </w:tcPr>
          <w:p w14:paraId="572C0A47" w14:textId="77777777" w:rsidR="00420F07" w:rsidRPr="0054222F" w:rsidRDefault="00420F07" w:rsidP="00CD3D9A">
            <w:pPr>
              <w:pStyle w:val="TableBody0"/>
              <w:spacing w:before="40" w:after="40" w:line="288" w:lineRule="auto"/>
              <w:jc w:val="right"/>
            </w:pPr>
            <w:r w:rsidRPr="00F976C5">
              <w:t>$6,450</w:t>
            </w:r>
          </w:p>
        </w:tc>
        <w:tc>
          <w:tcPr>
            <w:tcW w:w="1275" w:type="dxa"/>
            <w:vAlign w:val="center"/>
          </w:tcPr>
          <w:p w14:paraId="4F932CE5" w14:textId="77777777" w:rsidR="00420F07" w:rsidRPr="0054222F" w:rsidRDefault="00420F07" w:rsidP="00CD3D9A">
            <w:pPr>
              <w:pStyle w:val="TableBody0"/>
              <w:spacing w:before="40" w:after="40" w:line="288" w:lineRule="auto"/>
              <w:jc w:val="right"/>
            </w:pPr>
            <w:r w:rsidRPr="00F976C5">
              <w:t>0</w:t>
            </w:r>
          </w:p>
        </w:tc>
        <w:tc>
          <w:tcPr>
            <w:tcW w:w="1242" w:type="dxa"/>
            <w:vAlign w:val="center"/>
          </w:tcPr>
          <w:p w14:paraId="5C2E24A2" w14:textId="77777777" w:rsidR="00420F07" w:rsidRPr="0054222F" w:rsidRDefault="00420F07" w:rsidP="00CD3D9A">
            <w:pPr>
              <w:pStyle w:val="TableBody0"/>
              <w:spacing w:before="40" w:after="40" w:line="288" w:lineRule="auto"/>
              <w:jc w:val="right"/>
            </w:pPr>
            <w:r w:rsidRPr="00F976C5">
              <w:t>$13,211</w:t>
            </w:r>
          </w:p>
        </w:tc>
        <w:tc>
          <w:tcPr>
            <w:tcW w:w="1757" w:type="dxa"/>
            <w:vAlign w:val="center"/>
          </w:tcPr>
          <w:p w14:paraId="714033B7" w14:textId="77777777" w:rsidR="00420F07" w:rsidRPr="0054222F" w:rsidRDefault="00420F07" w:rsidP="00CD3D9A">
            <w:pPr>
              <w:pStyle w:val="TableBody0"/>
              <w:spacing w:before="40" w:after="40" w:line="288" w:lineRule="auto"/>
              <w:jc w:val="right"/>
            </w:pPr>
            <w:r w:rsidRPr="00F976C5">
              <w:t>$307,910</w:t>
            </w:r>
          </w:p>
        </w:tc>
      </w:tr>
      <w:tr w:rsidR="00420F07" w:rsidRPr="0054222F" w14:paraId="5E07D147" w14:textId="77777777" w:rsidTr="00CD3D9A">
        <w:trPr>
          <w:cnfStyle w:val="000000010000" w:firstRow="0" w:lastRow="0" w:firstColumn="0" w:lastColumn="0" w:oddVBand="0" w:evenVBand="0" w:oddHBand="0" w:evenHBand="1" w:firstRowFirstColumn="0" w:firstRowLastColumn="0" w:lastRowFirstColumn="0" w:lastRowLastColumn="0"/>
          <w:trHeight w:val="454"/>
        </w:trPr>
        <w:tc>
          <w:tcPr>
            <w:tcW w:w="2547" w:type="dxa"/>
            <w:vAlign w:val="center"/>
          </w:tcPr>
          <w:p w14:paraId="53A03858" w14:textId="0BFC76F1" w:rsidR="00420F07" w:rsidRPr="0054222F" w:rsidRDefault="00420F07" w:rsidP="00172730">
            <w:pPr>
              <w:pStyle w:val="TableBody0"/>
              <w:spacing w:before="40" w:after="40" w:line="288" w:lineRule="auto"/>
            </w:pPr>
            <w:r w:rsidRPr="005D40C1">
              <w:t>$320,00</w:t>
            </w:r>
            <w:r>
              <w:t>1</w:t>
            </w:r>
            <w:r w:rsidR="00810917">
              <w:t>–</w:t>
            </w:r>
            <w:r w:rsidRPr="005D40C1">
              <w:t>$345,000</w:t>
            </w:r>
          </w:p>
        </w:tc>
        <w:tc>
          <w:tcPr>
            <w:tcW w:w="794" w:type="dxa"/>
            <w:vAlign w:val="center"/>
          </w:tcPr>
          <w:p w14:paraId="449E584B" w14:textId="77777777" w:rsidR="00420F07" w:rsidRPr="0054222F" w:rsidRDefault="00420F07" w:rsidP="00CD3D9A">
            <w:pPr>
              <w:pStyle w:val="TableBody0"/>
              <w:spacing w:before="40" w:after="40" w:line="288" w:lineRule="auto"/>
            </w:pPr>
            <w:r w:rsidRPr="00701C89">
              <w:t>10</w:t>
            </w:r>
          </w:p>
        </w:tc>
        <w:tc>
          <w:tcPr>
            <w:tcW w:w="1474" w:type="dxa"/>
            <w:vAlign w:val="center"/>
          </w:tcPr>
          <w:p w14:paraId="09AE044D" w14:textId="77777777" w:rsidR="00420F07" w:rsidRPr="0054222F" w:rsidRDefault="00420F07" w:rsidP="00CD3D9A">
            <w:pPr>
              <w:pStyle w:val="TableBody0"/>
              <w:spacing w:before="40" w:after="40" w:line="288" w:lineRule="auto"/>
              <w:jc w:val="right"/>
            </w:pPr>
            <w:r w:rsidRPr="00F976C5">
              <w:t>$284,765</w:t>
            </w:r>
          </w:p>
        </w:tc>
        <w:tc>
          <w:tcPr>
            <w:tcW w:w="850" w:type="dxa"/>
            <w:vAlign w:val="center"/>
          </w:tcPr>
          <w:p w14:paraId="73E7A349" w14:textId="77777777" w:rsidR="00420F07" w:rsidRPr="0054222F" w:rsidRDefault="00420F07" w:rsidP="00CD3D9A">
            <w:pPr>
              <w:pStyle w:val="TableBody0"/>
              <w:spacing w:before="40" w:after="40" w:line="288" w:lineRule="auto"/>
              <w:jc w:val="right"/>
            </w:pPr>
            <w:r w:rsidRPr="00F976C5">
              <w:t>0</w:t>
            </w:r>
          </w:p>
        </w:tc>
        <w:tc>
          <w:tcPr>
            <w:tcW w:w="1474" w:type="dxa"/>
            <w:vAlign w:val="center"/>
          </w:tcPr>
          <w:p w14:paraId="187012E5" w14:textId="77777777" w:rsidR="00420F07" w:rsidRPr="0054222F" w:rsidRDefault="00420F07" w:rsidP="00CD3D9A">
            <w:pPr>
              <w:pStyle w:val="TableBody0"/>
              <w:spacing w:before="40" w:after="40" w:line="288" w:lineRule="auto"/>
              <w:jc w:val="right"/>
            </w:pPr>
            <w:r w:rsidRPr="00F976C5">
              <w:t>$73</w:t>
            </w:r>
          </w:p>
        </w:tc>
        <w:tc>
          <w:tcPr>
            <w:tcW w:w="1474" w:type="dxa"/>
            <w:vAlign w:val="center"/>
          </w:tcPr>
          <w:p w14:paraId="1E9199E9" w14:textId="77777777" w:rsidR="00420F07" w:rsidRPr="0054222F" w:rsidRDefault="00420F07" w:rsidP="00CD3D9A">
            <w:pPr>
              <w:pStyle w:val="TableBody0"/>
              <w:spacing w:before="40" w:after="40" w:line="288" w:lineRule="auto"/>
              <w:jc w:val="right"/>
            </w:pPr>
            <w:r w:rsidRPr="00F976C5">
              <w:t>$39,129</w:t>
            </w:r>
          </w:p>
        </w:tc>
        <w:tc>
          <w:tcPr>
            <w:tcW w:w="1338" w:type="dxa"/>
            <w:vAlign w:val="center"/>
          </w:tcPr>
          <w:p w14:paraId="52CA3465" w14:textId="77777777" w:rsidR="00420F07" w:rsidRPr="0054222F" w:rsidRDefault="00420F07" w:rsidP="00CD3D9A">
            <w:pPr>
              <w:pStyle w:val="TableBody0"/>
              <w:spacing w:before="40" w:after="40" w:line="288" w:lineRule="auto"/>
              <w:jc w:val="right"/>
            </w:pPr>
            <w:r w:rsidRPr="00F976C5">
              <w:t>$7,407</w:t>
            </w:r>
          </w:p>
        </w:tc>
        <w:tc>
          <w:tcPr>
            <w:tcW w:w="1275" w:type="dxa"/>
            <w:vAlign w:val="center"/>
          </w:tcPr>
          <w:p w14:paraId="3248DBBC" w14:textId="77777777" w:rsidR="00420F07" w:rsidRPr="0054222F" w:rsidRDefault="00420F07" w:rsidP="00CD3D9A">
            <w:pPr>
              <w:pStyle w:val="TableBody0"/>
              <w:spacing w:before="40" w:after="40" w:line="288" w:lineRule="auto"/>
              <w:jc w:val="right"/>
            </w:pPr>
            <w:r w:rsidRPr="00F976C5">
              <w:t>0</w:t>
            </w:r>
          </w:p>
        </w:tc>
        <w:tc>
          <w:tcPr>
            <w:tcW w:w="1242" w:type="dxa"/>
            <w:vAlign w:val="center"/>
          </w:tcPr>
          <w:p w14:paraId="30229B5B" w14:textId="77777777" w:rsidR="00420F07" w:rsidRPr="0054222F" w:rsidRDefault="00420F07" w:rsidP="00CD3D9A">
            <w:pPr>
              <w:pStyle w:val="TableBody0"/>
              <w:spacing w:before="40" w:after="40" w:line="288" w:lineRule="auto"/>
              <w:jc w:val="right"/>
            </w:pPr>
            <w:r w:rsidRPr="00F976C5">
              <w:t>0</w:t>
            </w:r>
          </w:p>
        </w:tc>
        <w:tc>
          <w:tcPr>
            <w:tcW w:w="1757" w:type="dxa"/>
            <w:vAlign w:val="center"/>
          </w:tcPr>
          <w:p w14:paraId="3AAEC6A7" w14:textId="77777777" w:rsidR="00420F07" w:rsidRPr="0054222F" w:rsidRDefault="00420F07" w:rsidP="00CD3D9A">
            <w:pPr>
              <w:pStyle w:val="TableBody0"/>
              <w:spacing w:before="40" w:after="40" w:line="288" w:lineRule="auto"/>
              <w:jc w:val="right"/>
            </w:pPr>
            <w:r w:rsidRPr="00F976C5">
              <w:t>$331,374</w:t>
            </w:r>
          </w:p>
        </w:tc>
      </w:tr>
      <w:tr w:rsidR="00420F07" w:rsidRPr="0054222F" w14:paraId="66811549" w14:textId="77777777" w:rsidTr="00CD3D9A">
        <w:trPr>
          <w:cnfStyle w:val="000000100000" w:firstRow="0" w:lastRow="0" w:firstColumn="0" w:lastColumn="0" w:oddVBand="0" w:evenVBand="0" w:oddHBand="1" w:evenHBand="0" w:firstRowFirstColumn="0" w:firstRowLastColumn="0" w:lastRowFirstColumn="0" w:lastRowLastColumn="0"/>
          <w:trHeight w:val="454"/>
        </w:trPr>
        <w:tc>
          <w:tcPr>
            <w:tcW w:w="2547" w:type="dxa"/>
            <w:vAlign w:val="center"/>
          </w:tcPr>
          <w:p w14:paraId="6CF47E1C" w14:textId="77777777" w:rsidR="00420F07" w:rsidRPr="005D40C1" w:rsidRDefault="00420F07" w:rsidP="00172730">
            <w:pPr>
              <w:pStyle w:val="TableBody0"/>
              <w:spacing w:before="40" w:after="40" w:line="288" w:lineRule="auto"/>
            </w:pPr>
            <w:r w:rsidRPr="00AE46FC">
              <w:t>$345,001</w:t>
            </w:r>
            <w:r>
              <w:t>–</w:t>
            </w:r>
            <w:r w:rsidRPr="00AE46FC">
              <w:t>$370,000</w:t>
            </w:r>
          </w:p>
        </w:tc>
        <w:tc>
          <w:tcPr>
            <w:tcW w:w="794" w:type="dxa"/>
            <w:vAlign w:val="center"/>
          </w:tcPr>
          <w:p w14:paraId="7A96F8E5" w14:textId="77777777" w:rsidR="00420F07" w:rsidRPr="0054222F" w:rsidRDefault="00420F07" w:rsidP="00CD3D9A">
            <w:pPr>
              <w:pStyle w:val="TableBody0"/>
              <w:spacing w:before="40" w:after="40" w:line="288" w:lineRule="auto"/>
            </w:pPr>
            <w:r w:rsidRPr="00701C89">
              <w:t>10</w:t>
            </w:r>
          </w:p>
        </w:tc>
        <w:tc>
          <w:tcPr>
            <w:tcW w:w="1474" w:type="dxa"/>
            <w:vAlign w:val="center"/>
          </w:tcPr>
          <w:p w14:paraId="0CD76BCB" w14:textId="77777777" w:rsidR="00420F07" w:rsidRPr="0054222F" w:rsidRDefault="00420F07" w:rsidP="00CD3D9A">
            <w:pPr>
              <w:pStyle w:val="TableBody0"/>
              <w:spacing w:before="40" w:after="40" w:line="288" w:lineRule="auto"/>
              <w:jc w:val="right"/>
            </w:pPr>
            <w:r w:rsidRPr="00F976C5">
              <w:t>$299,602</w:t>
            </w:r>
          </w:p>
        </w:tc>
        <w:tc>
          <w:tcPr>
            <w:tcW w:w="850" w:type="dxa"/>
            <w:vAlign w:val="center"/>
          </w:tcPr>
          <w:p w14:paraId="3F4F154D" w14:textId="77777777" w:rsidR="00420F07" w:rsidRPr="0054222F" w:rsidRDefault="00420F07" w:rsidP="00CD3D9A">
            <w:pPr>
              <w:pStyle w:val="TableBody0"/>
              <w:spacing w:before="40" w:after="40" w:line="288" w:lineRule="auto"/>
              <w:jc w:val="right"/>
            </w:pPr>
            <w:r w:rsidRPr="00F976C5">
              <w:t>0</w:t>
            </w:r>
          </w:p>
        </w:tc>
        <w:tc>
          <w:tcPr>
            <w:tcW w:w="1474" w:type="dxa"/>
            <w:vAlign w:val="center"/>
          </w:tcPr>
          <w:p w14:paraId="57F0FA8C" w14:textId="77777777" w:rsidR="00420F07" w:rsidRPr="0054222F" w:rsidRDefault="00420F07" w:rsidP="00CD3D9A">
            <w:pPr>
              <w:pStyle w:val="TableBody0"/>
              <w:spacing w:before="40" w:after="40" w:line="288" w:lineRule="auto"/>
              <w:jc w:val="right"/>
            </w:pPr>
            <w:r w:rsidRPr="00F976C5">
              <w:t>$1,875</w:t>
            </w:r>
          </w:p>
        </w:tc>
        <w:tc>
          <w:tcPr>
            <w:tcW w:w="1474" w:type="dxa"/>
            <w:vAlign w:val="center"/>
          </w:tcPr>
          <w:p w14:paraId="52C8A2F3" w14:textId="77777777" w:rsidR="00420F07" w:rsidRPr="0054222F" w:rsidRDefault="00420F07" w:rsidP="00CD3D9A">
            <w:pPr>
              <w:pStyle w:val="TableBody0"/>
              <w:spacing w:before="40" w:after="40" w:line="288" w:lineRule="auto"/>
              <w:jc w:val="right"/>
            </w:pPr>
            <w:r w:rsidRPr="00F976C5">
              <w:t>$48,706</w:t>
            </w:r>
          </w:p>
        </w:tc>
        <w:tc>
          <w:tcPr>
            <w:tcW w:w="1338" w:type="dxa"/>
            <w:vAlign w:val="center"/>
          </w:tcPr>
          <w:p w14:paraId="7620392A" w14:textId="77777777" w:rsidR="00420F07" w:rsidRPr="0054222F" w:rsidRDefault="00420F07" w:rsidP="00CD3D9A">
            <w:pPr>
              <w:pStyle w:val="TableBody0"/>
              <w:spacing w:before="40" w:after="40" w:line="288" w:lineRule="auto"/>
              <w:jc w:val="right"/>
            </w:pPr>
            <w:r w:rsidRPr="00F976C5">
              <w:t>$7,768</w:t>
            </w:r>
          </w:p>
        </w:tc>
        <w:tc>
          <w:tcPr>
            <w:tcW w:w="1275" w:type="dxa"/>
            <w:vAlign w:val="center"/>
          </w:tcPr>
          <w:p w14:paraId="4D3DE7E2" w14:textId="77777777" w:rsidR="00420F07" w:rsidRPr="0054222F" w:rsidRDefault="00420F07" w:rsidP="00CD3D9A">
            <w:pPr>
              <w:pStyle w:val="TableBody0"/>
              <w:spacing w:before="40" w:after="40" w:line="288" w:lineRule="auto"/>
              <w:jc w:val="right"/>
            </w:pPr>
            <w:r w:rsidRPr="00F976C5">
              <w:t>0</w:t>
            </w:r>
          </w:p>
        </w:tc>
        <w:tc>
          <w:tcPr>
            <w:tcW w:w="1242" w:type="dxa"/>
            <w:vAlign w:val="center"/>
          </w:tcPr>
          <w:p w14:paraId="5AF5AB08" w14:textId="77777777" w:rsidR="00420F07" w:rsidRPr="0054222F" w:rsidRDefault="00420F07" w:rsidP="00CD3D9A">
            <w:pPr>
              <w:pStyle w:val="TableBody0"/>
              <w:spacing w:before="40" w:after="40" w:line="288" w:lineRule="auto"/>
              <w:jc w:val="right"/>
            </w:pPr>
            <w:r w:rsidRPr="00F976C5">
              <w:t>0</w:t>
            </w:r>
          </w:p>
        </w:tc>
        <w:tc>
          <w:tcPr>
            <w:tcW w:w="1757" w:type="dxa"/>
            <w:vAlign w:val="center"/>
          </w:tcPr>
          <w:p w14:paraId="1DAF3B42" w14:textId="77777777" w:rsidR="00420F07" w:rsidRPr="0054222F" w:rsidRDefault="00420F07" w:rsidP="00CD3D9A">
            <w:pPr>
              <w:pStyle w:val="TableBody0"/>
              <w:spacing w:before="40" w:after="40" w:line="288" w:lineRule="auto"/>
              <w:jc w:val="right"/>
            </w:pPr>
            <w:r w:rsidRPr="00F976C5">
              <w:t>$357,951</w:t>
            </w:r>
          </w:p>
        </w:tc>
      </w:tr>
      <w:tr w:rsidR="00420F07" w:rsidRPr="0054222F" w14:paraId="7DBD493F" w14:textId="77777777" w:rsidTr="00CD3D9A">
        <w:trPr>
          <w:cnfStyle w:val="000000010000" w:firstRow="0" w:lastRow="0" w:firstColumn="0" w:lastColumn="0" w:oddVBand="0" w:evenVBand="0" w:oddHBand="0" w:evenHBand="1" w:firstRowFirstColumn="0" w:firstRowLastColumn="0" w:lastRowFirstColumn="0" w:lastRowLastColumn="0"/>
          <w:trHeight w:val="454"/>
        </w:trPr>
        <w:tc>
          <w:tcPr>
            <w:tcW w:w="2547" w:type="dxa"/>
            <w:vAlign w:val="center"/>
          </w:tcPr>
          <w:p w14:paraId="011A8836" w14:textId="77777777" w:rsidR="00420F07" w:rsidRPr="005D40C1" w:rsidRDefault="00420F07" w:rsidP="00172730">
            <w:pPr>
              <w:pStyle w:val="TableBody0"/>
              <w:spacing w:before="40" w:after="40" w:line="288" w:lineRule="auto"/>
            </w:pPr>
            <w:r w:rsidRPr="00E33D90">
              <w:t>$370,001</w:t>
            </w:r>
            <w:r>
              <w:t>–</w:t>
            </w:r>
            <w:r w:rsidRPr="00E33D90">
              <w:t>$395,000</w:t>
            </w:r>
          </w:p>
        </w:tc>
        <w:tc>
          <w:tcPr>
            <w:tcW w:w="794" w:type="dxa"/>
            <w:vAlign w:val="center"/>
          </w:tcPr>
          <w:p w14:paraId="71E8284D" w14:textId="77777777" w:rsidR="00420F07" w:rsidRPr="0054222F" w:rsidRDefault="00420F07" w:rsidP="00CD3D9A">
            <w:pPr>
              <w:pStyle w:val="TableBody0"/>
              <w:spacing w:before="40" w:after="40" w:line="288" w:lineRule="auto"/>
            </w:pPr>
            <w:r w:rsidRPr="00701C89">
              <w:t>6</w:t>
            </w:r>
          </w:p>
        </w:tc>
        <w:tc>
          <w:tcPr>
            <w:tcW w:w="1474" w:type="dxa"/>
            <w:vAlign w:val="center"/>
          </w:tcPr>
          <w:p w14:paraId="725F0403" w14:textId="77777777" w:rsidR="00420F07" w:rsidRPr="0054222F" w:rsidRDefault="00420F07" w:rsidP="00CD3D9A">
            <w:pPr>
              <w:pStyle w:val="TableBody0"/>
              <w:spacing w:before="40" w:after="40" w:line="288" w:lineRule="auto"/>
              <w:jc w:val="right"/>
            </w:pPr>
            <w:r w:rsidRPr="00F976C5">
              <w:t>$286,428</w:t>
            </w:r>
          </w:p>
        </w:tc>
        <w:tc>
          <w:tcPr>
            <w:tcW w:w="850" w:type="dxa"/>
            <w:vAlign w:val="center"/>
          </w:tcPr>
          <w:p w14:paraId="4229DE00" w14:textId="77777777" w:rsidR="00420F07" w:rsidRPr="0054222F" w:rsidRDefault="00420F07" w:rsidP="00CD3D9A">
            <w:pPr>
              <w:pStyle w:val="TableBody0"/>
              <w:spacing w:before="40" w:after="40" w:line="288" w:lineRule="auto"/>
              <w:jc w:val="right"/>
            </w:pPr>
            <w:r w:rsidRPr="00F976C5">
              <w:t>0</w:t>
            </w:r>
          </w:p>
        </w:tc>
        <w:tc>
          <w:tcPr>
            <w:tcW w:w="1474" w:type="dxa"/>
            <w:vAlign w:val="center"/>
          </w:tcPr>
          <w:p w14:paraId="5B368A07" w14:textId="77777777" w:rsidR="00420F07" w:rsidRPr="0054222F" w:rsidRDefault="00420F07" w:rsidP="00CD3D9A">
            <w:pPr>
              <w:pStyle w:val="TableBody0"/>
              <w:spacing w:before="40" w:after="40" w:line="288" w:lineRule="auto"/>
              <w:jc w:val="right"/>
            </w:pPr>
            <w:r w:rsidRPr="00F976C5">
              <w:t>$1,063</w:t>
            </w:r>
          </w:p>
        </w:tc>
        <w:tc>
          <w:tcPr>
            <w:tcW w:w="1474" w:type="dxa"/>
            <w:vAlign w:val="center"/>
          </w:tcPr>
          <w:p w14:paraId="565A1B30" w14:textId="77777777" w:rsidR="00420F07" w:rsidRPr="0054222F" w:rsidRDefault="00420F07" w:rsidP="00CD3D9A">
            <w:pPr>
              <w:pStyle w:val="TableBody0"/>
              <w:spacing w:before="40" w:after="40" w:line="288" w:lineRule="auto"/>
              <w:jc w:val="right"/>
            </w:pPr>
            <w:r w:rsidRPr="00F976C5">
              <w:t>$41,098</w:t>
            </w:r>
          </w:p>
        </w:tc>
        <w:tc>
          <w:tcPr>
            <w:tcW w:w="1338" w:type="dxa"/>
            <w:vAlign w:val="center"/>
          </w:tcPr>
          <w:p w14:paraId="59D1E8D0" w14:textId="77777777" w:rsidR="00420F07" w:rsidRPr="0054222F" w:rsidRDefault="00420F07" w:rsidP="00CD3D9A">
            <w:pPr>
              <w:pStyle w:val="TableBody0"/>
              <w:spacing w:before="40" w:after="40" w:line="288" w:lineRule="auto"/>
              <w:jc w:val="right"/>
            </w:pPr>
            <w:r w:rsidRPr="00F976C5">
              <w:t>$7,321</w:t>
            </w:r>
          </w:p>
        </w:tc>
        <w:tc>
          <w:tcPr>
            <w:tcW w:w="1275" w:type="dxa"/>
            <w:vAlign w:val="center"/>
          </w:tcPr>
          <w:p w14:paraId="64DD4E60" w14:textId="77777777" w:rsidR="00420F07" w:rsidRPr="0054222F" w:rsidRDefault="00420F07" w:rsidP="00CD3D9A">
            <w:pPr>
              <w:pStyle w:val="TableBody0"/>
              <w:spacing w:before="40" w:after="40" w:line="288" w:lineRule="auto"/>
              <w:jc w:val="right"/>
            </w:pPr>
            <w:r w:rsidRPr="00F976C5">
              <w:t>0</w:t>
            </w:r>
          </w:p>
        </w:tc>
        <w:tc>
          <w:tcPr>
            <w:tcW w:w="1242" w:type="dxa"/>
            <w:vAlign w:val="center"/>
          </w:tcPr>
          <w:p w14:paraId="19149869" w14:textId="77777777" w:rsidR="00420F07" w:rsidRPr="0054222F" w:rsidRDefault="00420F07" w:rsidP="00CD3D9A">
            <w:pPr>
              <w:pStyle w:val="TableBody0"/>
              <w:spacing w:before="40" w:after="40" w:line="288" w:lineRule="auto"/>
              <w:jc w:val="right"/>
            </w:pPr>
            <w:r w:rsidRPr="00F976C5">
              <w:t>$48,412</w:t>
            </w:r>
          </w:p>
        </w:tc>
        <w:tc>
          <w:tcPr>
            <w:tcW w:w="1757" w:type="dxa"/>
            <w:vAlign w:val="center"/>
          </w:tcPr>
          <w:p w14:paraId="4627BE53" w14:textId="77777777" w:rsidR="00420F07" w:rsidRPr="0054222F" w:rsidRDefault="00420F07" w:rsidP="00CD3D9A">
            <w:pPr>
              <w:pStyle w:val="TableBody0"/>
              <w:spacing w:before="40" w:after="40" w:line="288" w:lineRule="auto"/>
              <w:jc w:val="right"/>
            </w:pPr>
            <w:r w:rsidRPr="00F976C5">
              <w:t>$384,322</w:t>
            </w:r>
          </w:p>
        </w:tc>
      </w:tr>
      <w:tr w:rsidR="00420F07" w:rsidRPr="0054222F" w14:paraId="1716E6EA" w14:textId="77777777" w:rsidTr="00CD3D9A">
        <w:trPr>
          <w:cnfStyle w:val="000000100000" w:firstRow="0" w:lastRow="0" w:firstColumn="0" w:lastColumn="0" w:oddVBand="0" w:evenVBand="0" w:oddHBand="1" w:evenHBand="0" w:firstRowFirstColumn="0" w:firstRowLastColumn="0" w:lastRowFirstColumn="0" w:lastRowLastColumn="0"/>
          <w:trHeight w:val="454"/>
        </w:trPr>
        <w:tc>
          <w:tcPr>
            <w:tcW w:w="2547" w:type="dxa"/>
            <w:vAlign w:val="center"/>
          </w:tcPr>
          <w:p w14:paraId="61AFE095" w14:textId="77777777" w:rsidR="00420F07" w:rsidRPr="005D40C1" w:rsidRDefault="00420F07" w:rsidP="00172730">
            <w:pPr>
              <w:pStyle w:val="TableBody0"/>
              <w:spacing w:before="40" w:after="40" w:line="288" w:lineRule="auto"/>
            </w:pPr>
            <w:r w:rsidRPr="000C5E42">
              <w:t>$395,001</w:t>
            </w:r>
            <w:r>
              <w:t>–</w:t>
            </w:r>
            <w:r w:rsidRPr="000C5E42">
              <w:t>$420,000</w:t>
            </w:r>
          </w:p>
        </w:tc>
        <w:tc>
          <w:tcPr>
            <w:tcW w:w="794" w:type="dxa"/>
            <w:vAlign w:val="center"/>
          </w:tcPr>
          <w:p w14:paraId="3347A725" w14:textId="77777777" w:rsidR="00420F07" w:rsidRPr="0054222F" w:rsidRDefault="00420F07" w:rsidP="00CD3D9A">
            <w:pPr>
              <w:pStyle w:val="TableBody0"/>
              <w:spacing w:before="40" w:after="40" w:line="288" w:lineRule="auto"/>
            </w:pPr>
            <w:r w:rsidRPr="00701C89">
              <w:t>3</w:t>
            </w:r>
          </w:p>
        </w:tc>
        <w:tc>
          <w:tcPr>
            <w:tcW w:w="1474" w:type="dxa"/>
            <w:vAlign w:val="center"/>
          </w:tcPr>
          <w:p w14:paraId="5EE4094F" w14:textId="77777777" w:rsidR="00420F07" w:rsidRPr="0054222F" w:rsidRDefault="00420F07" w:rsidP="00CD3D9A">
            <w:pPr>
              <w:pStyle w:val="TableBody0"/>
              <w:spacing w:before="40" w:after="40" w:line="288" w:lineRule="auto"/>
              <w:jc w:val="right"/>
            </w:pPr>
            <w:r w:rsidRPr="00F976C5">
              <w:t>$341,514</w:t>
            </w:r>
          </w:p>
        </w:tc>
        <w:tc>
          <w:tcPr>
            <w:tcW w:w="850" w:type="dxa"/>
            <w:vAlign w:val="center"/>
          </w:tcPr>
          <w:p w14:paraId="6D4617DA" w14:textId="77777777" w:rsidR="00420F07" w:rsidRPr="0054222F" w:rsidRDefault="00420F07" w:rsidP="00CD3D9A">
            <w:pPr>
              <w:pStyle w:val="TableBody0"/>
              <w:spacing w:before="40" w:after="40" w:line="288" w:lineRule="auto"/>
              <w:jc w:val="right"/>
            </w:pPr>
            <w:r w:rsidRPr="00F976C5">
              <w:t>0</w:t>
            </w:r>
          </w:p>
        </w:tc>
        <w:tc>
          <w:tcPr>
            <w:tcW w:w="1474" w:type="dxa"/>
            <w:vAlign w:val="center"/>
          </w:tcPr>
          <w:p w14:paraId="350E0593" w14:textId="77777777" w:rsidR="00420F07" w:rsidRPr="0054222F" w:rsidRDefault="00420F07" w:rsidP="00CD3D9A">
            <w:pPr>
              <w:pStyle w:val="TableBody0"/>
              <w:spacing w:before="40" w:after="40" w:line="288" w:lineRule="auto"/>
              <w:jc w:val="right"/>
            </w:pPr>
            <w:r w:rsidRPr="00F976C5">
              <w:t>0</w:t>
            </w:r>
          </w:p>
        </w:tc>
        <w:tc>
          <w:tcPr>
            <w:tcW w:w="1474" w:type="dxa"/>
            <w:vAlign w:val="center"/>
          </w:tcPr>
          <w:p w14:paraId="75F8AA25" w14:textId="77777777" w:rsidR="00420F07" w:rsidRPr="0054222F" w:rsidRDefault="00420F07" w:rsidP="00CD3D9A">
            <w:pPr>
              <w:pStyle w:val="TableBody0"/>
              <w:spacing w:before="40" w:after="40" w:line="288" w:lineRule="auto"/>
              <w:jc w:val="right"/>
            </w:pPr>
            <w:r w:rsidRPr="00F976C5">
              <w:t>$52,814</w:t>
            </w:r>
          </w:p>
        </w:tc>
        <w:tc>
          <w:tcPr>
            <w:tcW w:w="1338" w:type="dxa"/>
            <w:vAlign w:val="center"/>
          </w:tcPr>
          <w:p w14:paraId="5FA45429" w14:textId="77777777" w:rsidR="00420F07" w:rsidRPr="0054222F" w:rsidRDefault="00420F07" w:rsidP="00CD3D9A">
            <w:pPr>
              <w:pStyle w:val="TableBody0"/>
              <w:spacing w:before="40" w:after="40" w:line="288" w:lineRule="auto"/>
              <w:jc w:val="right"/>
            </w:pPr>
            <w:r w:rsidRPr="00F976C5">
              <w:t>$8,638</w:t>
            </w:r>
          </w:p>
        </w:tc>
        <w:tc>
          <w:tcPr>
            <w:tcW w:w="1275" w:type="dxa"/>
            <w:vAlign w:val="center"/>
          </w:tcPr>
          <w:p w14:paraId="3E3D9983" w14:textId="77777777" w:rsidR="00420F07" w:rsidRPr="0054222F" w:rsidRDefault="00420F07" w:rsidP="00CD3D9A">
            <w:pPr>
              <w:pStyle w:val="TableBody0"/>
              <w:spacing w:before="40" w:after="40" w:line="288" w:lineRule="auto"/>
              <w:jc w:val="right"/>
            </w:pPr>
            <w:r w:rsidRPr="00F976C5">
              <w:t>0</w:t>
            </w:r>
          </w:p>
        </w:tc>
        <w:tc>
          <w:tcPr>
            <w:tcW w:w="1242" w:type="dxa"/>
            <w:vAlign w:val="center"/>
          </w:tcPr>
          <w:p w14:paraId="5C3710A7" w14:textId="77777777" w:rsidR="00420F07" w:rsidRPr="0054222F" w:rsidRDefault="00420F07" w:rsidP="00CD3D9A">
            <w:pPr>
              <w:pStyle w:val="TableBody0"/>
              <w:spacing w:before="40" w:after="40" w:line="288" w:lineRule="auto"/>
              <w:jc w:val="right"/>
            </w:pPr>
            <w:r w:rsidRPr="00F976C5">
              <w:t>0</w:t>
            </w:r>
          </w:p>
        </w:tc>
        <w:tc>
          <w:tcPr>
            <w:tcW w:w="1757" w:type="dxa"/>
            <w:vAlign w:val="center"/>
          </w:tcPr>
          <w:p w14:paraId="4786BD3F" w14:textId="77777777" w:rsidR="00420F07" w:rsidRPr="0054222F" w:rsidRDefault="00420F07" w:rsidP="00CD3D9A">
            <w:pPr>
              <w:pStyle w:val="TableBody0"/>
              <w:spacing w:before="40" w:after="40" w:line="288" w:lineRule="auto"/>
              <w:jc w:val="right"/>
            </w:pPr>
            <w:r w:rsidRPr="00F976C5">
              <w:t>$402,966</w:t>
            </w:r>
          </w:p>
        </w:tc>
      </w:tr>
      <w:tr w:rsidR="00420F07" w:rsidRPr="0054222F" w14:paraId="25FB29FC" w14:textId="77777777" w:rsidTr="00CD3D9A">
        <w:trPr>
          <w:cnfStyle w:val="000000010000" w:firstRow="0" w:lastRow="0" w:firstColumn="0" w:lastColumn="0" w:oddVBand="0" w:evenVBand="0" w:oddHBand="0" w:evenHBand="1" w:firstRowFirstColumn="0" w:firstRowLastColumn="0" w:lastRowFirstColumn="0" w:lastRowLastColumn="0"/>
          <w:trHeight w:val="454"/>
        </w:trPr>
        <w:tc>
          <w:tcPr>
            <w:tcW w:w="2547" w:type="dxa"/>
            <w:vAlign w:val="center"/>
          </w:tcPr>
          <w:p w14:paraId="64A56E5B" w14:textId="77777777" w:rsidR="00420F07" w:rsidRPr="005D40C1" w:rsidRDefault="00420F07" w:rsidP="00172730">
            <w:pPr>
              <w:pStyle w:val="TableBody0"/>
              <w:spacing w:before="40" w:after="40" w:line="288" w:lineRule="auto"/>
            </w:pPr>
            <w:r w:rsidRPr="00FA6124">
              <w:t>$445,001</w:t>
            </w:r>
            <w:r>
              <w:t>–</w:t>
            </w:r>
            <w:r w:rsidRPr="00FA6124">
              <w:t>$470,000</w:t>
            </w:r>
          </w:p>
        </w:tc>
        <w:tc>
          <w:tcPr>
            <w:tcW w:w="794" w:type="dxa"/>
            <w:vAlign w:val="center"/>
          </w:tcPr>
          <w:p w14:paraId="3987809C" w14:textId="77777777" w:rsidR="00420F07" w:rsidRPr="0054222F" w:rsidRDefault="00420F07" w:rsidP="00CD3D9A">
            <w:pPr>
              <w:pStyle w:val="TableBody0"/>
              <w:spacing w:before="40" w:after="40" w:line="288" w:lineRule="auto"/>
            </w:pPr>
            <w:r w:rsidRPr="00701C89">
              <w:t>1</w:t>
            </w:r>
          </w:p>
        </w:tc>
        <w:tc>
          <w:tcPr>
            <w:tcW w:w="1474" w:type="dxa"/>
            <w:vAlign w:val="center"/>
          </w:tcPr>
          <w:p w14:paraId="1E5DBB90" w14:textId="77777777" w:rsidR="00420F07" w:rsidRPr="0054222F" w:rsidRDefault="00420F07" w:rsidP="00CD3D9A">
            <w:pPr>
              <w:pStyle w:val="TableBody0"/>
              <w:spacing w:before="40" w:after="40" w:line="288" w:lineRule="auto"/>
              <w:jc w:val="right"/>
            </w:pPr>
            <w:r w:rsidRPr="00F976C5">
              <w:t>$233,088</w:t>
            </w:r>
          </w:p>
        </w:tc>
        <w:tc>
          <w:tcPr>
            <w:tcW w:w="850" w:type="dxa"/>
            <w:vAlign w:val="center"/>
          </w:tcPr>
          <w:p w14:paraId="0CF14374" w14:textId="77777777" w:rsidR="00420F07" w:rsidRPr="0054222F" w:rsidRDefault="00420F07" w:rsidP="00CD3D9A">
            <w:pPr>
              <w:pStyle w:val="TableBody0"/>
              <w:spacing w:before="40" w:after="40" w:line="288" w:lineRule="auto"/>
              <w:jc w:val="right"/>
            </w:pPr>
            <w:r w:rsidRPr="00F976C5">
              <w:t>0</w:t>
            </w:r>
          </w:p>
        </w:tc>
        <w:tc>
          <w:tcPr>
            <w:tcW w:w="1474" w:type="dxa"/>
            <w:vAlign w:val="center"/>
          </w:tcPr>
          <w:p w14:paraId="1EB57F33" w14:textId="77777777" w:rsidR="00420F07" w:rsidRPr="0054222F" w:rsidRDefault="00420F07" w:rsidP="00CD3D9A">
            <w:pPr>
              <w:pStyle w:val="TableBody0"/>
              <w:spacing w:before="40" w:after="40" w:line="288" w:lineRule="auto"/>
              <w:jc w:val="right"/>
            </w:pPr>
            <w:r w:rsidRPr="00F976C5">
              <w:t>$881</w:t>
            </w:r>
          </w:p>
        </w:tc>
        <w:tc>
          <w:tcPr>
            <w:tcW w:w="1474" w:type="dxa"/>
            <w:vAlign w:val="center"/>
          </w:tcPr>
          <w:p w14:paraId="33DD9B00" w14:textId="77777777" w:rsidR="00420F07" w:rsidRPr="0054222F" w:rsidRDefault="00420F07" w:rsidP="00CD3D9A">
            <w:pPr>
              <w:pStyle w:val="TableBody0"/>
              <w:spacing w:before="40" w:after="40" w:line="288" w:lineRule="auto"/>
              <w:jc w:val="right"/>
            </w:pPr>
            <w:r w:rsidRPr="00F976C5">
              <w:t>$27,401</w:t>
            </w:r>
          </w:p>
        </w:tc>
        <w:tc>
          <w:tcPr>
            <w:tcW w:w="1338" w:type="dxa"/>
            <w:vAlign w:val="center"/>
          </w:tcPr>
          <w:p w14:paraId="57900FD0" w14:textId="77777777" w:rsidR="00420F07" w:rsidRPr="0054222F" w:rsidRDefault="00420F07" w:rsidP="00CD3D9A">
            <w:pPr>
              <w:pStyle w:val="TableBody0"/>
              <w:spacing w:before="40" w:after="40" w:line="288" w:lineRule="auto"/>
              <w:jc w:val="right"/>
            </w:pPr>
            <w:r w:rsidRPr="00F976C5">
              <w:t>$5,871</w:t>
            </w:r>
          </w:p>
        </w:tc>
        <w:tc>
          <w:tcPr>
            <w:tcW w:w="1275" w:type="dxa"/>
            <w:vAlign w:val="center"/>
          </w:tcPr>
          <w:p w14:paraId="4CBB7CF9" w14:textId="77777777" w:rsidR="00420F07" w:rsidRPr="0054222F" w:rsidRDefault="00420F07" w:rsidP="00CD3D9A">
            <w:pPr>
              <w:pStyle w:val="TableBody0"/>
              <w:spacing w:before="40" w:after="40" w:line="288" w:lineRule="auto"/>
              <w:jc w:val="right"/>
            </w:pPr>
            <w:r w:rsidRPr="00F976C5">
              <w:t>0</w:t>
            </w:r>
          </w:p>
        </w:tc>
        <w:tc>
          <w:tcPr>
            <w:tcW w:w="1242" w:type="dxa"/>
            <w:vAlign w:val="center"/>
          </w:tcPr>
          <w:p w14:paraId="4FB63133" w14:textId="77777777" w:rsidR="00420F07" w:rsidRPr="0054222F" w:rsidRDefault="00420F07" w:rsidP="00CD3D9A">
            <w:pPr>
              <w:pStyle w:val="TableBody0"/>
              <w:spacing w:before="40" w:after="40" w:line="288" w:lineRule="auto"/>
              <w:jc w:val="right"/>
            </w:pPr>
            <w:r w:rsidRPr="00F976C5">
              <w:t>$194,828</w:t>
            </w:r>
          </w:p>
        </w:tc>
        <w:tc>
          <w:tcPr>
            <w:tcW w:w="1757" w:type="dxa"/>
            <w:vAlign w:val="center"/>
          </w:tcPr>
          <w:p w14:paraId="1B8A5C14" w14:textId="77777777" w:rsidR="00420F07" w:rsidRPr="0054222F" w:rsidRDefault="00420F07" w:rsidP="00CD3D9A">
            <w:pPr>
              <w:pStyle w:val="TableBody0"/>
              <w:spacing w:before="40" w:after="40" w:line="288" w:lineRule="auto"/>
              <w:jc w:val="right"/>
            </w:pPr>
            <w:r w:rsidRPr="00F976C5">
              <w:t>$462,069</w:t>
            </w:r>
          </w:p>
        </w:tc>
      </w:tr>
      <w:tr w:rsidR="00420F07" w:rsidRPr="0054222F" w14:paraId="5FC25394" w14:textId="77777777" w:rsidTr="00CD3D9A">
        <w:trPr>
          <w:cnfStyle w:val="000000100000" w:firstRow="0" w:lastRow="0" w:firstColumn="0" w:lastColumn="0" w:oddVBand="0" w:evenVBand="0" w:oddHBand="1" w:evenHBand="0" w:firstRowFirstColumn="0" w:firstRowLastColumn="0" w:lastRowFirstColumn="0" w:lastRowLastColumn="0"/>
          <w:trHeight w:val="454"/>
        </w:trPr>
        <w:tc>
          <w:tcPr>
            <w:tcW w:w="2547" w:type="dxa"/>
            <w:vAlign w:val="center"/>
          </w:tcPr>
          <w:p w14:paraId="2F865D4C" w14:textId="77777777" w:rsidR="00420F07" w:rsidRPr="005D40C1" w:rsidRDefault="00420F07" w:rsidP="00172730">
            <w:pPr>
              <w:pStyle w:val="TableBody0"/>
              <w:spacing w:before="40" w:after="40" w:line="288" w:lineRule="auto"/>
            </w:pPr>
            <w:r w:rsidRPr="00417098">
              <w:t>$470,001</w:t>
            </w:r>
            <w:r>
              <w:t>–</w:t>
            </w:r>
            <w:r w:rsidRPr="00417098">
              <w:t>$495,000</w:t>
            </w:r>
          </w:p>
        </w:tc>
        <w:tc>
          <w:tcPr>
            <w:tcW w:w="794" w:type="dxa"/>
            <w:vAlign w:val="center"/>
          </w:tcPr>
          <w:p w14:paraId="50B601A7" w14:textId="77777777" w:rsidR="00420F07" w:rsidRPr="0054222F" w:rsidRDefault="00420F07" w:rsidP="00CD3D9A">
            <w:pPr>
              <w:pStyle w:val="TableBody0"/>
              <w:spacing w:before="40" w:after="40" w:line="288" w:lineRule="auto"/>
            </w:pPr>
            <w:r w:rsidRPr="00701C89">
              <w:t>1</w:t>
            </w:r>
          </w:p>
        </w:tc>
        <w:tc>
          <w:tcPr>
            <w:tcW w:w="1474" w:type="dxa"/>
            <w:vAlign w:val="center"/>
          </w:tcPr>
          <w:p w14:paraId="716A43B9" w14:textId="77777777" w:rsidR="00420F07" w:rsidRPr="0054222F" w:rsidRDefault="00420F07" w:rsidP="00CD3D9A">
            <w:pPr>
              <w:pStyle w:val="TableBody0"/>
              <w:spacing w:before="40" w:after="40" w:line="288" w:lineRule="auto"/>
              <w:jc w:val="right"/>
            </w:pPr>
            <w:r w:rsidRPr="00F976C5">
              <w:t>$201,598</w:t>
            </w:r>
          </w:p>
        </w:tc>
        <w:tc>
          <w:tcPr>
            <w:tcW w:w="850" w:type="dxa"/>
            <w:vAlign w:val="center"/>
          </w:tcPr>
          <w:p w14:paraId="14B50B2B" w14:textId="77777777" w:rsidR="00420F07" w:rsidRPr="0054222F" w:rsidRDefault="00420F07" w:rsidP="00CD3D9A">
            <w:pPr>
              <w:pStyle w:val="TableBody0"/>
              <w:spacing w:before="40" w:after="40" w:line="288" w:lineRule="auto"/>
              <w:jc w:val="right"/>
            </w:pPr>
            <w:r w:rsidRPr="00F976C5">
              <w:t>0</w:t>
            </w:r>
          </w:p>
        </w:tc>
        <w:tc>
          <w:tcPr>
            <w:tcW w:w="1474" w:type="dxa"/>
            <w:vAlign w:val="center"/>
          </w:tcPr>
          <w:p w14:paraId="007A26F3" w14:textId="77777777" w:rsidR="00420F07" w:rsidRPr="0054222F" w:rsidRDefault="00420F07" w:rsidP="00CD3D9A">
            <w:pPr>
              <w:pStyle w:val="TableBody0"/>
              <w:spacing w:before="40" w:after="40" w:line="288" w:lineRule="auto"/>
              <w:jc w:val="right"/>
            </w:pPr>
            <w:r w:rsidRPr="00F976C5">
              <w:t>$9,257</w:t>
            </w:r>
          </w:p>
        </w:tc>
        <w:tc>
          <w:tcPr>
            <w:tcW w:w="1474" w:type="dxa"/>
            <w:vAlign w:val="center"/>
          </w:tcPr>
          <w:p w14:paraId="6934DFD6" w14:textId="77777777" w:rsidR="00420F07" w:rsidRPr="0054222F" w:rsidRDefault="00420F07" w:rsidP="00CD3D9A">
            <w:pPr>
              <w:pStyle w:val="TableBody0"/>
              <w:spacing w:before="40" w:after="40" w:line="288" w:lineRule="auto"/>
              <w:jc w:val="right"/>
            </w:pPr>
            <w:r w:rsidRPr="00F976C5">
              <w:t>$23,131</w:t>
            </w:r>
          </w:p>
        </w:tc>
        <w:tc>
          <w:tcPr>
            <w:tcW w:w="1338" w:type="dxa"/>
            <w:vAlign w:val="center"/>
          </w:tcPr>
          <w:p w14:paraId="2C7C115A" w14:textId="77777777" w:rsidR="00420F07" w:rsidRPr="0054222F" w:rsidRDefault="00420F07" w:rsidP="00CD3D9A">
            <w:pPr>
              <w:pStyle w:val="TableBody0"/>
              <w:spacing w:before="40" w:after="40" w:line="288" w:lineRule="auto"/>
              <w:jc w:val="right"/>
            </w:pPr>
            <w:r w:rsidRPr="00F976C5">
              <w:t>$4,956</w:t>
            </w:r>
          </w:p>
        </w:tc>
        <w:tc>
          <w:tcPr>
            <w:tcW w:w="1275" w:type="dxa"/>
            <w:vAlign w:val="center"/>
          </w:tcPr>
          <w:p w14:paraId="2EB26B42" w14:textId="77777777" w:rsidR="00420F07" w:rsidRPr="0054222F" w:rsidRDefault="00420F07" w:rsidP="00CD3D9A">
            <w:pPr>
              <w:pStyle w:val="TableBody0"/>
              <w:spacing w:before="40" w:after="40" w:line="288" w:lineRule="auto"/>
              <w:jc w:val="right"/>
            </w:pPr>
            <w:r w:rsidRPr="00F976C5">
              <w:t>0</w:t>
            </w:r>
          </w:p>
        </w:tc>
        <w:tc>
          <w:tcPr>
            <w:tcW w:w="1242" w:type="dxa"/>
            <w:vAlign w:val="center"/>
          </w:tcPr>
          <w:p w14:paraId="0DC99A59" w14:textId="77777777" w:rsidR="00420F07" w:rsidRPr="0054222F" w:rsidRDefault="00420F07" w:rsidP="00CD3D9A">
            <w:pPr>
              <w:pStyle w:val="TableBody0"/>
              <w:spacing w:before="40" w:after="40" w:line="288" w:lineRule="auto"/>
              <w:jc w:val="right"/>
            </w:pPr>
            <w:r w:rsidRPr="00F976C5">
              <w:t>$251,081</w:t>
            </w:r>
          </w:p>
        </w:tc>
        <w:tc>
          <w:tcPr>
            <w:tcW w:w="1757" w:type="dxa"/>
            <w:vAlign w:val="center"/>
          </w:tcPr>
          <w:p w14:paraId="0A32F3DE" w14:textId="77777777" w:rsidR="00420F07" w:rsidRPr="0054222F" w:rsidRDefault="00420F07" w:rsidP="00CD3D9A">
            <w:pPr>
              <w:pStyle w:val="TableBody0"/>
              <w:spacing w:before="40" w:after="40" w:line="288" w:lineRule="auto"/>
              <w:jc w:val="right"/>
            </w:pPr>
            <w:r w:rsidRPr="00F976C5">
              <w:t>$490,023</w:t>
            </w:r>
          </w:p>
        </w:tc>
      </w:tr>
    </w:tbl>
    <w:p w14:paraId="0B399E7C" w14:textId="51D79AB7" w:rsidR="00920D7D" w:rsidRDefault="00300BE2" w:rsidP="00300BE2">
      <w:pPr>
        <w:pStyle w:val="Caption"/>
      </w:pPr>
      <w:r>
        <w:t xml:space="preserve">Table </w:t>
      </w:r>
      <w:r w:rsidR="0068179C">
        <w:t>29</w:t>
      </w:r>
      <w:r>
        <w:t xml:space="preserve">. </w:t>
      </w:r>
      <w:r w:rsidR="00920D7D" w:rsidRPr="00DB0250">
        <w:t>Other highly paid staff</w:t>
      </w:r>
    </w:p>
    <w:tbl>
      <w:tblPr>
        <w:tblStyle w:val="NDISTable1"/>
        <w:tblW w:w="14281"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2546"/>
        <w:gridCol w:w="794"/>
        <w:gridCol w:w="1474"/>
        <w:gridCol w:w="1247"/>
        <w:gridCol w:w="1474"/>
        <w:gridCol w:w="1474"/>
        <w:gridCol w:w="1247"/>
        <w:gridCol w:w="1247"/>
        <w:gridCol w:w="1247"/>
        <w:gridCol w:w="1531"/>
      </w:tblGrid>
      <w:tr w:rsidR="00592CEC" w:rsidRPr="00982555" w14:paraId="3DEA5DD4" w14:textId="77777777" w:rsidTr="001173AA">
        <w:trPr>
          <w:cnfStyle w:val="100000000000" w:firstRow="1" w:lastRow="0" w:firstColumn="0" w:lastColumn="0" w:oddVBand="0" w:evenVBand="0" w:oddHBand="0" w:evenHBand="0" w:firstRowFirstColumn="0" w:firstRowLastColumn="0" w:lastRowFirstColumn="0" w:lastRowLastColumn="0"/>
          <w:trHeight w:val="2989"/>
        </w:trPr>
        <w:tc>
          <w:tcPr>
            <w:tcW w:w="2546" w:type="dxa"/>
            <w:textDirection w:val="tbRl"/>
            <w:vAlign w:val="bottom"/>
          </w:tcPr>
          <w:p w14:paraId="784F5095" w14:textId="77777777" w:rsidR="00592CEC" w:rsidRPr="00982555" w:rsidRDefault="00592CEC" w:rsidP="00426313">
            <w:pPr>
              <w:pStyle w:val="TableBody0"/>
              <w:spacing w:line="288" w:lineRule="auto"/>
              <w:ind w:left="113" w:right="113"/>
              <w:rPr>
                <w:b/>
                <w:bCs/>
              </w:rPr>
            </w:pPr>
            <w:r w:rsidRPr="00982555">
              <w:rPr>
                <w:bCs/>
              </w:rPr>
              <w:t>Total remuneration bands</w:t>
            </w:r>
          </w:p>
        </w:tc>
        <w:tc>
          <w:tcPr>
            <w:tcW w:w="794" w:type="dxa"/>
            <w:textDirection w:val="tbRl"/>
            <w:vAlign w:val="bottom"/>
          </w:tcPr>
          <w:p w14:paraId="15D34CF5" w14:textId="19199C59" w:rsidR="00592CEC" w:rsidRPr="00982555" w:rsidRDefault="00592CEC" w:rsidP="00426313">
            <w:pPr>
              <w:pStyle w:val="TableBody0"/>
              <w:spacing w:line="288" w:lineRule="auto"/>
              <w:ind w:left="113" w:right="113"/>
              <w:rPr>
                <w:b/>
                <w:bCs/>
              </w:rPr>
            </w:pPr>
            <w:r w:rsidRPr="00982555">
              <w:rPr>
                <w:bCs/>
              </w:rPr>
              <w:t xml:space="preserve">Number of </w:t>
            </w:r>
            <w:r w:rsidR="002B63BB">
              <w:rPr>
                <w:bCs/>
              </w:rPr>
              <w:t>other highly paid staff</w:t>
            </w:r>
          </w:p>
        </w:tc>
        <w:tc>
          <w:tcPr>
            <w:tcW w:w="1474" w:type="dxa"/>
            <w:textDirection w:val="tbRl"/>
          </w:tcPr>
          <w:p w14:paraId="663C0AF9" w14:textId="77777777" w:rsidR="00592CEC" w:rsidRPr="00982555" w:rsidRDefault="00592CEC" w:rsidP="00172730">
            <w:pPr>
              <w:pStyle w:val="TableBody0"/>
              <w:spacing w:line="288" w:lineRule="auto"/>
              <w:ind w:left="113" w:right="113"/>
              <w:rPr>
                <w:b/>
                <w:bCs/>
              </w:rPr>
            </w:pPr>
            <w:r w:rsidRPr="00982555">
              <w:rPr>
                <w:bCs/>
              </w:rPr>
              <w:t>Short-term benefits – average base salary</w:t>
            </w:r>
          </w:p>
        </w:tc>
        <w:tc>
          <w:tcPr>
            <w:tcW w:w="1247" w:type="dxa"/>
            <w:textDirection w:val="tbRl"/>
          </w:tcPr>
          <w:p w14:paraId="287DE699" w14:textId="77777777" w:rsidR="00592CEC" w:rsidRPr="00982555" w:rsidRDefault="00592CEC" w:rsidP="00172730">
            <w:pPr>
              <w:pStyle w:val="TableBody0"/>
              <w:spacing w:line="288" w:lineRule="auto"/>
              <w:ind w:left="113" w:right="113"/>
              <w:rPr>
                <w:b/>
                <w:bCs/>
              </w:rPr>
            </w:pPr>
            <w:r w:rsidRPr="00982555">
              <w:rPr>
                <w:bCs/>
              </w:rPr>
              <w:t>Short-term benefits – average bonuses</w:t>
            </w:r>
          </w:p>
        </w:tc>
        <w:tc>
          <w:tcPr>
            <w:tcW w:w="1474" w:type="dxa"/>
            <w:textDirection w:val="tbRl"/>
          </w:tcPr>
          <w:p w14:paraId="010443E4" w14:textId="77777777" w:rsidR="00592CEC" w:rsidRPr="00982555" w:rsidRDefault="00592CEC" w:rsidP="00172730">
            <w:pPr>
              <w:pStyle w:val="TableBody0"/>
              <w:spacing w:line="288" w:lineRule="auto"/>
              <w:ind w:left="113" w:right="113"/>
              <w:rPr>
                <w:b/>
                <w:bCs/>
              </w:rPr>
            </w:pPr>
            <w:r w:rsidRPr="00982555">
              <w:rPr>
                <w:bCs/>
              </w:rPr>
              <w:t>Short-term benefits – average other benefits and allowances</w:t>
            </w:r>
          </w:p>
        </w:tc>
        <w:tc>
          <w:tcPr>
            <w:tcW w:w="1474" w:type="dxa"/>
            <w:textDirection w:val="tbRl"/>
          </w:tcPr>
          <w:p w14:paraId="1BAD402C" w14:textId="77777777" w:rsidR="00592CEC" w:rsidRPr="00982555" w:rsidRDefault="00592CEC" w:rsidP="00172730">
            <w:pPr>
              <w:pStyle w:val="TableBody0"/>
              <w:spacing w:line="288" w:lineRule="auto"/>
              <w:ind w:left="113" w:right="113"/>
              <w:rPr>
                <w:b/>
                <w:bCs/>
              </w:rPr>
            </w:pPr>
            <w:r w:rsidRPr="00982555">
              <w:rPr>
                <w:bCs/>
              </w:rPr>
              <w:t>Post-employment benefits – average superannuation contributions</w:t>
            </w:r>
          </w:p>
        </w:tc>
        <w:tc>
          <w:tcPr>
            <w:tcW w:w="1247" w:type="dxa"/>
            <w:textDirection w:val="tbRl"/>
          </w:tcPr>
          <w:p w14:paraId="60839041" w14:textId="77777777" w:rsidR="00592CEC" w:rsidRPr="00982555" w:rsidRDefault="00592CEC" w:rsidP="00172730">
            <w:pPr>
              <w:pStyle w:val="TableBody0"/>
              <w:spacing w:line="288" w:lineRule="auto"/>
              <w:ind w:left="113" w:right="113"/>
              <w:rPr>
                <w:b/>
                <w:bCs/>
              </w:rPr>
            </w:pPr>
            <w:r w:rsidRPr="00982555">
              <w:rPr>
                <w:bCs/>
              </w:rPr>
              <w:t>Other long-term benefits – average long service leave</w:t>
            </w:r>
          </w:p>
        </w:tc>
        <w:tc>
          <w:tcPr>
            <w:tcW w:w="1247" w:type="dxa"/>
            <w:textDirection w:val="tbRl"/>
          </w:tcPr>
          <w:p w14:paraId="324202C4" w14:textId="26CD24F4" w:rsidR="00592CEC" w:rsidRPr="00982555" w:rsidRDefault="00454400" w:rsidP="00172730">
            <w:pPr>
              <w:pStyle w:val="TableBody0"/>
              <w:spacing w:line="288" w:lineRule="auto"/>
              <w:ind w:left="113" w:right="113"/>
              <w:rPr>
                <w:b/>
                <w:bCs/>
              </w:rPr>
            </w:pPr>
            <w:r w:rsidRPr="00982555">
              <w:rPr>
                <w:bCs/>
              </w:rPr>
              <w:t xml:space="preserve">Other long-term benefits </w:t>
            </w:r>
            <w:r>
              <w:rPr>
                <w:bCs/>
              </w:rPr>
              <w:t>– a</w:t>
            </w:r>
            <w:r w:rsidRPr="00982555">
              <w:rPr>
                <w:bCs/>
              </w:rPr>
              <w:t>verage other long-term benefits</w:t>
            </w:r>
          </w:p>
        </w:tc>
        <w:tc>
          <w:tcPr>
            <w:tcW w:w="1247" w:type="dxa"/>
            <w:textDirection w:val="tbRl"/>
          </w:tcPr>
          <w:p w14:paraId="2970DFA3" w14:textId="77777777" w:rsidR="00592CEC" w:rsidRPr="00982555" w:rsidRDefault="00592CEC" w:rsidP="00172730">
            <w:pPr>
              <w:pStyle w:val="TableBody0"/>
              <w:spacing w:line="288" w:lineRule="auto"/>
              <w:ind w:left="113" w:right="113"/>
              <w:rPr>
                <w:b/>
                <w:bCs/>
              </w:rPr>
            </w:pPr>
            <w:r w:rsidRPr="00982555">
              <w:rPr>
                <w:bCs/>
              </w:rPr>
              <w:t>Termination benefits – average termination benefits</w:t>
            </w:r>
          </w:p>
        </w:tc>
        <w:tc>
          <w:tcPr>
            <w:tcW w:w="1531" w:type="dxa"/>
            <w:textDirection w:val="tbRl"/>
          </w:tcPr>
          <w:p w14:paraId="6A404029" w14:textId="77777777" w:rsidR="00592CEC" w:rsidRPr="00982555" w:rsidRDefault="00592CEC" w:rsidP="00172730">
            <w:pPr>
              <w:pStyle w:val="TableBody0"/>
              <w:spacing w:line="288" w:lineRule="auto"/>
              <w:ind w:left="113" w:right="113"/>
              <w:rPr>
                <w:b/>
                <w:bCs/>
              </w:rPr>
            </w:pPr>
            <w:r w:rsidRPr="00982555">
              <w:rPr>
                <w:bCs/>
              </w:rPr>
              <w:t>Total remuneration – average total remuneration</w:t>
            </w:r>
          </w:p>
        </w:tc>
      </w:tr>
      <w:tr w:rsidR="00592CEC" w:rsidRPr="0054222F" w14:paraId="09DFC75E" w14:textId="77777777" w:rsidTr="001173AA">
        <w:trPr>
          <w:cnfStyle w:val="000000100000" w:firstRow="0" w:lastRow="0" w:firstColumn="0" w:lastColumn="0" w:oddVBand="0" w:evenVBand="0" w:oddHBand="1" w:evenHBand="0" w:firstRowFirstColumn="0" w:firstRowLastColumn="0" w:lastRowFirstColumn="0" w:lastRowLastColumn="0"/>
          <w:trHeight w:val="454"/>
        </w:trPr>
        <w:tc>
          <w:tcPr>
            <w:tcW w:w="2546" w:type="dxa"/>
            <w:vAlign w:val="center"/>
          </w:tcPr>
          <w:p w14:paraId="631E6E4C" w14:textId="77777777" w:rsidR="00592CEC" w:rsidRPr="0054222F" w:rsidRDefault="00592CEC" w:rsidP="00172730">
            <w:pPr>
              <w:pStyle w:val="TableBody0"/>
              <w:spacing w:before="40" w:after="40" w:line="288" w:lineRule="auto"/>
            </w:pPr>
            <w:r w:rsidRPr="00685524">
              <w:t>$265,000</w:t>
            </w:r>
            <w:r>
              <w:t>–</w:t>
            </w:r>
            <w:r w:rsidRPr="00685524">
              <w:t>$270,000</w:t>
            </w:r>
          </w:p>
        </w:tc>
        <w:tc>
          <w:tcPr>
            <w:tcW w:w="794" w:type="dxa"/>
          </w:tcPr>
          <w:p w14:paraId="217A431C" w14:textId="77777777" w:rsidR="00592CEC" w:rsidRPr="0054222F" w:rsidRDefault="00592CEC" w:rsidP="00172730">
            <w:pPr>
              <w:pStyle w:val="TableBody0"/>
              <w:spacing w:before="40" w:after="40" w:line="288" w:lineRule="auto"/>
            </w:pPr>
            <w:r w:rsidRPr="00941522">
              <w:t>4</w:t>
            </w:r>
          </w:p>
        </w:tc>
        <w:tc>
          <w:tcPr>
            <w:tcW w:w="1474" w:type="dxa"/>
          </w:tcPr>
          <w:p w14:paraId="6A6D596B" w14:textId="77777777" w:rsidR="00592CEC" w:rsidRPr="0054222F" w:rsidRDefault="00592CEC" w:rsidP="00172730">
            <w:pPr>
              <w:pStyle w:val="TableBody0"/>
              <w:spacing w:before="40" w:after="40" w:line="288" w:lineRule="auto"/>
              <w:jc w:val="right"/>
            </w:pPr>
            <w:r w:rsidRPr="00941522">
              <w:t>$171,834</w:t>
            </w:r>
          </w:p>
        </w:tc>
        <w:tc>
          <w:tcPr>
            <w:tcW w:w="1247" w:type="dxa"/>
          </w:tcPr>
          <w:p w14:paraId="000C4C52" w14:textId="77777777" w:rsidR="00592CEC" w:rsidRPr="0054222F" w:rsidRDefault="00592CEC" w:rsidP="00172730">
            <w:pPr>
              <w:pStyle w:val="TableBody0"/>
              <w:spacing w:before="40" w:after="40" w:line="288" w:lineRule="auto"/>
              <w:jc w:val="right"/>
            </w:pPr>
            <w:r w:rsidRPr="00941522">
              <w:t>0</w:t>
            </w:r>
          </w:p>
        </w:tc>
        <w:tc>
          <w:tcPr>
            <w:tcW w:w="1474" w:type="dxa"/>
          </w:tcPr>
          <w:p w14:paraId="72D88F39" w14:textId="77777777" w:rsidR="00592CEC" w:rsidRPr="0054222F" w:rsidRDefault="00592CEC" w:rsidP="00172730">
            <w:pPr>
              <w:pStyle w:val="TableBody0"/>
              <w:spacing w:before="40" w:after="40" w:line="288" w:lineRule="auto"/>
              <w:jc w:val="right"/>
            </w:pPr>
            <w:r w:rsidRPr="00941522">
              <w:t>$53,944</w:t>
            </w:r>
          </w:p>
        </w:tc>
        <w:tc>
          <w:tcPr>
            <w:tcW w:w="1474" w:type="dxa"/>
          </w:tcPr>
          <w:p w14:paraId="78FB68B4" w14:textId="77777777" w:rsidR="00592CEC" w:rsidRPr="0054222F" w:rsidRDefault="00592CEC" w:rsidP="00172730">
            <w:pPr>
              <w:pStyle w:val="TableBody0"/>
              <w:spacing w:before="40" w:after="40" w:line="288" w:lineRule="auto"/>
              <w:jc w:val="right"/>
            </w:pPr>
            <w:r w:rsidRPr="00941522">
              <w:t>$36,456</w:t>
            </w:r>
          </w:p>
        </w:tc>
        <w:tc>
          <w:tcPr>
            <w:tcW w:w="1247" w:type="dxa"/>
          </w:tcPr>
          <w:p w14:paraId="5FECB7B3" w14:textId="77777777" w:rsidR="00592CEC" w:rsidRPr="0054222F" w:rsidRDefault="00592CEC" w:rsidP="00172730">
            <w:pPr>
              <w:pStyle w:val="TableBody0"/>
              <w:spacing w:before="40" w:after="40" w:line="288" w:lineRule="auto"/>
              <w:jc w:val="right"/>
            </w:pPr>
            <w:r w:rsidRPr="00941522">
              <w:t>$3,958</w:t>
            </w:r>
          </w:p>
        </w:tc>
        <w:tc>
          <w:tcPr>
            <w:tcW w:w="1247" w:type="dxa"/>
          </w:tcPr>
          <w:p w14:paraId="1750470A" w14:textId="77777777" w:rsidR="00592CEC" w:rsidRPr="0054222F" w:rsidRDefault="00592CEC" w:rsidP="00172730">
            <w:pPr>
              <w:pStyle w:val="TableBody0"/>
              <w:spacing w:before="40" w:after="40" w:line="288" w:lineRule="auto"/>
              <w:jc w:val="right"/>
            </w:pPr>
            <w:r w:rsidRPr="00941522">
              <w:t>0</w:t>
            </w:r>
          </w:p>
        </w:tc>
        <w:tc>
          <w:tcPr>
            <w:tcW w:w="1247" w:type="dxa"/>
          </w:tcPr>
          <w:p w14:paraId="7DC20B84" w14:textId="77777777" w:rsidR="00592CEC" w:rsidRPr="0054222F" w:rsidRDefault="00592CEC" w:rsidP="00172730">
            <w:pPr>
              <w:pStyle w:val="TableBody0"/>
              <w:spacing w:before="40" w:after="40" w:line="288" w:lineRule="auto"/>
              <w:jc w:val="right"/>
            </w:pPr>
            <w:r w:rsidRPr="00941522">
              <w:t>0</w:t>
            </w:r>
          </w:p>
        </w:tc>
        <w:tc>
          <w:tcPr>
            <w:tcW w:w="1531" w:type="dxa"/>
          </w:tcPr>
          <w:p w14:paraId="1840D2B2" w14:textId="77777777" w:rsidR="00592CEC" w:rsidRPr="0054222F" w:rsidRDefault="00592CEC" w:rsidP="00172730">
            <w:pPr>
              <w:pStyle w:val="TableBody0"/>
              <w:spacing w:before="40" w:after="40" w:line="288" w:lineRule="auto"/>
              <w:jc w:val="right"/>
            </w:pPr>
            <w:r w:rsidRPr="00941522">
              <w:t>$266,192</w:t>
            </w:r>
          </w:p>
        </w:tc>
      </w:tr>
      <w:tr w:rsidR="00592CEC" w:rsidRPr="0054222F" w14:paraId="30FE9870" w14:textId="77777777" w:rsidTr="001173AA">
        <w:trPr>
          <w:cnfStyle w:val="000000010000" w:firstRow="0" w:lastRow="0" w:firstColumn="0" w:lastColumn="0" w:oddVBand="0" w:evenVBand="0" w:oddHBand="0" w:evenHBand="1" w:firstRowFirstColumn="0" w:firstRowLastColumn="0" w:lastRowFirstColumn="0" w:lastRowLastColumn="0"/>
          <w:trHeight w:val="454"/>
        </w:trPr>
        <w:tc>
          <w:tcPr>
            <w:tcW w:w="2546" w:type="dxa"/>
            <w:vAlign w:val="center"/>
          </w:tcPr>
          <w:p w14:paraId="68F00650" w14:textId="77777777" w:rsidR="00592CEC" w:rsidRPr="0054222F" w:rsidRDefault="00592CEC" w:rsidP="00172730">
            <w:pPr>
              <w:pStyle w:val="TableBody0"/>
              <w:spacing w:before="40" w:after="40" w:line="288" w:lineRule="auto"/>
            </w:pPr>
            <w:r w:rsidRPr="002016A9">
              <w:t>$270,001</w:t>
            </w:r>
            <w:r>
              <w:t>–</w:t>
            </w:r>
            <w:r w:rsidRPr="002016A9">
              <w:t>$295,000</w:t>
            </w:r>
          </w:p>
        </w:tc>
        <w:tc>
          <w:tcPr>
            <w:tcW w:w="794" w:type="dxa"/>
          </w:tcPr>
          <w:p w14:paraId="5B2F087F" w14:textId="77777777" w:rsidR="00592CEC" w:rsidRPr="0054222F" w:rsidRDefault="00592CEC" w:rsidP="00172730">
            <w:pPr>
              <w:pStyle w:val="TableBody0"/>
              <w:spacing w:before="40" w:after="40" w:line="288" w:lineRule="auto"/>
            </w:pPr>
            <w:r w:rsidRPr="00941522">
              <w:t>4</w:t>
            </w:r>
          </w:p>
        </w:tc>
        <w:tc>
          <w:tcPr>
            <w:tcW w:w="1474" w:type="dxa"/>
          </w:tcPr>
          <w:p w14:paraId="3665DD62" w14:textId="77777777" w:rsidR="00592CEC" w:rsidRPr="0054222F" w:rsidRDefault="00592CEC" w:rsidP="00172730">
            <w:pPr>
              <w:pStyle w:val="TableBody0"/>
              <w:spacing w:before="40" w:after="40" w:line="288" w:lineRule="auto"/>
              <w:jc w:val="right"/>
            </w:pPr>
            <w:r w:rsidRPr="00941522">
              <w:t>$171,856</w:t>
            </w:r>
          </w:p>
        </w:tc>
        <w:tc>
          <w:tcPr>
            <w:tcW w:w="1247" w:type="dxa"/>
          </w:tcPr>
          <w:p w14:paraId="7CEACBFE" w14:textId="77777777" w:rsidR="00592CEC" w:rsidRPr="0054222F" w:rsidRDefault="00592CEC" w:rsidP="00172730">
            <w:pPr>
              <w:pStyle w:val="TableBody0"/>
              <w:spacing w:before="40" w:after="40" w:line="288" w:lineRule="auto"/>
              <w:jc w:val="right"/>
            </w:pPr>
            <w:r w:rsidRPr="00941522">
              <w:t>0</w:t>
            </w:r>
          </w:p>
        </w:tc>
        <w:tc>
          <w:tcPr>
            <w:tcW w:w="1474" w:type="dxa"/>
          </w:tcPr>
          <w:p w14:paraId="56A0D5D8" w14:textId="77777777" w:rsidR="00592CEC" w:rsidRPr="0054222F" w:rsidRDefault="00592CEC" w:rsidP="00172730">
            <w:pPr>
              <w:pStyle w:val="TableBody0"/>
              <w:spacing w:before="40" w:after="40" w:line="288" w:lineRule="auto"/>
              <w:jc w:val="right"/>
            </w:pPr>
            <w:r w:rsidRPr="00941522">
              <w:t>$67,280</w:t>
            </w:r>
          </w:p>
        </w:tc>
        <w:tc>
          <w:tcPr>
            <w:tcW w:w="1474" w:type="dxa"/>
          </w:tcPr>
          <w:p w14:paraId="7338A1FF" w14:textId="77777777" w:rsidR="00592CEC" w:rsidRPr="0054222F" w:rsidRDefault="00592CEC" w:rsidP="00172730">
            <w:pPr>
              <w:pStyle w:val="TableBody0"/>
              <w:spacing w:before="40" w:after="40" w:line="288" w:lineRule="auto"/>
              <w:jc w:val="right"/>
            </w:pPr>
            <w:r w:rsidRPr="00941522">
              <w:t>$36,589</w:t>
            </w:r>
          </w:p>
        </w:tc>
        <w:tc>
          <w:tcPr>
            <w:tcW w:w="1247" w:type="dxa"/>
          </w:tcPr>
          <w:p w14:paraId="5EABAE5E" w14:textId="77777777" w:rsidR="00592CEC" w:rsidRPr="0054222F" w:rsidRDefault="00592CEC" w:rsidP="00172730">
            <w:pPr>
              <w:pStyle w:val="TableBody0"/>
              <w:spacing w:before="40" w:after="40" w:line="288" w:lineRule="auto"/>
              <w:jc w:val="right"/>
            </w:pPr>
            <w:r w:rsidRPr="00941522">
              <w:t>$4,097</w:t>
            </w:r>
          </w:p>
        </w:tc>
        <w:tc>
          <w:tcPr>
            <w:tcW w:w="1247" w:type="dxa"/>
          </w:tcPr>
          <w:p w14:paraId="7B4D3A5D" w14:textId="77777777" w:rsidR="00592CEC" w:rsidRPr="0054222F" w:rsidRDefault="00592CEC" w:rsidP="00172730">
            <w:pPr>
              <w:pStyle w:val="TableBody0"/>
              <w:spacing w:before="40" w:after="40" w:line="288" w:lineRule="auto"/>
              <w:jc w:val="right"/>
            </w:pPr>
            <w:r w:rsidRPr="00941522">
              <w:t>0</w:t>
            </w:r>
          </w:p>
        </w:tc>
        <w:tc>
          <w:tcPr>
            <w:tcW w:w="1247" w:type="dxa"/>
          </w:tcPr>
          <w:p w14:paraId="5CC50967" w14:textId="77777777" w:rsidR="00592CEC" w:rsidRPr="0054222F" w:rsidRDefault="00592CEC" w:rsidP="00172730">
            <w:pPr>
              <w:pStyle w:val="TableBody0"/>
              <w:spacing w:before="40" w:after="40" w:line="288" w:lineRule="auto"/>
              <w:jc w:val="right"/>
            </w:pPr>
            <w:r w:rsidRPr="00941522">
              <w:t>0</w:t>
            </w:r>
          </w:p>
        </w:tc>
        <w:tc>
          <w:tcPr>
            <w:tcW w:w="1531" w:type="dxa"/>
          </w:tcPr>
          <w:p w14:paraId="0E06ABEF" w14:textId="77777777" w:rsidR="00592CEC" w:rsidRPr="0054222F" w:rsidRDefault="00592CEC" w:rsidP="00172730">
            <w:pPr>
              <w:pStyle w:val="TableBody0"/>
              <w:spacing w:before="40" w:after="40" w:line="288" w:lineRule="auto"/>
              <w:jc w:val="right"/>
            </w:pPr>
            <w:r w:rsidRPr="00941522">
              <w:t>$279,822</w:t>
            </w:r>
          </w:p>
        </w:tc>
      </w:tr>
      <w:tr w:rsidR="00592CEC" w:rsidRPr="0054222F" w14:paraId="0CC9D943" w14:textId="77777777" w:rsidTr="001173AA">
        <w:trPr>
          <w:cnfStyle w:val="000000100000" w:firstRow="0" w:lastRow="0" w:firstColumn="0" w:lastColumn="0" w:oddVBand="0" w:evenVBand="0" w:oddHBand="1" w:evenHBand="0" w:firstRowFirstColumn="0" w:firstRowLastColumn="0" w:lastRowFirstColumn="0" w:lastRowLastColumn="0"/>
          <w:trHeight w:val="454"/>
        </w:trPr>
        <w:tc>
          <w:tcPr>
            <w:tcW w:w="2546" w:type="dxa"/>
            <w:vAlign w:val="center"/>
          </w:tcPr>
          <w:p w14:paraId="322AC566" w14:textId="77777777" w:rsidR="00592CEC" w:rsidRPr="0054222F" w:rsidRDefault="00592CEC" w:rsidP="00172730">
            <w:pPr>
              <w:pStyle w:val="TableBody0"/>
              <w:spacing w:before="40" w:after="40" w:line="288" w:lineRule="auto"/>
            </w:pPr>
            <w:r w:rsidRPr="00A831DF">
              <w:t>$295,001</w:t>
            </w:r>
            <w:r>
              <w:t>–</w:t>
            </w:r>
            <w:r w:rsidRPr="00A831DF">
              <w:t>$320,000</w:t>
            </w:r>
          </w:p>
        </w:tc>
        <w:tc>
          <w:tcPr>
            <w:tcW w:w="794" w:type="dxa"/>
          </w:tcPr>
          <w:p w14:paraId="2DE3A330" w14:textId="77777777" w:rsidR="00592CEC" w:rsidRPr="0054222F" w:rsidRDefault="00592CEC" w:rsidP="00172730">
            <w:pPr>
              <w:pStyle w:val="TableBody0"/>
              <w:spacing w:before="40" w:after="40" w:line="288" w:lineRule="auto"/>
            </w:pPr>
            <w:r w:rsidRPr="00941522">
              <w:t>1</w:t>
            </w:r>
          </w:p>
        </w:tc>
        <w:tc>
          <w:tcPr>
            <w:tcW w:w="1474" w:type="dxa"/>
          </w:tcPr>
          <w:p w14:paraId="10F826B5" w14:textId="77777777" w:rsidR="00592CEC" w:rsidRPr="0054222F" w:rsidRDefault="00592CEC" w:rsidP="00172730">
            <w:pPr>
              <w:pStyle w:val="TableBody0"/>
              <w:spacing w:before="40" w:after="40" w:line="288" w:lineRule="auto"/>
              <w:jc w:val="right"/>
            </w:pPr>
            <w:r w:rsidRPr="00941522">
              <w:t>$180,077</w:t>
            </w:r>
          </w:p>
        </w:tc>
        <w:tc>
          <w:tcPr>
            <w:tcW w:w="1247" w:type="dxa"/>
          </w:tcPr>
          <w:p w14:paraId="1AF19F0F" w14:textId="77777777" w:rsidR="00592CEC" w:rsidRPr="0054222F" w:rsidRDefault="00592CEC" w:rsidP="00172730">
            <w:pPr>
              <w:pStyle w:val="TableBody0"/>
              <w:spacing w:before="40" w:after="40" w:line="288" w:lineRule="auto"/>
              <w:jc w:val="right"/>
            </w:pPr>
            <w:r w:rsidRPr="00941522">
              <w:t>0</w:t>
            </w:r>
          </w:p>
        </w:tc>
        <w:tc>
          <w:tcPr>
            <w:tcW w:w="1474" w:type="dxa"/>
          </w:tcPr>
          <w:p w14:paraId="426FC9DB" w14:textId="77777777" w:rsidR="00592CEC" w:rsidRPr="0054222F" w:rsidRDefault="00592CEC" w:rsidP="00172730">
            <w:pPr>
              <w:pStyle w:val="TableBody0"/>
              <w:spacing w:before="40" w:after="40" w:line="288" w:lineRule="auto"/>
              <w:jc w:val="right"/>
            </w:pPr>
            <w:r w:rsidRPr="00941522">
              <w:t>$85,994</w:t>
            </w:r>
          </w:p>
        </w:tc>
        <w:tc>
          <w:tcPr>
            <w:tcW w:w="1474" w:type="dxa"/>
          </w:tcPr>
          <w:p w14:paraId="559FB45E" w14:textId="77777777" w:rsidR="00592CEC" w:rsidRPr="0054222F" w:rsidRDefault="00592CEC" w:rsidP="00172730">
            <w:pPr>
              <w:pStyle w:val="TableBody0"/>
              <w:spacing w:before="40" w:after="40" w:line="288" w:lineRule="auto"/>
              <w:jc w:val="right"/>
            </w:pPr>
            <w:r w:rsidRPr="00941522">
              <w:t>$38,224</w:t>
            </w:r>
          </w:p>
        </w:tc>
        <w:tc>
          <w:tcPr>
            <w:tcW w:w="1247" w:type="dxa"/>
          </w:tcPr>
          <w:p w14:paraId="6AD763DF" w14:textId="77777777" w:rsidR="00592CEC" w:rsidRPr="0054222F" w:rsidRDefault="00592CEC" w:rsidP="00172730">
            <w:pPr>
              <w:pStyle w:val="TableBody0"/>
              <w:spacing w:before="40" w:after="40" w:line="288" w:lineRule="auto"/>
              <w:jc w:val="right"/>
            </w:pPr>
            <w:r w:rsidRPr="00941522">
              <w:t>$4,298</w:t>
            </w:r>
          </w:p>
        </w:tc>
        <w:tc>
          <w:tcPr>
            <w:tcW w:w="1247" w:type="dxa"/>
          </w:tcPr>
          <w:p w14:paraId="641F472A" w14:textId="77777777" w:rsidR="00592CEC" w:rsidRPr="0054222F" w:rsidRDefault="00592CEC" w:rsidP="00172730">
            <w:pPr>
              <w:pStyle w:val="TableBody0"/>
              <w:spacing w:before="40" w:after="40" w:line="288" w:lineRule="auto"/>
              <w:jc w:val="right"/>
            </w:pPr>
            <w:r w:rsidRPr="00941522">
              <w:t>0</w:t>
            </w:r>
          </w:p>
        </w:tc>
        <w:tc>
          <w:tcPr>
            <w:tcW w:w="1247" w:type="dxa"/>
          </w:tcPr>
          <w:p w14:paraId="1EF9F87E" w14:textId="77777777" w:rsidR="00592CEC" w:rsidRPr="0054222F" w:rsidRDefault="00592CEC" w:rsidP="00172730">
            <w:pPr>
              <w:pStyle w:val="TableBody0"/>
              <w:spacing w:before="40" w:after="40" w:line="288" w:lineRule="auto"/>
              <w:jc w:val="right"/>
            </w:pPr>
            <w:r w:rsidRPr="00941522">
              <w:t>0</w:t>
            </w:r>
          </w:p>
        </w:tc>
        <w:tc>
          <w:tcPr>
            <w:tcW w:w="1531" w:type="dxa"/>
          </w:tcPr>
          <w:p w14:paraId="76BEB244" w14:textId="77777777" w:rsidR="00592CEC" w:rsidRPr="0054222F" w:rsidRDefault="00592CEC" w:rsidP="00172730">
            <w:pPr>
              <w:pStyle w:val="TableBody0"/>
              <w:spacing w:before="40" w:after="40" w:line="288" w:lineRule="auto"/>
              <w:jc w:val="right"/>
            </w:pPr>
            <w:r w:rsidRPr="00941522">
              <w:t>$308,593</w:t>
            </w:r>
          </w:p>
        </w:tc>
      </w:tr>
    </w:tbl>
    <w:p w14:paraId="55705633" w14:textId="77777777" w:rsidR="009B4E55" w:rsidRPr="00BE5226" w:rsidRDefault="009B4E55" w:rsidP="00BE5226"/>
    <w:p w14:paraId="51A7D5EB" w14:textId="77777777" w:rsidR="00217513" w:rsidRDefault="00217513" w:rsidP="0094007B">
      <w:pPr>
        <w:pStyle w:val="Heading2"/>
        <w:sectPr w:rsidR="00217513" w:rsidSect="00EB1047">
          <w:headerReference w:type="default" r:id="rId76"/>
          <w:footerReference w:type="default" r:id="rId77"/>
          <w:pgSz w:w="16838" w:h="11906" w:orient="landscape" w:code="9"/>
          <w:pgMar w:top="1247" w:right="1247" w:bottom="1247" w:left="1247" w:header="567" w:footer="454" w:gutter="0"/>
          <w:cols w:space="708"/>
          <w:docGrid w:linePitch="360"/>
        </w:sectPr>
      </w:pPr>
    </w:p>
    <w:p w14:paraId="2EC667B9" w14:textId="77777777" w:rsidR="0055232A" w:rsidRPr="009B4E3A" w:rsidRDefault="0055232A" w:rsidP="00741632">
      <w:pPr>
        <w:pStyle w:val="Heading3"/>
      </w:pPr>
      <w:bookmarkStart w:id="90" w:name="_Toc226723934"/>
      <w:bookmarkStart w:id="91" w:name="_Toc241826745"/>
      <w:r w:rsidRPr="009B4E3A">
        <w:t>7.3 Judicial decisions and external reviews</w:t>
      </w:r>
      <w:bookmarkEnd w:id="90"/>
      <w:bookmarkEnd w:id="91"/>
    </w:p>
    <w:p w14:paraId="4EEEB718" w14:textId="5FE3957B" w:rsidR="000A14C5" w:rsidRPr="009B4E3A" w:rsidRDefault="000A14C5" w:rsidP="009B4E3A">
      <w:bookmarkStart w:id="92" w:name="_Toc226723935"/>
      <w:r w:rsidRPr="009B4E3A">
        <w:t xml:space="preserve">The NDIA’s operations and decisions are </w:t>
      </w:r>
      <w:r w:rsidR="007F08CD" w:rsidRPr="009B4E3A">
        <w:t xml:space="preserve">independently </w:t>
      </w:r>
      <w:r w:rsidR="00FE325B" w:rsidRPr="009B4E3A">
        <w:t>reviewed</w:t>
      </w:r>
      <w:r w:rsidRPr="009B4E3A">
        <w:t xml:space="preserve"> by external </w:t>
      </w:r>
      <w:r w:rsidR="00FE325B" w:rsidRPr="009B4E3A">
        <w:t>organisations</w:t>
      </w:r>
      <w:r w:rsidRPr="009B4E3A">
        <w:t>.</w:t>
      </w:r>
      <w:r w:rsidR="00864B37" w:rsidRPr="009B4E3A">
        <w:t xml:space="preserve"> Details of these reviews and </w:t>
      </w:r>
      <w:r w:rsidR="007F08CD" w:rsidRPr="009B4E3A">
        <w:t>their outcomes</w:t>
      </w:r>
      <w:r w:rsidR="00864B37" w:rsidRPr="009B4E3A">
        <w:t xml:space="preserve"> during 2025–26 are provided below.</w:t>
      </w:r>
    </w:p>
    <w:p w14:paraId="07BE2E95" w14:textId="77777777" w:rsidR="003B7DDF" w:rsidRPr="009B4E3A" w:rsidRDefault="003B7DDF" w:rsidP="00741632">
      <w:pPr>
        <w:pStyle w:val="Heading4"/>
      </w:pPr>
      <w:r w:rsidRPr="009B4E3A">
        <w:t>Federal Court of Australia</w:t>
      </w:r>
      <w:bookmarkEnd w:id="92"/>
    </w:p>
    <w:p w14:paraId="2B55EE44" w14:textId="537D30E6" w:rsidR="001D0161" w:rsidRPr="009B4E3A" w:rsidRDefault="001D0161" w:rsidP="00826E8C">
      <w:pPr>
        <w:pStyle w:val="Heading4"/>
        <w:spacing w:before="0" w:after="120" w:line="360" w:lineRule="auto"/>
        <w:rPr>
          <w:rFonts w:eastAsia="Aptos" w:cs="Arial"/>
          <w:b w:val="0"/>
          <w:color w:val="auto"/>
          <w:kern w:val="2"/>
          <w:sz w:val="24"/>
          <w:szCs w:val="24"/>
          <w:lang w:bidi="th-TH"/>
          <w14:ligatures w14:val="standardContextual"/>
        </w:rPr>
      </w:pPr>
      <w:r w:rsidRPr="009B4E3A">
        <w:rPr>
          <w:rFonts w:eastAsia="Aptos" w:cs="Arial"/>
          <w:b w:val="0"/>
          <w:color w:val="auto"/>
          <w:kern w:val="2"/>
          <w:sz w:val="24"/>
          <w:szCs w:val="24"/>
          <w:lang w:bidi="th-TH"/>
          <w14:ligatures w14:val="standardContextual"/>
        </w:rPr>
        <w:t>In 2025–26 the Federal Court handed down 8 substantive decisions relating to appeals from the former Administrative Appeals Tribunal (AAT) and the Administrative Review Tribunal (ART) involving the NDIA:</w:t>
      </w:r>
    </w:p>
    <w:p w14:paraId="1AA26AF7" w14:textId="04C9CB97" w:rsidR="001D0161" w:rsidRPr="009B4E3A" w:rsidRDefault="001D0161" w:rsidP="00826E8C">
      <w:pPr>
        <w:pStyle w:val="Bullet1"/>
        <w:rPr>
          <w:lang w:bidi="th-TH"/>
        </w:rPr>
      </w:pPr>
      <w:r w:rsidRPr="009B4E3A">
        <w:rPr>
          <w:b/>
          <w:bCs/>
          <w:i/>
          <w:iCs/>
          <w:lang w:bidi="th-TH"/>
        </w:rPr>
        <w:t xml:space="preserve">NDIA v Jones </w:t>
      </w:r>
      <w:r w:rsidRPr="009B4E3A">
        <w:rPr>
          <w:b/>
          <w:bCs/>
          <w:lang w:bidi="th-TH"/>
        </w:rPr>
        <w:t>[2025] FCA 877</w:t>
      </w:r>
      <w:r w:rsidR="00164769" w:rsidRPr="009B4E3A">
        <w:rPr>
          <w:b/>
          <w:bCs/>
          <w:lang w:bidi="th-TH"/>
        </w:rPr>
        <w:t>:</w:t>
      </w:r>
      <w:r w:rsidRPr="009B4E3A">
        <w:rPr>
          <w:lang w:bidi="th-TH"/>
        </w:rPr>
        <w:t xml:space="preserve"> This decision concerned whether the AAT erred in considering the access criteria for early intervention under section 25 of the NDIS Act. The Federal Court decided that the AAT did err and set aside the decision. The matter was remitted to the ART for reconsideration.</w:t>
      </w:r>
    </w:p>
    <w:p w14:paraId="63EE4B69" w14:textId="6FFE8625" w:rsidR="001D0161" w:rsidRPr="009B4E3A" w:rsidRDefault="001D0161" w:rsidP="00826E8C">
      <w:pPr>
        <w:pStyle w:val="Bullet1"/>
        <w:rPr>
          <w:lang w:bidi="th-TH"/>
        </w:rPr>
      </w:pPr>
      <w:r w:rsidRPr="009B4E3A">
        <w:rPr>
          <w:b/>
          <w:bCs/>
          <w:i/>
          <w:iCs/>
          <w:lang w:bidi="th-TH"/>
        </w:rPr>
        <w:t>NDIA v IHY25 (by next friend IHZ25)</w:t>
      </w:r>
      <w:r w:rsidRPr="009B4E3A">
        <w:rPr>
          <w:b/>
          <w:bCs/>
          <w:lang w:bidi="th-TH"/>
        </w:rPr>
        <w:t xml:space="preserve"> [2025] FCA 1122</w:t>
      </w:r>
      <w:r w:rsidR="00164769" w:rsidRPr="009B4E3A">
        <w:rPr>
          <w:b/>
          <w:bCs/>
          <w:lang w:bidi="th-TH"/>
        </w:rPr>
        <w:t>:</w:t>
      </w:r>
      <w:r w:rsidRPr="009B4E3A">
        <w:rPr>
          <w:lang w:bidi="th-TH"/>
        </w:rPr>
        <w:t xml:space="preserve"> This decision, made by consent of the parties, found that the ART erred by directing provision of a support that was not an NDIS support and did not afford procedural fairness in relation to another direction. The Federal Court set aside those </w:t>
      </w:r>
      <w:r w:rsidR="00E25EEF" w:rsidRPr="009B4E3A">
        <w:rPr>
          <w:lang w:bidi="th-TH"/>
        </w:rPr>
        <w:t xml:space="preserve">2 </w:t>
      </w:r>
      <w:r w:rsidRPr="009B4E3A">
        <w:rPr>
          <w:lang w:bidi="th-TH"/>
        </w:rPr>
        <w:t>directions and remitted the matter to the ART.</w:t>
      </w:r>
    </w:p>
    <w:p w14:paraId="47CFF880" w14:textId="126D3F57" w:rsidR="001D0161" w:rsidRPr="009B4E3A" w:rsidRDefault="001D0161" w:rsidP="00826E8C">
      <w:pPr>
        <w:pStyle w:val="Bullet1"/>
        <w:rPr>
          <w:lang w:bidi="th-TH"/>
        </w:rPr>
      </w:pPr>
      <w:r w:rsidRPr="009B4E3A">
        <w:rPr>
          <w:b/>
          <w:bCs/>
          <w:i/>
          <w:iCs/>
          <w:lang w:bidi="th-TH"/>
        </w:rPr>
        <w:t>NDIA v Lampard</w:t>
      </w:r>
      <w:r w:rsidRPr="009B4E3A">
        <w:rPr>
          <w:b/>
          <w:bCs/>
          <w:lang w:bidi="th-TH"/>
        </w:rPr>
        <w:t xml:space="preserve"> [2025] FCAFC 139</w:t>
      </w:r>
      <w:r w:rsidR="00164769" w:rsidRPr="009B4E3A">
        <w:rPr>
          <w:b/>
          <w:bCs/>
          <w:lang w:bidi="th-TH"/>
        </w:rPr>
        <w:t>:</w:t>
      </w:r>
      <w:r w:rsidRPr="009B4E3A">
        <w:rPr>
          <w:lang w:bidi="th-TH"/>
        </w:rPr>
        <w:t xml:space="preserve"> This decision concerned the access criteria in the NDIS Act and the National Disability Insurance Scheme (Becoming a Participant) Rules 2016. The Full Federal Court found that the ART erred by not assessing impairments and misconstrued substantially reduced functional capacity. The Court set aside the decision, remitting it to the ART for reconsideration.</w:t>
      </w:r>
    </w:p>
    <w:p w14:paraId="107D1BEC" w14:textId="0423B6DD" w:rsidR="001D0161" w:rsidRPr="009B4E3A" w:rsidRDefault="001D0161" w:rsidP="00826E8C">
      <w:pPr>
        <w:pStyle w:val="Bullet1"/>
        <w:rPr>
          <w:lang w:bidi="th-TH"/>
        </w:rPr>
      </w:pPr>
      <w:r w:rsidRPr="009B4E3A">
        <w:rPr>
          <w:b/>
          <w:bCs/>
          <w:i/>
          <w:iCs/>
          <w:lang w:bidi="th-TH"/>
        </w:rPr>
        <w:t xml:space="preserve">Pett v NDIA </w:t>
      </w:r>
      <w:r w:rsidRPr="009B4E3A">
        <w:rPr>
          <w:b/>
          <w:bCs/>
          <w:lang w:bidi="th-TH"/>
        </w:rPr>
        <w:t>[2025] FCA 1252</w:t>
      </w:r>
      <w:r w:rsidR="00164769" w:rsidRPr="009B4E3A">
        <w:rPr>
          <w:b/>
          <w:bCs/>
          <w:lang w:bidi="th-TH"/>
        </w:rPr>
        <w:t>:</w:t>
      </w:r>
      <w:r w:rsidRPr="009B4E3A">
        <w:rPr>
          <w:lang w:bidi="th-TH"/>
        </w:rPr>
        <w:t xml:space="preserve"> This decision concerned whether the AAT erred in its consideration of a Compensation Reduction Amount under the National Disability Insurance Scheme (Support for Participant – Accounting for Compensation) Rules 2013. The Federal Court found that the AAT did err and set aside the AAT decision. The matter was remitted to the ART for reconsideration.</w:t>
      </w:r>
    </w:p>
    <w:p w14:paraId="2AA4E2E9" w14:textId="692AEFFC" w:rsidR="001D0161" w:rsidRPr="009B4E3A" w:rsidRDefault="001D0161" w:rsidP="00826E8C">
      <w:pPr>
        <w:pStyle w:val="Bullet1"/>
        <w:rPr>
          <w:lang w:bidi="th-TH"/>
        </w:rPr>
      </w:pPr>
      <w:r w:rsidRPr="009B4E3A">
        <w:rPr>
          <w:b/>
          <w:bCs/>
          <w:i/>
          <w:iCs/>
          <w:lang w:bidi="th-TH"/>
        </w:rPr>
        <w:t xml:space="preserve">NDIA v Sutherland </w:t>
      </w:r>
      <w:r w:rsidRPr="009B4E3A">
        <w:rPr>
          <w:b/>
          <w:bCs/>
          <w:lang w:bidi="th-TH"/>
        </w:rPr>
        <w:t>[2026] FCA 3</w:t>
      </w:r>
      <w:r w:rsidR="00164769" w:rsidRPr="009B4E3A">
        <w:rPr>
          <w:b/>
          <w:bCs/>
          <w:lang w:bidi="th-TH"/>
        </w:rPr>
        <w:t>:</w:t>
      </w:r>
      <w:r w:rsidRPr="009B4E3A">
        <w:rPr>
          <w:lang w:bidi="th-TH"/>
        </w:rPr>
        <w:t xml:space="preserve"> This decision concerned the access criteria in the former NDIS Act. The Federal Court found that the AAT did not err when considering whether a person is likely to require supports under the NDIS for their lifetime and dismissed the appeal.</w:t>
      </w:r>
    </w:p>
    <w:p w14:paraId="12A1C4A3" w14:textId="17DE01A7" w:rsidR="001D0161" w:rsidRPr="009B4E3A" w:rsidRDefault="001D0161" w:rsidP="00826E8C">
      <w:pPr>
        <w:pStyle w:val="Bullet1"/>
        <w:rPr>
          <w:lang w:bidi="th-TH"/>
        </w:rPr>
      </w:pPr>
      <w:r w:rsidRPr="009B4E3A">
        <w:rPr>
          <w:b/>
          <w:bCs/>
          <w:i/>
          <w:iCs/>
          <w:lang w:bidi="th-TH"/>
        </w:rPr>
        <w:t xml:space="preserve">Cali v NDIA </w:t>
      </w:r>
      <w:r w:rsidRPr="009B4E3A">
        <w:rPr>
          <w:b/>
          <w:bCs/>
          <w:lang w:bidi="th-TH"/>
        </w:rPr>
        <w:t>[2026] FCA 135</w:t>
      </w:r>
      <w:r w:rsidR="00164769" w:rsidRPr="009B4E3A">
        <w:rPr>
          <w:b/>
          <w:bCs/>
          <w:lang w:bidi="th-TH"/>
        </w:rPr>
        <w:t>:</w:t>
      </w:r>
      <w:r w:rsidRPr="009B4E3A">
        <w:rPr>
          <w:lang w:bidi="th-TH"/>
        </w:rPr>
        <w:t xml:space="preserve"> This decision concerned whether the ART misconstrued section 34(1)(c) and (d) of the NDIS Act or reached contradictory conclusions. The Federal Court held the ART had not erred in its decision, and the appeal was dismissed.</w:t>
      </w:r>
    </w:p>
    <w:p w14:paraId="63015956" w14:textId="670DFF87" w:rsidR="001D0161" w:rsidRPr="009B4E3A" w:rsidRDefault="001D0161" w:rsidP="00826E8C">
      <w:pPr>
        <w:pStyle w:val="Bullet1"/>
        <w:rPr>
          <w:lang w:bidi="th-TH"/>
        </w:rPr>
      </w:pPr>
      <w:r w:rsidRPr="009B4E3A">
        <w:rPr>
          <w:b/>
          <w:bCs/>
          <w:i/>
          <w:iCs/>
          <w:lang w:bidi="th-TH"/>
        </w:rPr>
        <w:t xml:space="preserve">CEO of the NDIA v Eastham </w:t>
      </w:r>
      <w:r w:rsidRPr="009B4E3A">
        <w:rPr>
          <w:b/>
          <w:bCs/>
          <w:lang w:bidi="th-TH"/>
        </w:rPr>
        <w:t>[2026] FCA 147</w:t>
      </w:r>
      <w:r w:rsidR="00164769" w:rsidRPr="009B4E3A">
        <w:rPr>
          <w:b/>
          <w:bCs/>
          <w:lang w:bidi="th-TH"/>
        </w:rPr>
        <w:t>:</w:t>
      </w:r>
      <w:r w:rsidRPr="009B4E3A">
        <w:rPr>
          <w:lang w:bidi="th-TH"/>
        </w:rPr>
        <w:t xml:space="preserve"> This decision concerned whether the ART erred in considering section</w:t>
      </w:r>
      <w:r w:rsidR="00463231">
        <w:rPr>
          <w:lang w:bidi="th-TH"/>
        </w:rPr>
        <w:t xml:space="preserve"> </w:t>
      </w:r>
      <w:r w:rsidRPr="009B4E3A">
        <w:rPr>
          <w:lang w:bidi="th-TH"/>
        </w:rPr>
        <w:t>34(1)(aa) and applying the National Disability Insurance Scheme (Getting the NDIS Back on Track No.</w:t>
      </w:r>
      <w:r w:rsidR="00E25EEF" w:rsidRPr="009B4E3A">
        <w:rPr>
          <w:lang w:bidi="th-TH"/>
        </w:rPr>
        <w:t xml:space="preserve"> </w:t>
      </w:r>
      <w:r w:rsidRPr="009B4E3A">
        <w:rPr>
          <w:lang w:bidi="th-TH"/>
        </w:rPr>
        <w:t xml:space="preserve">1) (NDIS Supports) Transitional Rules 2024. The Federal Court found that, under section 34(1)(aa), an impairment need only be a contributing reason for a support under the NDIS. The Court also found that the ART did not err in its construction of the </w:t>
      </w:r>
      <w:r w:rsidR="00E25EEF" w:rsidRPr="009B4E3A">
        <w:rPr>
          <w:lang w:bidi="th-TH"/>
        </w:rPr>
        <w:t>t</w:t>
      </w:r>
      <w:r w:rsidRPr="009B4E3A">
        <w:rPr>
          <w:lang w:bidi="th-TH"/>
        </w:rPr>
        <w:t xml:space="preserve">ransitional </w:t>
      </w:r>
      <w:r w:rsidR="00E25EEF" w:rsidRPr="009B4E3A">
        <w:rPr>
          <w:lang w:bidi="th-TH"/>
        </w:rPr>
        <w:t>r</w:t>
      </w:r>
      <w:r w:rsidRPr="009B4E3A">
        <w:rPr>
          <w:lang w:bidi="th-TH"/>
        </w:rPr>
        <w:t>ules and dismissed the appeal.</w:t>
      </w:r>
    </w:p>
    <w:p w14:paraId="260DCA45" w14:textId="6F6BB9BD" w:rsidR="003B7DDF" w:rsidRPr="009B4E3A" w:rsidRDefault="001D0161" w:rsidP="00826E8C">
      <w:pPr>
        <w:pStyle w:val="Bullet1"/>
      </w:pPr>
      <w:r w:rsidRPr="009B4E3A">
        <w:rPr>
          <w:b/>
          <w:bCs/>
          <w:i/>
          <w:iCs/>
          <w:lang w:bidi="th-TH"/>
        </w:rPr>
        <w:t>NDIA v Caterson</w:t>
      </w:r>
      <w:r w:rsidR="00463231">
        <w:rPr>
          <w:b/>
          <w:bCs/>
          <w:i/>
          <w:iCs/>
          <w:lang w:bidi="th-TH"/>
        </w:rPr>
        <w:t xml:space="preserve"> </w:t>
      </w:r>
      <w:r w:rsidRPr="009B4E3A">
        <w:rPr>
          <w:b/>
          <w:bCs/>
          <w:lang w:bidi="th-TH"/>
        </w:rPr>
        <w:t>[2026]</w:t>
      </w:r>
      <w:r w:rsidR="00463231">
        <w:rPr>
          <w:b/>
          <w:bCs/>
          <w:lang w:bidi="th-TH"/>
        </w:rPr>
        <w:t xml:space="preserve"> </w:t>
      </w:r>
      <w:r w:rsidRPr="009B4E3A">
        <w:rPr>
          <w:b/>
          <w:bCs/>
          <w:lang w:bidi="th-TH"/>
        </w:rPr>
        <w:t>FCA 287</w:t>
      </w:r>
      <w:r w:rsidR="00164769" w:rsidRPr="009B4E3A">
        <w:rPr>
          <w:b/>
          <w:bCs/>
          <w:lang w:bidi="th-TH"/>
        </w:rPr>
        <w:t>:</w:t>
      </w:r>
      <w:r w:rsidRPr="009B4E3A">
        <w:rPr>
          <w:lang w:bidi="th-TH"/>
        </w:rPr>
        <w:t xml:space="preserve"> This decision concerned </w:t>
      </w:r>
      <w:r w:rsidR="00164769" w:rsidRPr="009B4E3A">
        <w:rPr>
          <w:lang w:bidi="th-TH"/>
        </w:rPr>
        <w:t xml:space="preserve">specialist disability accommodation </w:t>
      </w:r>
      <w:r w:rsidRPr="009B4E3A">
        <w:rPr>
          <w:lang w:bidi="th-TH"/>
        </w:rPr>
        <w:t>funding limits in the National Disability Insurance Scheme (Specialist Disability Accommodation) Rules and the Pricing Arrangements for Special Disability Accommodation 2023</w:t>
      </w:r>
      <w:r w:rsidR="00161573">
        <w:rPr>
          <w:lang w:bidi="th-TH"/>
        </w:rPr>
        <w:t>–</w:t>
      </w:r>
      <w:r w:rsidRPr="009B4E3A">
        <w:rPr>
          <w:lang w:bidi="th-TH"/>
        </w:rPr>
        <w:t>24. The Federal Court held that the AAT did err in its decision, and the matter was remitted to the ART for reconsideration.</w:t>
      </w:r>
    </w:p>
    <w:p w14:paraId="7A157F1F" w14:textId="77777777" w:rsidR="003B7DDF" w:rsidRPr="009B4E3A" w:rsidRDefault="003B7DDF" w:rsidP="00741632">
      <w:pPr>
        <w:pStyle w:val="Heading4"/>
      </w:pPr>
      <w:bookmarkStart w:id="93" w:name="_Toc226723936"/>
      <w:r w:rsidRPr="009B4E3A">
        <w:t>Administrative Review Tribunal</w:t>
      </w:r>
      <w:bookmarkEnd w:id="93"/>
    </w:p>
    <w:p w14:paraId="223A0424" w14:textId="7CAAA81C" w:rsidR="00807D5C" w:rsidRPr="009B4E3A" w:rsidRDefault="00807D5C" w:rsidP="00807D5C">
      <w:r w:rsidRPr="009B4E3A">
        <w:t>The ART is responsible for independently reviewing a range of decisions made under the NDIS Act, including decisions about whether a person meets the access criteria to become a participant in the NDIS and decisions relating to supports provided under the NDIS Act.</w:t>
      </w:r>
    </w:p>
    <w:p w14:paraId="26BD8A9C" w14:textId="126DCB9B" w:rsidR="00807D5C" w:rsidRPr="009B4E3A" w:rsidRDefault="00807D5C" w:rsidP="00807D5C">
      <w:r w:rsidRPr="009B4E3A">
        <w:t>In 2025</w:t>
      </w:r>
      <w:r w:rsidR="00161573">
        <w:t>–</w:t>
      </w:r>
      <w:r w:rsidRPr="009B4E3A">
        <w:t>26 NDIS participants lodged 9,521 applications for external merits review in the ART. There were 7,678 cases finalised during 2025</w:t>
      </w:r>
      <w:r w:rsidR="00161573">
        <w:t>–</w:t>
      </w:r>
      <w:r w:rsidRPr="009B4E3A">
        <w:t>26, 96% (7,383) of which were finalised through alternative dispute resolution without requiring a substantive hearing. The ART handed down 295 hearing decisions in 2025</w:t>
      </w:r>
      <w:r w:rsidR="00161573">
        <w:t>–</w:t>
      </w:r>
      <w:r w:rsidRPr="009B4E3A">
        <w:t>26. It affirmed 170</w:t>
      </w:r>
      <w:r w:rsidR="00B36380">
        <w:t> </w:t>
      </w:r>
      <w:r w:rsidRPr="009B4E3A">
        <w:t xml:space="preserve">(58%) decisions, varied 28 (9%) decisions and set aside 97 (33%) decisions. As at 30 June 2026, </w:t>
      </w:r>
      <w:r w:rsidR="00E02794" w:rsidRPr="009B4E3A">
        <w:t xml:space="preserve">there were </w:t>
      </w:r>
      <w:r w:rsidRPr="009B4E3A">
        <w:t xml:space="preserve">7,036 </w:t>
      </w:r>
      <w:r w:rsidR="00E02794" w:rsidRPr="009B4E3A">
        <w:t xml:space="preserve">open </w:t>
      </w:r>
      <w:r w:rsidRPr="009B4E3A">
        <w:t>ART applications. This was a 36% increase in open cases from the same time last year (5,185 cases as at 1 July 2025).</w:t>
      </w:r>
    </w:p>
    <w:p w14:paraId="507B389F" w14:textId="0F609E7C" w:rsidR="00807D5C" w:rsidRPr="009B4E3A" w:rsidRDefault="00807D5C" w:rsidP="00807D5C">
      <w:r w:rsidRPr="009B4E3A">
        <w:t xml:space="preserve">As part of the ART, the Guidance and Appeals Panel (GAP) is a forum that provides a way to escalate issues and ensure the quality of </w:t>
      </w:r>
      <w:r w:rsidR="00E25EEF" w:rsidRPr="009B4E3A">
        <w:t xml:space="preserve">ART </w:t>
      </w:r>
      <w:r w:rsidRPr="009B4E3A">
        <w:t xml:space="preserve">decisions. It can decide cases about issues that may have a wide impact on administrative decision-making and also those where </w:t>
      </w:r>
      <w:r w:rsidR="00E25EEF" w:rsidRPr="009B4E3A">
        <w:t xml:space="preserve">an ART </w:t>
      </w:r>
      <w:r w:rsidRPr="009B4E3A">
        <w:t xml:space="preserve">decision has been made </w:t>
      </w:r>
      <w:r w:rsidR="00042833" w:rsidRPr="009B4E3A">
        <w:t xml:space="preserve">that </w:t>
      </w:r>
      <w:r w:rsidRPr="009B4E3A">
        <w:t xml:space="preserve">may contain a mistake affecting the outcome of </w:t>
      </w:r>
      <w:r w:rsidR="00164769" w:rsidRPr="009B4E3A">
        <w:t xml:space="preserve">the </w:t>
      </w:r>
      <w:r w:rsidR="00901B79" w:rsidRPr="009B4E3A">
        <w:t>NDIA’s</w:t>
      </w:r>
      <w:r w:rsidR="00772AF4" w:rsidRPr="009B4E3A">
        <w:t xml:space="preserve"> </w:t>
      </w:r>
      <w:r w:rsidRPr="009B4E3A">
        <w:t>original review. In 2025–26 there were 45</w:t>
      </w:r>
      <w:r w:rsidR="00CD551A">
        <w:t> </w:t>
      </w:r>
      <w:r w:rsidRPr="009B4E3A">
        <w:t xml:space="preserve">referrals to the GAP in relation to NDIS matters, of which 7 were accepted, and the GAP handed down 5 decisions involving the NDIA. </w:t>
      </w:r>
    </w:p>
    <w:p w14:paraId="08BDE641" w14:textId="77777777" w:rsidR="00807D5C" w:rsidRPr="009B4E3A" w:rsidRDefault="00807D5C" w:rsidP="00826E8C">
      <w:r w:rsidRPr="009B4E3A">
        <w:t>In all ART (including GAP) matters, the NDIA focuses on taking a participant-centric approach, ensuring fair and timely outcomes for participants and, as far as practicable, resolving disputes early and quickly.</w:t>
      </w:r>
      <w:bookmarkStart w:id="94" w:name="_Toc226723937"/>
    </w:p>
    <w:p w14:paraId="08B4FA0C" w14:textId="090E6824" w:rsidR="003B7DDF" w:rsidRPr="009B4E3A" w:rsidRDefault="003B7DDF" w:rsidP="00741632">
      <w:pPr>
        <w:pStyle w:val="Heading4"/>
      </w:pPr>
      <w:r w:rsidRPr="009B4E3A">
        <w:t>NDIS Quality and Safeguards Commission</w:t>
      </w:r>
      <w:bookmarkEnd w:id="94"/>
    </w:p>
    <w:p w14:paraId="05548CEF" w14:textId="32B01DC1" w:rsidR="002058E8" w:rsidRPr="009B4E3A" w:rsidRDefault="002058E8" w:rsidP="002058E8">
      <w:r w:rsidRPr="009B4E3A">
        <w:t>The NDIS Quality and Safeguards Commission is an independent agency established to regulate and register NDIS providers</w:t>
      </w:r>
      <w:r w:rsidR="00E25EEF" w:rsidRPr="009B4E3A">
        <w:t>;</w:t>
      </w:r>
      <w:r w:rsidRPr="009B4E3A">
        <w:t xml:space="preserve"> monitor their compliance with the NDIS Code of Conduct and the NDIS Practice Standards</w:t>
      </w:r>
      <w:r w:rsidR="00E25EEF" w:rsidRPr="009B4E3A">
        <w:t>;</w:t>
      </w:r>
      <w:r w:rsidRPr="009B4E3A">
        <w:t xml:space="preserve"> receive and respond to concerns, complaints and reportable incidents</w:t>
      </w:r>
      <w:r w:rsidR="00E25EEF" w:rsidRPr="009B4E3A">
        <w:t>;</w:t>
      </w:r>
      <w:r w:rsidRPr="009B4E3A">
        <w:t xml:space="preserve"> and provide education, guidance and best practice education to NDIS providers. It also conducts investigations and enforcement actions and coordinates nationally consistent NDIS worker screening with the states and territories.</w:t>
      </w:r>
    </w:p>
    <w:p w14:paraId="21E96458" w14:textId="08A14030" w:rsidR="003B7DDF" w:rsidRPr="009B4E3A" w:rsidRDefault="002058E8" w:rsidP="002058E8">
      <w:r w:rsidRPr="009B4E3A">
        <w:t>The NDIA works with the NDIS Quality and Safeguards Commission to resolve matters within each organisation’s respective areas of responsibility under the NDIS</w:t>
      </w:r>
      <w:r w:rsidR="00AF7EB7">
        <w:t> </w:t>
      </w:r>
      <w:r w:rsidRPr="009B4E3A">
        <w:t>Act. A Joint Operational Protocol governs the working arrangements between the NDIA and the NDIS Quality and Safeguards Commission.</w:t>
      </w:r>
    </w:p>
    <w:p w14:paraId="11BB5079" w14:textId="77777777" w:rsidR="003B7DDF" w:rsidRPr="009B4E3A" w:rsidRDefault="003B7DDF" w:rsidP="00741632">
      <w:pPr>
        <w:pStyle w:val="Heading4"/>
      </w:pPr>
      <w:bookmarkStart w:id="95" w:name="_Toc226723938"/>
      <w:r w:rsidRPr="009B4E3A">
        <w:t>Australian National Audit Office reports</w:t>
      </w:r>
      <w:bookmarkEnd w:id="95"/>
    </w:p>
    <w:p w14:paraId="5A0AF6E4" w14:textId="1928BC13" w:rsidR="003B7DDF" w:rsidRPr="009B4E3A" w:rsidRDefault="003663B7" w:rsidP="003663B7">
      <w:pPr>
        <w:shd w:val="clear" w:color="auto" w:fill="FFFFFF"/>
      </w:pPr>
      <w:r w:rsidRPr="009B4E3A">
        <w:rPr>
          <w:rFonts w:eastAsia="Arial" w:cs="Arial"/>
          <w:color w:val="242424"/>
          <w:lang w:eastAsia="ja-JP"/>
        </w:rPr>
        <w:t>In 2025</w:t>
      </w:r>
      <w:r w:rsidR="000F7DF7">
        <w:rPr>
          <w:rFonts w:eastAsia="Arial" w:cs="Arial"/>
          <w:color w:val="242424"/>
          <w:lang w:eastAsia="ja-JP"/>
        </w:rPr>
        <w:t>–</w:t>
      </w:r>
      <w:r w:rsidRPr="009B4E3A">
        <w:rPr>
          <w:rFonts w:eastAsia="Arial" w:cs="Arial"/>
          <w:color w:val="242424"/>
          <w:lang w:eastAsia="ja-JP"/>
        </w:rPr>
        <w:t xml:space="preserve">26 </w:t>
      </w:r>
      <w:r w:rsidR="00E25EEF" w:rsidRPr="009B4E3A">
        <w:rPr>
          <w:rFonts w:eastAsia="Arial" w:cs="Arial"/>
          <w:color w:val="242424"/>
          <w:lang w:eastAsia="ja-JP"/>
        </w:rPr>
        <w:t xml:space="preserve">the </w:t>
      </w:r>
      <w:r w:rsidRPr="009B4E3A">
        <w:rPr>
          <w:rFonts w:eastAsia="Arial" w:cs="Arial"/>
          <w:color w:val="242424"/>
          <w:lang w:eastAsia="ja-JP"/>
        </w:rPr>
        <w:t>A</w:t>
      </w:r>
      <w:r w:rsidR="000A1773">
        <w:rPr>
          <w:rFonts w:eastAsia="Arial" w:cs="Arial"/>
          <w:color w:val="242424"/>
          <w:lang w:eastAsia="ja-JP"/>
        </w:rPr>
        <w:t>ustralian National Audit Office (A</w:t>
      </w:r>
      <w:r w:rsidRPr="009B4E3A">
        <w:rPr>
          <w:rFonts w:eastAsia="Arial" w:cs="Arial"/>
          <w:color w:val="242424"/>
          <w:lang w:eastAsia="ja-JP"/>
        </w:rPr>
        <w:t>NAO</w:t>
      </w:r>
      <w:r w:rsidR="000A1773">
        <w:rPr>
          <w:rFonts w:eastAsia="Arial" w:cs="Arial"/>
          <w:color w:val="242424"/>
          <w:lang w:eastAsia="ja-JP"/>
        </w:rPr>
        <w:t>)</w:t>
      </w:r>
      <w:r w:rsidRPr="009B4E3A">
        <w:rPr>
          <w:rFonts w:eastAsia="Arial" w:cs="Arial"/>
          <w:color w:val="242424"/>
          <w:lang w:eastAsia="ja-JP"/>
        </w:rPr>
        <w:t xml:space="preserve"> </w:t>
      </w:r>
      <w:r w:rsidR="00D46C34" w:rsidRPr="009B4E3A">
        <w:rPr>
          <w:rFonts w:eastAsia="Arial" w:cs="Arial"/>
          <w:color w:val="242424"/>
          <w:lang w:eastAsia="ja-JP"/>
        </w:rPr>
        <w:t xml:space="preserve">began </w:t>
      </w:r>
      <w:r w:rsidRPr="009B4E3A">
        <w:rPr>
          <w:rFonts w:eastAsia="Arial" w:cs="Arial"/>
          <w:color w:val="242424"/>
          <w:lang w:eastAsia="ja-JP"/>
        </w:rPr>
        <w:t xml:space="preserve">3 performance audits involving the NDIA: </w:t>
      </w:r>
      <w:r w:rsidRPr="009B4E3A">
        <w:rPr>
          <w:rFonts w:eastAsia="Arial" w:cs="Arial"/>
          <w:i/>
          <w:iCs/>
          <w:color w:val="242424"/>
          <w:lang w:eastAsia="ja-JP"/>
        </w:rPr>
        <w:t>Design and implementation of the Participants</w:t>
      </w:r>
      <w:r w:rsidRPr="009B4E3A">
        <w:rPr>
          <w:rFonts w:eastAsia="Arial" w:cs="Arial"/>
          <w:color w:val="242424"/>
          <w:lang w:eastAsia="ja-JP"/>
        </w:rPr>
        <w:t xml:space="preserve">, </w:t>
      </w:r>
      <w:r w:rsidRPr="009B4E3A">
        <w:rPr>
          <w:rFonts w:eastAsia="Arial" w:cs="Arial"/>
          <w:i/>
          <w:iCs/>
          <w:color w:val="242424"/>
          <w:lang w:eastAsia="ja-JP"/>
        </w:rPr>
        <w:t>Platforms and Processes (3P) program</w:t>
      </w:r>
      <w:r w:rsidRPr="009B4E3A">
        <w:rPr>
          <w:rFonts w:eastAsia="Arial" w:cs="Arial"/>
          <w:color w:val="242424"/>
          <w:lang w:eastAsia="ja-JP"/>
        </w:rPr>
        <w:t xml:space="preserve">; </w:t>
      </w:r>
      <w:r w:rsidRPr="009B4E3A">
        <w:rPr>
          <w:rFonts w:eastAsia="Arial" w:cs="Arial"/>
          <w:i/>
          <w:iCs/>
          <w:color w:val="242424"/>
          <w:lang w:eastAsia="ja-JP"/>
        </w:rPr>
        <w:t>Effectiveness of the Fraud Fusion Taskforce</w:t>
      </w:r>
      <w:r w:rsidR="00772AF4" w:rsidRPr="009B4E3A">
        <w:rPr>
          <w:rFonts w:eastAsia="Arial" w:cs="Arial"/>
          <w:color w:val="242424"/>
          <w:lang w:eastAsia="ja-JP"/>
        </w:rPr>
        <w:t>;</w:t>
      </w:r>
      <w:r w:rsidRPr="009B4E3A">
        <w:rPr>
          <w:rFonts w:eastAsia="Arial" w:cs="Arial"/>
          <w:color w:val="242424"/>
          <w:lang w:eastAsia="ja-JP"/>
        </w:rPr>
        <w:t xml:space="preserve"> and </w:t>
      </w:r>
      <w:r w:rsidRPr="009B4E3A">
        <w:rPr>
          <w:rFonts w:eastAsia="Arial" w:cs="Arial"/>
          <w:i/>
          <w:iCs/>
          <w:color w:val="242424"/>
          <w:lang w:eastAsia="ja-JP"/>
        </w:rPr>
        <w:t xml:space="preserve">Market </w:t>
      </w:r>
      <w:r w:rsidR="00E25EEF" w:rsidRPr="009B4E3A">
        <w:rPr>
          <w:rFonts w:eastAsia="Arial" w:cs="Arial"/>
          <w:i/>
          <w:iCs/>
          <w:color w:val="242424"/>
          <w:lang w:eastAsia="ja-JP"/>
        </w:rPr>
        <w:t>s</w:t>
      </w:r>
      <w:r w:rsidRPr="009B4E3A">
        <w:rPr>
          <w:rFonts w:eastAsia="Arial" w:cs="Arial"/>
          <w:i/>
          <w:iCs/>
          <w:color w:val="242424"/>
          <w:lang w:eastAsia="ja-JP"/>
        </w:rPr>
        <w:t>tewardship in the care and support economy</w:t>
      </w:r>
      <w:r w:rsidRPr="009B4E3A">
        <w:rPr>
          <w:rFonts w:eastAsia="Arial" w:cs="Arial"/>
          <w:color w:val="242424"/>
          <w:lang w:eastAsia="ja-JP"/>
        </w:rPr>
        <w:t>. All audits are underway and due for completion during 2026</w:t>
      </w:r>
      <w:r w:rsidR="00161573">
        <w:rPr>
          <w:rFonts w:eastAsia="Arial" w:cs="Arial"/>
          <w:color w:val="242424"/>
          <w:lang w:eastAsia="ja-JP"/>
        </w:rPr>
        <w:t>–</w:t>
      </w:r>
      <w:r w:rsidRPr="009B4E3A">
        <w:rPr>
          <w:rFonts w:eastAsia="Arial" w:cs="Arial"/>
          <w:color w:val="242424"/>
          <w:lang w:eastAsia="ja-JP"/>
        </w:rPr>
        <w:t>27.</w:t>
      </w:r>
    </w:p>
    <w:p w14:paraId="71AE66DC" w14:textId="72AB881E" w:rsidR="003B7DDF" w:rsidRPr="009B4E3A" w:rsidRDefault="003B7DDF" w:rsidP="00741632">
      <w:pPr>
        <w:pStyle w:val="Heading4"/>
      </w:pPr>
      <w:bookmarkStart w:id="96" w:name="_Toc226723939"/>
      <w:r w:rsidRPr="009B4E3A">
        <w:t xml:space="preserve">Freedom of </w:t>
      </w:r>
      <w:r w:rsidR="00E25EEF" w:rsidRPr="009B4E3A">
        <w:t>i</w:t>
      </w:r>
      <w:r w:rsidRPr="009B4E3A">
        <w:t>nformation</w:t>
      </w:r>
      <w:bookmarkEnd w:id="96"/>
    </w:p>
    <w:p w14:paraId="5B88CC8D" w14:textId="77777777" w:rsidR="00AA56AD" w:rsidRPr="009B4E3A" w:rsidRDefault="00AA56AD" w:rsidP="00AA56AD">
      <w:r w:rsidRPr="009B4E3A">
        <w:t xml:space="preserve">Under the </w:t>
      </w:r>
      <w:r w:rsidRPr="009B4E3A">
        <w:rPr>
          <w:i/>
          <w:iCs/>
        </w:rPr>
        <w:t xml:space="preserve">Freedom of Information Act 1982 </w:t>
      </w:r>
      <w:r w:rsidRPr="009B4E3A">
        <w:t>(Cth) (FOI Act), a person may request access to documents held by the NDIA.</w:t>
      </w:r>
    </w:p>
    <w:p w14:paraId="2A1C1DA8" w14:textId="4AC3D24F" w:rsidR="00AA56AD" w:rsidRPr="009B4E3A" w:rsidRDefault="00AA56AD" w:rsidP="00AA56AD">
      <w:r w:rsidRPr="009B4E3A">
        <w:t>In 2025</w:t>
      </w:r>
      <w:r w:rsidR="00161573">
        <w:t>–</w:t>
      </w:r>
      <w:r w:rsidRPr="009B4E3A">
        <w:t>26 the NDIA received 3,718 requests for information under the FOI Act and 55 requests for internal review of a</w:t>
      </w:r>
      <w:r w:rsidR="00E25EEF" w:rsidRPr="009B4E3A">
        <w:t>n</w:t>
      </w:r>
      <w:r w:rsidRPr="009B4E3A">
        <w:t xml:space="preserve"> FOI decision.</w:t>
      </w:r>
    </w:p>
    <w:p w14:paraId="13AA871B" w14:textId="77777777" w:rsidR="00AA56AD" w:rsidRPr="009B4E3A" w:rsidRDefault="00AA56AD" w:rsidP="00AA56AD">
      <w:r w:rsidRPr="009B4E3A">
        <w:t xml:space="preserve">The Office of the Australian Information Commissioner notified the NDIA that it had received 226 applications for an Information Commissioner review of a decision. </w:t>
      </w:r>
    </w:p>
    <w:p w14:paraId="16290C1D" w14:textId="559FAF55" w:rsidR="008D5818" w:rsidRPr="009B4E3A" w:rsidRDefault="00AA56AD" w:rsidP="008D5818">
      <w:r w:rsidRPr="009B4E3A">
        <w:t>No applications for review by the ART were made in the period and there were no higher court appeals.</w:t>
      </w:r>
      <w:bookmarkStart w:id="97" w:name="_Toc226723940"/>
    </w:p>
    <w:p w14:paraId="6A946E29" w14:textId="098D8B63" w:rsidR="003B7DDF" w:rsidRPr="009B4E3A" w:rsidRDefault="003B7DDF" w:rsidP="00741632">
      <w:pPr>
        <w:pStyle w:val="Heading4"/>
      </w:pPr>
      <w:r w:rsidRPr="009B4E3A">
        <w:t>Participant Information Access Scheme</w:t>
      </w:r>
      <w:bookmarkEnd w:id="97"/>
    </w:p>
    <w:p w14:paraId="5CB0DF4D" w14:textId="77777777" w:rsidR="008E35BC" w:rsidRPr="009B4E3A" w:rsidRDefault="008E35BC" w:rsidP="00214D88">
      <w:r w:rsidRPr="009B4E3A">
        <w:t xml:space="preserve">The Participant Information Access (PIA) Scheme allows for participants and their representatives to access their personal information under the NDIS Act without needing to make a formal application under the FOI Act. </w:t>
      </w:r>
    </w:p>
    <w:p w14:paraId="583755FC" w14:textId="5567FD62" w:rsidR="008E35BC" w:rsidRPr="009B4E3A" w:rsidRDefault="008E35BC" w:rsidP="00826E8C">
      <w:pPr>
        <w:pStyle w:val="Heading4"/>
        <w:spacing w:before="0" w:after="120" w:line="360" w:lineRule="auto"/>
        <w:rPr>
          <w:b w:val="0"/>
          <w:color w:val="auto"/>
          <w:sz w:val="24"/>
          <w:szCs w:val="24"/>
        </w:rPr>
      </w:pPr>
      <w:r w:rsidRPr="009B4E3A">
        <w:rPr>
          <w:b w:val="0"/>
          <w:color w:val="auto"/>
          <w:sz w:val="24"/>
          <w:szCs w:val="24"/>
        </w:rPr>
        <w:t>In 2025</w:t>
      </w:r>
      <w:r w:rsidR="00161573">
        <w:rPr>
          <w:b w:val="0"/>
          <w:color w:val="auto"/>
          <w:sz w:val="24"/>
          <w:szCs w:val="24"/>
        </w:rPr>
        <w:t>–</w:t>
      </w:r>
      <w:r w:rsidRPr="009B4E3A">
        <w:rPr>
          <w:b w:val="0"/>
          <w:color w:val="auto"/>
          <w:sz w:val="24"/>
          <w:szCs w:val="24"/>
        </w:rPr>
        <w:t>26 the NDIA received 13,648 PIA requests.</w:t>
      </w:r>
      <w:bookmarkStart w:id="98" w:name="_Toc226723941"/>
    </w:p>
    <w:p w14:paraId="1C0199C0" w14:textId="23E30B5B" w:rsidR="003B7DDF" w:rsidRPr="009B4E3A" w:rsidRDefault="003B7DDF" w:rsidP="00741632">
      <w:pPr>
        <w:pStyle w:val="Heading4"/>
      </w:pPr>
      <w:r w:rsidRPr="009B4E3A">
        <w:t>Commonwealth Ombudsman</w:t>
      </w:r>
      <w:bookmarkEnd w:id="98"/>
    </w:p>
    <w:p w14:paraId="1CAE8644" w14:textId="20668143" w:rsidR="00585D19" w:rsidRPr="009B4E3A" w:rsidRDefault="00585D19" w:rsidP="00585D19">
      <w:r w:rsidRPr="009B4E3A">
        <w:t xml:space="preserve">The Commonwealth Ombudsman considers complaints from individuals, groups or organisations about administrative actions and decisions of Australian Government agencies, including the NDIA, under the </w:t>
      </w:r>
      <w:r w:rsidRPr="009B4E3A">
        <w:rPr>
          <w:i/>
          <w:iCs/>
        </w:rPr>
        <w:t>Ombudsman Act 1976</w:t>
      </w:r>
      <w:r w:rsidRPr="009B4E3A">
        <w:t xml:space="preserve"> (Cth).</w:t>
      </w:r>
    </w:p>
    <w:p w14:paraId="536AE91D" w14:textId="2FE68696" w:rsidR="00AC61BC" w:rsidRPr="009B4E3A" w:rsidRDefault="00585D19" w:rsidP="00AC61BC">
      <w:r w:rsidRPr="009B4E3A">
        <w:t>The NDIA assists the Commonwealth Ombudsman to address complaints by accepting complaint transfers and providing information and documents in response to Ombudsman enquiries, requests and formal notices. In 2025–26 the Commonwealth Ombudsman referred 175 complaints to the NDIA.</w:t>
      </w:r>
      <w:bookmarkStart w:id="99" w:name="_Toc226723942"/>
    </w:p>
    <w:p w14:paraId="76A85254" w14:textId="342D92F1" w:rsidR="003B7DDF" w:rsidRPr="009B4E3A" w:rsidRDefault="003B7DDF" w:rsidP="00741632">
      <w:pPr>
        <w:pStyle w:val="Heading4"/>
      </w:pPr>
      <w:r w:rsidRPr="009B4E3A">
        <w:t>Merit Protection Commissioner</w:t>
      </w:r>
      <w:bookmarkEnd w:id="99"/>
    </w:p>
    <w:p w14:paraId="78C2A2B8" w14:textId="5910B361" w:rsidR="00E77BF1" w:rsidRPr="009B4E3A" w:rsidRDefault="00E77BF1" w:rsidP="00826E8C">
      <w:pPr>
        <w:rPr>
          <w:rFonts w:eastAsia="Arial" w:cs="Arial"/>
          <w:color w:val="000000"/>
          <w:lang w:eastAsia="ja-JP"/>
        </w:rPr>
      </w:pPr>
      <w:r w:rsidRPr="009B4E3A">
        <w:rPr>
          <w:rFonts w:eastAsia="Arial" w:cs="Arial"/>
          <w:color w:val="000000"/>
          <w:lang w:eastAsia="ja-JP"/>
        </w:rPr>
        <w:t>The Merit Protection Commission</w:t>
      </w:r>
      <w:r w:rsidR="003A58D1">
        <w:rPr>
          <w:rFonts w:eastAsia="Arial" w:cs="Arial"/>
          <w:color w:val="000000"/>
          <w:lang w:eastAsia="ja-JP"/>
        </w:rPr>
        <w:t>er</w:t>
      </w:r>
      <w:r w:rsidRPr="009B4E3A">
        <w:rPr>
          <w:rFonts w:eastAsia="Arial" w:cs="Arial"/>
          <w:color w:val="000000"/>
          <w:lang w:eastAsia="ja-JP"/>
        </w:rPr>
        <w:t xml:space="preserve"> (MPC) is an independent statutory office that provides employment services to the APS and the Parliamentary Service. The MPC reviews certain APS engagement and promotion decisions, as well as a range of workplace decisions that may impact APS employees, such as leave requests, misconduct outcomes and performance management. </w:t>
      </w:r>
      <w:r w:rsidR="00772AF4" w:rsidRPr="009B4E3A">
        <w:rPr>
          <w:rFonts w:eastAsia="Arial" w:cs="Arial"/>
          <w:color w:val="000000"/>
          <w:lang w:eastAsia="ja-JP"/>
        </w:rPr>
        <w:t>I</w:t>
      </w:r>
      <w:r w:rsidRPr="009B4E3A">
        <w:rPr>
          <w:rFonts w:eastAsia="Arial" w:cs="Arial"/>
          <w:color w:val="000000"/>
          <w:lang w:eastAsia="ja-JP"/>
        </w:rPr>
        <w:t xml:space="preserve">t </w:t>
      </w:r>
      <w:r w:rsidR="00772AF4" w:rsidRPr="009B4E3A">
        <w:rPr>
          <w:rFonts w:eastAsia="Arial" w:cs="Arial"/>
          <w:color w:val="000000"/>
          <w:lang w:eastAsia="ja-JP"/>
        </w:rPr>
        <w:t xml:space="preserve">also </w:t>
      </w:r>
      <w:r w:rsidRPr="009B4E3A">
        <w:rPr>
          <w:rFonts w:eastAsia="Arial" w:cs="Arial"/>
          <w:color w:val="000000"/>
          <w:lang w:eastAsia="ja-JP"/>
        </w:rPr>
        <w:t>offers recruitment and inquiry services to agencies.</w:t>
      </w:r>
    </w:p>
    <w:p w14:paraId="5DE969AC" w14:textId="11708CE5" w:rsidR="00E77BF1" w:rsidRPr="009B4E3A" w:rsidRDefault="00E77BF1" w:rsidP="00826E8C">
      <w:pPr>
        <w:rPr>
          <w:rFonts w:eastAsia="Arial" w:cs="Arial"/>
          <w:color w:val="000000"/>
          <w:lang w:eastAsia="ja-JP"/>
        </w:rPr>
      </w:pPr>
      <w:r w:rsidRPr="009B4E3A">
        <w:rPr>
          <w:rFonts w:eastAsia="Arial" w:cs="Arial"/>
          <w:color w:val="000000"/>
          <w:lang w:eastAsia="ja-JP"/>
        </w:rPr>
        <w:t>In 2025</w:t>
      </w:r>
      <w:r w:rsidR="00161573">
        <w:rPr>
          <w:rFonts w:eastAsia="Arial" w:cs="Arial"/>
          <w:color w:val="000000"/>
          <w:lang w:eastAsia="ja-JP"/>
        </w:rPr>
        <w:t>–</w:t>
      </w:r>
      <w:r w:rsidRPr="009B4E3A">
        <w:rPr>
          <w:rFonts w:eastAsia="Arial" w:cs="Arial"/>
          <w:color w:val="000000"/>
          <w:lang w:eastAsia="ja-JP"/>
        </w:rPr>
        <w:t xml:space="preserve">26 the NDIA had </w:t>
      </w:r>
      <w:r w:rsidR="00777FDC" w:rsidRPr="009B4E3A">
        <w:rPr>
          <w:rFonts w:eastAsia="Arial" w:cs="Arial"/>
          <w:color w:val="000000"/>
          <w:lang w:eastAsia="ja-JP"/>
        </w:rPr>
        <w:t>one</w:t>
      </w:r>
      <w:r w:rsidRPr="009B4E3A">
        <w:rPr>
          <w:rFonts w:eastAsia="Arial" w:cs="Arial"/>
          <w:color w:val="000000"/>
          <w:lang w:eastAsia="ja-JP"/>
        </w:rPr>
        <w:t xml:space="preserve"> open/ongoing application from the previous financial year and 4 new applications submitted to the MPC concerning workplace decisions. As of 30 June 2026</w:t>
      </w:r>
      <w:r w:rsidR="002C4446">
        <w:rPr>
          <w:rFonts w:eastAsia="Arial" w:cs="Arial"/>
          <w:color w:val="000000"/>
          <w:lang w:eastAsia="ja-JP"/>
        </w:rPr>
        <w:t>,</w:t>
      </w:r>
      <w:r w:rsidRPr="009B4E3A">
        <w:rPr>
          <w:rFonts w:eastAsia="Arial" w:cs="Arial"/>
          <w:color w:val="000000"/>
          <w:lang w:eastAsia="ja-JP"/>
        </w:rPr>
        <w:t xml:space="preserve"> </w:t>
      </w:r>
      <w:r w:rsidR="00772AF4" w:rsidRPr="009B4E3A">
        <w:rPr>
          <w:rFonts w:eastAsia="Arial" w:cs="Arial"/>
          <w:color w:val="000000"/>
          <w:lang w:eastAsia="ja-JP"/>
        </w:rPr>
        <w:t xml:space="preserve">as a result of </w:t>
      </w:r>
      <w:r w:rsidRPr="009B4E3A">
        <w:rPr>
          <w:rFonts w:eastAsia="Arial" w:cs="Arial"/>
          <w:color w:val="000000"/>
          <w:lang w:eastAsia="ja-JP"/>
        </w:rPr>
        <w:t>MPC recommendations:</w:t>
      </w:r>
    </w:p>
    <w:p w14:paraId="5E87DD00" w14:textId="151820DB" w:rsidR="00E77BF1" w:rsidRPr="009B4E3A" w:rsidRDefault="00E77BF1" w:rsidP="00826E8C">
      <w:pPr>
        <w:pStyle w:val="Bullet1"/>
      </w:pPr>
      <w:r w:rsidRPr="009B4E3A">
        <w:t>2 of the NDIA’s original decisions were confirmed</w:t>
      </w:r>
    </w:p>
    <w:p w14:paraId="326B63F1" w14:textId="31AEB3E4" w:rsidR="003B7DDF" w:rsidRPr="009B4E3A" w:rsidRDefault="00E77BF1" w:rsidP="00826E8C">
      <w:pPr>
        <w:pStyle w:val="Bullet1"/>
      </w:pPr>
      <w:r w:rsidRPr="009B4E3A">
        <w:t>3 applications were determined not reviewable</w:t>
      </w:r>
      <w:r w:rsidR="00214D88" w:rsidRPr="009B4E3A">
        <w:t>.</w:t>
      </w:r>
    </w:p>
    <w:p w14:paraId="79ACDE61" w14:textId="25D767E6" w:rsidR="00F4440C" w:rsidRPr="003F33FB" w:rsidRDefault="003B7DDF" w:rsidP="002D3A0D">
      <w:pPr>
        <w:pStyle w:val="Heading4"/>
      </w:pPr>
      <w:bookmarkStart w:id="100" w:name="_Toc226723943"/>
      <w:r w:rsidRPr="003F33FB">
        <w:t>Other judicial decisions and external reviews</w:t>
      </w:r>
      <w:bookmarkEnd w:id="100"/>
    </w:p>
    <w:p w14:paraId="67860986" w14:textId="25D9DD13" w:rsidR="00952E25" w:rsidRPr="003F33FB" w:rsidRDefault="00952E25" w:rsidP="009F1B5A">
      <w:pPr>
        <w:pStyle w:val="Bullet1"/>
      </w:pPr>
      <w:r w:rsidRPr="009F1B5A">
        <w:rPr>
          <w:b/>
          <w:bCs/>
        </w:rPr>
        <w:t>Australian Human Rights Commission:</w:t>
      </w:r>
      <w:r w:rsidRPr="003F33FB">
        <w:t xml:space="preserve"> In 2025</w:t>
      </w:r>
      <w:r w:rsidR="00161573">
        <w:t>–</w:t>
      </w:r>
      <w:r w:rsidRPr="003F33FB">
        <w:t>26 the NDIA received 23 complaints, of which 12 remained open at the end of the financial year.</w:t>
      </w:r>
    </w:p>
    <w:p w14:paraId="1C283851" w14:textId="3202D800" w:rsidR="00952E25" w:rsidRPr="003F33FB" w:rsidRDefault="00952E25" w:rsidP="009F1B5A">
      <w:pPr>
        <w:pStyle w:val="Bullet1"/>
      </w:pPr>
      <w:r w:rsidRPr="009F1B5A">
        <w:rPr>
          <w:b/>
          <w:bCs/>
        </w:rPr>
        <w:t>Fair Work Commission:</w:t>
      </w:r>
      <w:r w:rsidRPr="003F33FB">
        <w:t xml:space="preserve"> In 2025</w:t>
      </w:r>
      <w:r w:rsidR="00161573">
        <w:t>–</w:t>
      </w:r>
      <w:r w:rsidRPr="003F33FB">
        <w:t>26 the NDIA received 15 applications, of which 2 remained open at the end of the financial year.</w:t>
      </w:r>
    </w:p>
    <w:p w14:paraId="15A1AC02" w14:textId="32255763" w:rsidR="00952E25" w:rsidRPr="003F33FB" w:rsidRDefault="00952E25" w:rsidP="009F1B5A">
      <w:pPr>
        <w:pStyle w:val="Bullet1"/>
      </w:pPr>
      <w:r w:rsidRPr="009F1B5A">
        <w:rPr>
          <w:b/>
          <w:bCs/>
        </w:rPr>
        <w:t>Federal Circuit and Family Court of Australia:</w:t>
      </w:r>
      <w:r w:rsidRPr="003F33FB">
        <w:t xml:space="preserve"> In 2025</w:t>
      </w:r>
      <w:r w:rsidR="00161573">
        <w:t>–</w:t>
      </w:r>
      <w:r w:rsidRPr="003F33FB">
        <w:t xml:space="preserve">26 the NDIA received </w:t>
      </w:r>
      <w:r w:rsidR="00F26C22">
        <w:t>16</w:t>
      </w:r>
      <w:r w:rsidRPr="003F33FB">
        <w:t xml:space="preserve"> applications, of which </w:t>
      </w:r>
      <w:r w:rsidR="006719BF">
        <w:t>12</w:t>
      </w:r>
      <w:r w:rsidRPr="003F33FB">
        <w:t xml:space="preserve"> remained open at the end of the financial year.</w:t>
      </w:r>
    </w:p>
    <w:p w14:paraId="4916C9C6" w14:textId="72E95E35" w:rsidR="00B52682" w:rsidRDefault="00A66AC1" w:rsidP="00741632">
      <w:pPr>
        <w:pStyle w:val="Heading3"/>
      </w:pPr>
      <w:bookmarkStart w:id="101" w:name="_Toc226723944"/>
      <w:bookmarkStart w:id="102" w:name="_Toc241826746"/>
      <w:r>
        <w:t>7.4 Parliamentary committee inquiries</w:t>
      </w:r>
      <w:bookmarkEnd w:id="101"/>
      <w:bookmarkEnd w:id="102"/>
    </w:p>
    <w:p w14:paraId="54851A43" w14:textId="5D962D35" w:rsidR="000F48CA" w:rsidRDefault="00DD1739" w:rsidP="00DD1739">
      <w:r w:rsidRPr="003F33FB">
        <w:t>The NDIA provided evidence, submissions or both to the following parliamentary committee inquiries during 2025</w:t>
      </w:r>
      <w:r w:rsidR="00161573">
        <w:t>–</w:t>
      </w:r>
      <w:r w:rsidRPr="003F33FB">
        <w:t>26.</w:t>
      </w:r>
    </w:p>
    <w:p w14:paraId="736575B8" w14:textId="77777777" w:rsidR="00A66AC1" w:rsidRPr="009B4E3A" w:rsidRDefault="00A66AC1" w:rsidP="00741632">
      <w:pPr>
        <w:pStyle w:val="Heading4"/>
      </w:pPr>
      <w:bookmarkStart w:id="103" w:name="_Toc226723945"/>
      <w:r w:rsidRPr="009B4E3A">
        <w:t>Joint Standing Committee on the National Disability Insurance Scheme</w:t>
      </w:r>
      <w:bookmarkEnd w:id="103"/>
    </w:p>
    <w:p w14:paraId="5B39762F" w14:textId="50B79DFC" w:rsidR="00242129" w:rsidRPr="009B4E3A" w:rsidRDefault="00242129" w:rsidP="00214D88">
      <w:pPr>
        <w:rPr>
          <w:lang w:val="en-US"/>
        </w:rPr>
      </w:pPr>
      <w:r w:rsidRPr="009B4E3A">
        <w:t xml:space="preserve">In 2025–26 the NDIA participated in 3 inquiries by the Joint Standing Committee </w:t>
      </w:r>
      <w:r w:rsidR="00CE1055">
        <w:t xml:space="preserve">on the National Disability Insurance Scheme </w:t>
      </w:r>
      <w:r w:rsidRPr="009B4E3A">
        <w:t>(JSC)</w:t>
      </w:r>
      <w:r w:rsidR="00E25EEF" w:rsidRPr="009B4E3A">
        <w:t>:</w:t>
      </w:r>
    </w:p>
    <w:p w14:paraId="4677D63F" w14:textId="2DD65D98" w:rsidR="00242129" w:rsidRPr="009B4E3A" w:rsidRDefault="00242129" w:rsidP="00533EF7">
      <w:pPr>
        <w:pStyle w:val="Bullet1"/>
      </w:pPr>
      <w:r w:rsidRPr="009B4E3A">
        <w:rPr>
          <w:b/>
          <w:bCs/>
        </w:rPr>
        <w:t>Annual Report No. 1 of the 48th Parliament</w:t>
      </w:r>
      <w:r w:rsidR="00E25EEF" w:rsidRPr="009B4E3A">
        <w:rPr>
          <w:b/>
          <w:bCs/>
        </w:rPr>
        <w:t>:</w:t>
      </w:r>
      <w:r w:rsidRPr="009B4E3A">
        <w:t xml:space="preserve"> </w:t>
      </w:r>
      <w:r w:rsidR="00E25EEF" w:rsidRPr="009B4E3A">
        <w:t>T</w:t>
      </w:r>
      <w:r w:rsidRPr="009B4E3A">
        <w:t xml:space="preserve">he NDIA appeared at a public hearing in Canberra on 22 October 2025. The JSC tabled its </w:t>
      </w:r>
      <w:r w:rsidR="001C75D7">
        <w:t>f</w:t>
      </w:r>
      <w:r w:rsidRPr="009B4E3A">
        <w:t>inal</w:t>
      </w:r>
      <w:r w:rsidR="00463231">
        <w:t xml:space="preserve"> </w:t>
      </w:r>
      <w:r w:rsidR="001C75D7">
        <w:t>r</w:t>
      </w:r>
      <w:r w:rsidRPr="009B4E3A">
        <w:t>eport on 11 March 2026.</w:t>
      </w:r>
    </w:p>
    <w:p w14:paraId="7E62FB4F" w14:textId="2F34B11A" w:rsidR="00242129" w:rsidRPr="009B4E3A" w:rsidRDefault="00242129" w:rsidP="00533EF7">
      <w:pPr>
        <w:pStyle w:val="Bullet1"/>
      </w:pPr>
      <w:r w:rsidRPr="009B4E3A">
        <w:rPr>
          <w:b/>
          <w:bCs/>
        </w:rPr>
        <w:t>Integrity of the NDIS</w:t>
      </w:r>
      <w:r w:rsidR="00E25EEF" w:rsidRPr="009B4E3A">
        <w:rPr>
          <w:b/>
          <w:bCs/>
        </w:rPr>
        <w:t>:</w:t>
      </w:r>
      <w:r w:rsidRPr="009B4E3A">
        <w:t xml:space="preserve"> </w:t>
      </w:r>
      <w:r w:rsidR="00E25EEF" w:rsidRPr="009B4E3A">
        <w:t>T</w:t>
      </w:r>
      <w:r w:rsidRPr="009B4E3A">
        <w:t xml:space="preserve">he NDIA provided evidence through a </w:t>
      </w:r>
      <w:r w:rsidR="00E25EEF" w:rsidRPr="009B4E3A">
        <w:t>p</w:t>
      </w:r>
      <w:r w:rsidRPr="009B4E3A">
        <w:t xml:space="preserve">ortfolio </w:t>
      </w:r>
      <w:r w:rsidR="00E25EEF" w:rsidRPr="009B4E3A">
        <w:t>s</w:t>
      </w:r>
      <w:r w:rsidRPr="009B4E3A">
        <w:t>ubmission led by the Department of Health, Disability and Ageing in April</w:t>
      </w:r>
      <w:r w:rsidR="00B70795">
        <w:t> </w:t>
      </w:r>
      <w:r w:rsidRPr="009B4E3A">
        <w:t xml:space="preserve">2026 and appeared at a public hearing in Canberra on 1 May 2026. The JSC tabled its </w:t>
      </w:r>
      <w:r w:rsidR="00E25EEF" w:rsidRPr="009B4E3A">
        <w:t>f</w:t>
      </w:r>
      <w:r w:rsidRPr="009B4E3A">
        <w:t xml:space="preserve">inal </w:t>
      </w:r>
      <w:r w:rsidR="00E25EEF" w:rsidRPr="009B4E3A">
        <w:t>r</w:t>
      </w:r>
      <w:r w:rsidRPr="009B4E3A">
        <w:t>eport on 2 July 2026.</w:t>
      </w:r>
    </w:p>
    <w:p w14:paraId="36501064" w14:textId="76DB4BBB" w:rsidR="00242129" w:rsidRPr="009B4E3A" w:rsidRDefault="00242129" w:rsidP="00533EF7">
      <w:pPr>
        <w:pStyle w:val="Bullet1"/>
      </w:pPr>
      <w:r w:rsidRPr="009B4E3A">
        <w:rPr>
          <w:b/>
          <w:bCs/>
        </w:rPr>
        <w:t xml:space="preserve">NDIS </w:t>
      </w:r>
      <w:r w:rsidR="00772AF4" w:rsidRPr="009B4E3A">
        <w:rPr>
          <w:b/>
          <w:bCs/>
        </w:rPr>
        <w:t>p</w:t>
      </w:r>
      <w:r w:rsidRPr="009B4E3A">
        <w:rPr>
          <w:b/>
          <w:bCs/>
        </w:rPr>
        <w:t xml:space="preserve">articipant </w:t>
      </w:r>
      <w:r w:rsidR="00772AF4" w:rsidRPr="009B4E3A">
        <w:rPr>
          <w:b/>
          <w:bCs/>
        </w:rPr>
        <w:t>e</w:t>
      </w:r>
      <w:r w:rsidRPr="009B4E3A">
        <w:rPr>
          <w:b/>
          <w:bCs/>
        </w:rPr>
        <w:t>xperience in rural, regional and remote Australia</w:t>
      </w:r>
      <w:r w:rsidR="00E25EEF" w:rsidRPr="009B4E3A">
        <w:rPr>
          <w:b/>
          <w:bCs/>
        </w:rPr>
        <w:t>:</w:t>
      </w:r>
      <w:r w:rsidRPr="009B4E3A">
        <w:t xml:space="preserve"> </w:t>
      </w:r>
      <w:r w:rsidR="00E25EEF" w:rsidRPr="009B4E3A">
        <w:t>T</w:t>
      </w:r>
      <w:r w:rsidRPr="009B4E3A">
        <w:t>his inquiry lapsed when the JSC ceased to exist at the dissolution of the House of Representatives on 28 March 2025</w:t>
      </w:r>
      <w:r w:rsidR="00E25EEF" w:rsidRPr="009B4E3A">
        <w:t>.</w:t>
      </w:r>
      <w:r w:rsidRPr="009B4E3A">
        <w:t xml:space="preserve"> </w:t>
      </w:r>
      <w:r w:rsidR="00E25EEF" w:rsidRPr="009B4E3A">
        <w:t>H</w:t>
      </w:r>
      <w:r w:rsidRPr="009B4E3A">
        <w:t xml:space="preserve">owever, its </w:t>
      </w:r>
      <w:r w:rsidR="00E25EEF" w:rsidRPr="009B4E3A">
        <w:t>f</w:t>
      </w:r>
      <w:r w:rsidRPr="009B4E3A">
        <w:t>inal</w:t>
      </w:r>
      <w:r w:rsidR="00463231">
        <w:t xml:space="preserve"> </w:t>
      </w:r>
      <w:r w:rsidR="00E25EEF" w:rsidRPr="009B4E3A">
        <w:t>r</w:t>
      </w:r>
      <w:r w:rsidRPr="009B4E3A">
        <w:t>eport was tabled on 6</w:t>
      </w:r>
      <w:r w:rsidR="009E0F2F">
        <w:t> </w:t>
      </w:r>
      <w:r w:rsidRPr="009B4E3A">
        <w:t>November 202</w:t>
      </w:r>
      <w:r w:rsidR="003F452A">
        <w:t>5</w:t>
      </w:r>
      <w:r w:rsidRPr="009B4E3A">
        <w:t>.</w:t>
      </w:r>
    </w:p>
    <w:p w14:paraId="47C26EE8" w14:textId="73E5C34E" w:rsidR="00A66AC1" w:rsidRPr="009B4E3A" w:rsidRDefault="00A66AC1" w:rsidP="00741632">
      <w:pPr>
        <w:pStyle w:val="Heading4"/>
      </w:pPr>
      <w:bookmarkStart w:id="104" w:name="_Toc226723946"/>
      <w:r w:rsidRPr="009B4E3A">
        <w:t>Senate</w:t>
      </w:r>
      <w:r w:rsidR="00E726EB" w:rsidRPr="009B4E3A">
        <w:t xml:space="preserve"> </w:t>
      </w:r>
      <w:r w:rsidRPr="009B4E3A">
        <w:t>Community Affairs</w:t>
      </w:r>
      <w:bookmarkEnd w:id="104"/>
      <w:r w:rsidR="00E726EB" w:rsidRPr="009B4E3A">
        <w:t xml:space="preserve"> Legi</w:t>
      </w:r>
      <w:r w:rsidR="00D947C5" w:rsidRPr="009B4E3A">
        <w:t>slation Committee</w:t>
      </w:r>
    </w:p>
    <w:p w14:paraId="4A3813B0" w14:textId="5D0C9F95" w:rsidR="00E726EB" w:rsidRPr="009B4E3A" w:rsidRDefault="00E726EB" w:rsidP="00E726EB">
      <w:r w:rsidRPr="009B4E3A">
        <w:t>In 2025–26 the NDIA participated in 3 inquiries by the Senate Community Affairs Legislation Committee</w:t>
      </w:r>
      <w:r w:rsidR="00E25EEF" w:rsidRPr="009B4E3A">
        <w:t>:</w:t>
      </w:r>
    </w:p>
    <w:p w14:paraId="64581F5A" w14:textId="65512597" w:rsidR="00E726EB" w:rsidRPr="009B4E3A" w:rsidRDefault="00E726EB" w:rsidP="00533EF7">
      <w:pPr>
        <w:pStyle w:val="Bullet1"/>
      </w:pPr>
      <w:r w:rsidRPr="00533EF7">
        <w:rPr>
          <w:b/>
          <w:bCs/>
        </w:rPr>
        <w:t>2025–26 Supplementary and Additional Senate Estimates and 2026</w:t>
      </w:r>
      <w:r w:rsidR="00161573">
        <w:rPr>
          <w:b/>
          <w:bCs/>
        </w:rPr>
        <w:t>–</w:t>
      </w:r>
      <w:r w:rsidRPr="00533EF7">
        <w:rPr>
          <w:b/>
          <w:bCs/>
        </w:rPr>
        <w:t>27 Budget Estimates</w:t>
      </w:r>
      <w:r w:rsidR="00E25EEF" w:rsidRPr="00533EF7">
        <w:rPr>
          <w:b/>
          <w:bCs/>
        </w:rPr>
        <w:t>:</w:t>
      </w:r>
      <w:r w:rsidRPr="009B4E3A">
        <w:t xml:space="preserve"> </w:t>
      </w:r>
      <w:r w:rsidR="00E25EEF" w:rsidRPr="009B4E3A">
        <w:t>T</w:t>
      </w:r>
      <w:r w:rsidRPr="009B4E3A">
        <w:t>he NDIA provided evidence during 4 public hearings.</w:t>
      </w:r>
    </w:p>
    <w:p w14:paraId="23B7A66D" w14:textId="1091D46B" w:rsidR="00E726EB" w:rsidRPr="009B4E3A" w:rsidRDefault="00E726EB" w:rsidP="00533EF7">
      <w:pPr>
        <w:pStyle w:val="Bullet1"/>
      </w:pPr>
      <w:r w:rsidRPr="00533EF7">
        <w:rPr>
          <w:b/>
          <w:bCs/>
        </w:rPr>
        <w:t>NDIS Amendment (Integrity and Safeguarding) Bill 2025</w:t>
      </w:r>
      <w:r w:rsidR="00E25EEF" w:rsidRPr="00533EF7">
        <w:rPr>
          <w:b/>
          <w:bCs/>
        </w:rPr>
        <w:t>:</w:t>
      </w:r>
      <w:r w:rsidRPr="009B4E3A">
        <w:t xml:space="preserve"> </w:t>
      </w:r>
      <w:r w:rsidR="00E25EEF" w:rsidRPr="009B4E3A">
        <w:t>T</w:t>
      </w:r>
      <w:r w:rsidRPr="009B4E3A">
        <w:t xml:space="preserve">he NDIA provided evidence through a </w:t>
      </w:r>
      <w:r w:rsidR="00E25EEF" w:rsidRPr="009B4E3A">
        <w:t>p</w:t>
      </w:r>
      <w:r w:rsidRPr="009B4E3A">
        <w:t xml:space="preserve">ortfolio </w:t>
      </w:r>
      <w:r w:rsidR="00E25EEF" w:rsidRPr="009B4E3A">
        <w:t>s</w:t>
      </w:r>
      <w:r w:rsidRPr="009B4E3A">
        <w:t xml:space="preserve">ubmission led by the Department of Health, Disability and Ageing in January 2026 and appeared at a public hearing in Canberra on 24 February 2026. The </w:t>
      </w:r>
      <w:r w:rsidR="00E25EEF" w:rsidRPr="009B4E3A">
        <w:t>c</w:t>
      </w:r>
      <w:r w:rsidRPr="009B4E3A">
        <w:t xml:space="preserve">ommittee tabled its </w:t>
      </w:r>
      <w:r w:rsidR="00E25EEF" w:rsidRPr="009B4E3A">
        <w:t>f</w:t>
      </w:r>
      <w:r w:rsidRPr="009B4E3A">
        <w:t>inal</w:t>
      </w:r>
      <w:r w:rsidR="00463231">
        <w:t xml:space="preserve"> </w:t>
      </w:r>
      <w:r w:rsidR="00E25EEF" w:rsidRPr="009B4E3A">
        <w:t>r</w:t>
      </w:r>
      <w:r w:rsidRPr="009B4E3A">
        <w:t>eport on 20 March 2026.</w:t>
      </w:r>
    </w:p>
    <w:p w14:paraId="57785832" w14:textId="4E77D2A8" w:rsidR="00E726EB" w:rsidRPr="009B4E3A" w:rsidRDefault="00E726EB" w:rsidP="00533EF7">
      <w:pPr>
        <w:pStyle w:val="Bullet1"/>
      </w:pPr>
      <w:r w:rsidRPr="00533EF7">
        <w:rPr>
          <w:b/>
          <w:bCs/>
        </w:rPr>
        <w:t>NDIS Amendment (Securing the NDIS for Future Generations) Bill 2026</w:t>
      </w:r>
      <w:r w:rsidR="00E25EEF" w:rsidRPr="00533EF7">
        <w:rPr>
          <w:b/>
          <w:bCs/>
        </w:rPr>
        <w:t>:</w:t>
      </w:r>
      <w:r w:rsidRPr="009B4E3A">
        <w:t xml:space="preserve"> </w:t>
      </w:r>
      <w:r w:rsidR="00E25EEF" w:rsidRPr="009B4E3A">
        <w:t>T</w:t>
      </w:r>
      <w:r w:rsidRPr="009B4E3A">
        <w:t xml:space="preserve">he NDIA provided evidence through a </w:t>
      </w:r>
      <w:r w:rsidR="00E25EEF" w:rsidRPr="009B4E3A">
        <w:t>p</w:t>
      </w:r>
      <w:r w:rsidRPr="009B4E3A">
        <w:t xml:space="preserve">ortfolio </w:t>
      </w:r>
      <w:r w:rsidR="00E25EEF" w:rsidRPr="009B4E3A">
        <w:t>s</w:t>
      </w:r>
      <w:r w:rsidRPr="009B4E3A">
        <w:t>ubmission led by the Department of Health, Disability and Ageing in June 2026 and appeared at 2</w:t>
      </w:r>
      <w:r w:rsidR="009B7CA4">
        <w:t> </w:t>
      </w:r>
      <w:r w:rsidRPr="009B4E3A">
        <w:t xml:space="preserve">public hearings in Canberra on 10 and 11 June 2026. The </w:t>
      </w:r>
      <w:r w:rsidR="00E25EEF" w:rsidRPr="009B4E3A">
        <w:t>c</w:t>
      </w:r>
      <w:r w:rsidRPr="009B4E3A">
        <w:t xml:space="preserve">ommittee tabled its </w:t>
      </w:r>
      <w:r w:rsidR="00E25EEF" w:rsidRPr="009B4E3A">
        <w:t>i</w:t>
      </w:r>
      <w:r w:rsidRPr="009B4E3A">
        <w:t xml:space="preserve">nterim </w:t>
      </w:r>
      <w:r w:rsidR="00E25EEF" w:rsidRPr="009B4E3A">
        <w:t>r</w:t>
      </w:r>
      <w:r w:rsidRPr="009B4E3A">
        <w:t>eport on 23 June 2026.</w:t>
      </w:r>
    </w:p>
    <w:p w14:paraId="0334497B" w14:textId="793C0C36" w:rsidR="00A66AC1" w:rsidRPr="009B4E3A" w:rsidRDefault="003374E2" w:rsidP="00741632">
      <w:pPr>
        <w:pStyle w:val="Heading4"/>
      </w:pPr>
      <w:bookmarkStart w:id="105" w:name="_Toc226723947"/>
      <w:r w:rsidRPr="009B4E3A">
        <w:t xml:space="preserve">Senate Community Affairs </w:t>
      </w:r>
      <w:r w:rsidR="00E25EEF" w:rsidRPr="009B4E3A">
        <w:t>R</w:t>
      </w:r>
      <w:r w:rsidRPr="009B4E3A">
        <w:t>eferences Committee</w:t>
      </w:r>
      <w:bookmarkEnd w:id="105"/>
    </w:p>
    <w:p w14:paraId="1C50B060" w14:textId="07DE6D9A" w:rsidR="00295FF3" w:rsidRPr="009B4E3A" w:rsidRDefault="00295FF3" w:rsidP="00826E8C">
      <w:pPr>
        <w:pStyle w:val="TableBody0"/>
        <w:spacing w:before="0" w:after="120"/>
      </w:pPr>
      <w:r w:rsidRPr="009B4E3A">
        <w:t xml:space="preserve">In 2025–26 the NDIA participated in an inquiry into </w:t>
      </w:r>
      <w:r w:rsidR="00E25EEF" w:rsidRPr="009B4E3A">
        <w:t>e</w:t>
      </w:r>
      <w:r w:rsidRPr="009B4E3A">
        <w:t>pilepsy in Australia</w:t>
      </w:r>
      <w:r w:rsidRPr="00E8103A">
        <w:t xml:space="preserve"> </w:t>
      </w:r>
      <w:r w:rsidRPr="009B4E3A">
        <w:t xml:space="preserve">by the Senate Community Affairs References Committee. The NDIA provided evidence through a </w:t>
      </w:r>
      <w:r w:rsidR="00E25EEF" w:rsidRPr="009B4E3A">
        <w:t>j</w:t>
      </w:r>
      <w:r w:rsidRPr="009B4E3A">
        <w:t xml:space="preserve">oint </w:t>
      </w:r>
      <w:r w:rsidR="00E25EEF" w:rsidRPr="009B4E3A">
        <w:t>s</w:t>
      </w:r>
      <w:r w:rsidRPr="009B4E3A">
        <w:t>ubmission led by the Department of Health, Disability and Ageing in April 2026 and appeared at a public hearing in Canberra on 26 June 2026.</w:t>
      </w:r>
    </w:p>
    <w:p w14:paraId="266CA395" w14:textId="7EA59B1F" w:rsidR="006A1D65" w:rsidRPr="009B4E3A" w:rsidRDefault="006F05F2" w:rsidP="00741632">
      <w:pPr>
        <w:pStyle w:val="Heading4"/>
      </w:pPr>
      <w:bookmarkStart w:id="106" w:name="_Toc226723948"/>
      <w:r w:rsidRPr="009B4E3A">
        <w:t>Joint Committee of Public Accounts and Audit</w:t>
      </w:r>
      <w:bookmarkEnd w:id="106"/>
    </w:p>
    <w:p w14:paraId="264B90B8" w14:textId="7DFC5E51" w:rsidR="006F05F2" w:rsidRPr="009B4E3A" w:rsidRDefault="006F05F2" w:rsidP="00214D88">
      <w:pPr>
        <w:rPr>
          <w:lang w:val="en-US"/>
        </w:rPr>
      </w:pPr>
      <w:r w:rsidRPr="009B4E3A">
        <w:t>In 2025–26 the NDIA participated in 2 inquiries by the Joint Committee of Public Accounts and Audit</w:t>
      </w:r>
      <w:r w:rsidR="00E25EEF" w:rsidRPr="009B4E3A">
        <w:t>:</w:t>
      </w:r>
    </w:p>
    <w:p w14:paraId="3BFBA023" w14:textId="2EFC9319" w:rsidR="006F05F2" w:rsidRPr="009B4E3A" w:rsidRDefault="006F05F2" w:rsidP="002432D3">
      <w:pPr>
        <w:pStyle w:val="Bullet1"/>
      </w:pPr>
      <w:r w:rsidRPr="009B4E3A">
        <w:rPr>
          <w:b/>
          <w:bCs/>
        </w:rPr>
        <w:t>Inquiry into Commonwealth Financial Statements 2023–24 and 2024–25</w:t>
      </w:r>
      <w:r w:rsidR="00E25EEF" w:rsidRPr="009B4E3A">
        <w:rPr>
          <w:b/>
          <w:bCs/>
        </w:rPr>
        <w:t>:</w:t>
      </w:r>
      <w:r w:rsidRPr="009B4E3A">
        <w:t xml:space="preserve"> </w:t>
      </w:r>
      <w:r w:rsidR="00E25EEF" w:rsidRPr="009B4E3A">
        <w:t>T</w:t>
      </w:r>
      <w:r w:rsidRPr="009B4E3A">
        <w:t xml:space="preserve">he NDIA provided evidence through an NDIA </w:t>
      </w:r>
      <w:r w:rsidR="00E25EEF" w:rsidRPr="009B4E3A">
        <w:t>s</w:t>
      </w:r>
      <w:r w:rsidRPr="009B4E3A">
        <w:t>ubmission in December</w:t>
      </w:r>
      <w:r w:rsidR="00463231">
        <w:t xml:space="preserve"> </w:t>
      </w:r>
      <w:r w:rsidRPr="009B4E3A">
        <w:t>2025.</w:t>
      </w:r>
    </w:p>
    <w:p w14:paraId="3F3B2885" w14:textId="18EB49E9" w:rsidR="006F05F2" w:rsidRPr="009B4E3A" w:rsidRDefault="006F05F2" w:rsidP="002432D3">
      <w:pPr>
        <w:pStyle w:val="Bullet1"/>
      </w:pPr>
      <w:r w:rsidRPr="009B4E3A">
        <w:rPr>
          <w:b/>
          <w:bCs/>
        </w:rPr>
        <w:t>Inquiry into the administration of the NDIS</w:t>
      </w:r>
      <w:r w:rsidR="00E25EEF" w:rsidRPr="009B4E3A">
        <w:rPr>
          <w:b/>
          <w:bCs/>
        </w:rPr>
        <w:t>:</w:t>
      </w:r>
      <w:r w:rsidRPr="009B4E3A">
        <w:t xml:space="preserve"> </w:t>
      </w:r>
      <w:r w:rsidR="00E25EEF" w:rsidRPr="009B4E3A">
        <w:t>T</w:t>
      </w:r>
      <w:r w:rsidRPr="009B4E3A">
        <w:t xml:space="preserve">he NDIA provided evidence through an NDIA </w:t>
      </w:r>
      <w:r w:rsidR="00E25EEF" w:rsidRPr="009B4E3A">
        <w:t>s</w:t>
      </w:r>
      <w:r w:rsidRPr="009B4E3A">
        <w:t>ubmission in February 2026 and appeared at a public hearing in Canberra on 23 April 2026.</w:t>
      </w:r>
    </w:p>
    <w:p w14:paraId="76A312AE" w14:textId="0834B277" w:rsidR="006F05F2" w:rsidRPr="009B4E3A" w:rsidRDefault="008E75B2" w:rsidP="006F05F2">
      <w:pPr>
        <w:pStyle w:val="Heading4"/>
      </w:pPr>
      <w:r w:rsidRPr="009B4E3A">
        <w:t>House of Representatives Standing Committee on Health, Aged Care and Disability</w:t>
      </w:r>
    </w:p>
    <w:p w14:paraId="77B08BBF" w14:textId="149C2F56" w:rsidR="00F97070" w:rsidRPr="00E8103A" w:rsidRDefault="00F97070" w:rsidP="00826E8C">
      <w:pPr>
        <w:pStyle w:val="TableBody0"/>
        <w:spacing w:before="0" w:after="120"/>
      </w:pPr>
      <w:r w:rsidRPr="009B4E3A">
        <w:t xml:space="preserve">In 2025–26 the NDIA participated in an </w:t>
      </w:r>
      <w:r w:rsidRPr="009B4E3A">
        <w:rPr>
          <w:bCs/>
        </w:rPr>
        <w:t>inquiry into the Thriving Kids initiative</w:t>
      </w:r>
      <w:r w:rsidRPr="00E8103A">
        <w:rPr>
          <w:bCs/>
        </w:rPr>
        <w:t xml:space="preserve"> </w:t>
      </w:r>
      <w:r w:rsidRPr="009B4E3A">
        <w:rPr>
          <w:bCs/>
        </w:rPr>
        <w:t>by the House of Representatives Standing Committee on Health, Aged Care and Disability.</w:t>
      </w:r>
      <w:r w:rsidRPr="00E8103A">
        <w:rPr>
          <w:bCs/>
        </w:rPr>
        <w:t xml:space="preserve"> </w:t>
      </w:r>
      <w:r w:rsidRPr="009B4E3A">
        <w:t xml:space="preserve">The NDIA provided evidence through a whole of Australian Government </w:t>
      </w:r>
      <w:r w:rsidR="00E25EEF" w:rsidRPr="009B4E3A">
        <w:t>s</w:t>
      </w:r>
      <w:r w:rsidRPr="009B4E3A">
        <w:t xml:space="preserve">ubmission and appeared at a public hearing on 21 October 2025. The </w:t>
      </w:r>
      <w:r w:rsidR="00E25EEF" w:rsidRPr="009B4E3A">
        <w:t xml:space="preserve">committee </w:t>
      </w:r>
      <w:r w:rsidRPr="009B4E3A">
        <w:t xml:space="preserve">tabled the </w:t>
      </w:r>
      <w:r w:rsidR="00E25EEF" w:rsidRPr="009B4E3A">
        <w:t>f</w:t>
      </w:r>
      <w:r w:rsidRPr="009B4E3A">
        <w:t>inal</w:t>
      </w:r>
      <w:r w:rsidR="00463231">
        <w:t xml:space="preserve"> </w:t>
      </w:r>
      <w:r w:rsidR="00E25EEF" w:rsidRPr="009B4E3A">
        <w:t>r</w:t>
      </w:r>
      <w:r w:rsidRPr="009B4E3A">
        <w:t>eport on 4 February 2026.</w:t>
      </w:r>
    </w:p>
    <w:p w14:paraId="2B5E3E66" w14:textId="77777777" w:rsidR="00E11D23" w:rsidRPr="009B4E3A" w:rsidRDefault="00E11D23" w:rsidP="00741632">
      <w:pPr>
        <w:pStyle w:val="Heading3"/>
      </w:pPr>
      <w:bookmarkStart w:id="107" w:name="_Toc226723949"/>
      <w:bookmarkStart w:id="108" w:name="_Toc241826747"/>
      <w:r w:rsidRPr="009B4E3A">
        <w:t>7.5 Advertising and market research</w:t>
      </w:r>
      <w:bookmarkEnd w:id="107"/>
      <w:bookmarkEnd w:id="108"/>
    </w:p>
    <w:p w14:paraId="0D15ADE5" w14:textId="77777777" w:rsidR="009E4D11" w:rsidRPr="009B4E3A" w:rsidRDefault="00AE0DD7" w:rsidP="00214D88">
      <w:r w:rsidRPr="009B4E3A">
        <w:t xml:space="preserve">The following information is provided in accordance with section 311A of the </w:t>
      </w:r>
      <w:r w:rsidRPr="009B4E3A">
        <w:rPr>
          <w:i/>
          <w:iCs/>
        </w:rPr>
        <w:t>Commonwealth Electoral Act 1918</w:t>
      </w:r>
      <w:r w:rsidRPr="009B4E3A">
        <w:t xml:space="preserve"> (Cth) and discloses payments above $17,300.00 (including GST), as specified by the Australian Electoral Commission, to advertising, market research, polling, direct mail and media advertising organisations.</w:t>
      </w:r>
    </w:p>
    <w:p w14:paraId="4A1D2F26" w14:textId="751BFBCD" w:rsidR="00AE0DD7" w:rsidRPr="009B4E3A" w:rsidRDefault="00AE0DD7" w:rsidP="00214D88">
      <w:r w:rsidRPr="002D3971">
        <w:t xml:space="preserve">Tables </w:t>
      </w:r>
      <w:r w:rsidR="00CF55B4">
        <w:t>3</w:t>
      </w:r>
      <w:r w:rsidR="0068179C">
        <w:t>0</w:t>
      </w:r>
      <w:r w:rsidR="00CF55B4" w:rsidRPr="002D3971">
        <w:t xml:space="preserve"> </w:t>
      </w:r>
      <w:r w:rsidRPr="002D3971">
        <w:t xml:space="preserve">to </w:t>
      </w:r>
      <w:r w:rsidR="00CF55B4">
        <w:t>3</w:t>
      </w:r>
      <w:r w:rsidR="0068179C">
        <w:t>4</w:t>
      </w:r>
      <w:r w:rsidRPr="002D3971">
        <w:t xml:space="preserve"> show details of payments</w:t>
      </w:r>
      <w:r w:rsidRPr="009B4E3A">
        <w:t xml:space="preserve"> to advertising organisations, market research organisations, polling organisations, direct mail organisations and media advertising organisations. The total of payments made to reportable organisations in 2025</w:t>
      </w:r>
      <w:r w:rsidR="00161573">
        <w:t>–</w:t>
      </w:r>
      <w:r w:rsidRPr="009B4E3A">
        <w:t xml:space="preserve">26 </w:t>
      </w:r>
      <w:r w:rsidR="00B6222E" w:rsidRPr="009B4E3A">
        <w:t xml:space="preserve">was </w:t>
      </w:r>
      <w:r w:rsidRPr="009B4E3A">
        <w:t>$1,399,560.48.</w:t>
      </w:r>
    </w:p>
    <w:p w14:paraId="00628708" w14:textId="300BC276" w:rsidR="001B30DF" w:rsidRPr="009B4E3A" w:rsidRDefault="00300BE2" w:rsidP="00300BE2">
      <w:pPr>
        <w:pStyle w:val="Caption"/>
      </w:pPr>
      <w:r>
        <w:t xml:space="preserve">Table </w:t>
      </w:r>
      <w:r w:rsidR="00CF55B4">
        <w:t>3</w:t>
      </w:r>
      <w:r w:rsidR="0068179C">
        <w:t>0</w:t>
      </w:r>
      <w:r>
        <w:t xml:space="preserve">. </w:t>
      </w:r>
      <w:r w:rsidR="001B30DF" w:rsidRPr="009B4E3A">
        <w:t>Payments to advertising organisations in 2025–26</w:t>
      </w:r>
    </w:p>
    <w:tbl>
      <w:tblPr>
        <w:tblStyle w:val="NDISTable1"/>
        <w:tblW w:w="9412"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3402"/>
        <w:gridCol w:w="3742"/>
        <w:gridCol w:w="2268"/>
      </w:tblGrid>
      <w:tr w:rsidR="00CA5056" w:rsidRPr="009B4E3A" w14:paraId="7D814B2B" w14:textId="77777777" w:rsidTr="00BE3BBD">
        <w:trPr>
          <w:cnfStyle w:val="100000000000" w:firstRow="1" w:lastRow="0" w:firstColumn="0" w:lastColumn="0" w:oddVBand="0" w:evenVBand="0" w:oddHBand="0" w:evenHBand="0" w:firstRowFirstColumn="0" w:firstRowLastColumn="0" w:lastRowFirstColumn="0" w:lastRowLastColumn="0"/>
        </w:trPr>
        <w:tc>
          <w:tcPr>
            <w:tcW w:w="3402" w:type="dxa"/>
          </w:tcPr>
          <w:p w14:paraId="7AF38308" w14:textId="77777777" w:rsidR="00CA5056" w:rsidRPr="009B4E3A" w:rsidRDefault="00CA5056" w:rsidP="00172730">
            <w:pPr>
              <w:pStyle w:val="TableBody0"/>
              <w:spacing w:line="312" w:lineRule="auto"/>
              <w:rPr>
                <w:b/>
                <w:bCs/>
              </w:rPr>
            </w:pPr>
            <w:r w:rsidRPr="009B4E3A">
              <w:rPr>
                <w:bCs/>
              </w:rPr>
              <w:t>Organisation</w:t>
            </w:r>
          </w:p>
        </w:tc>
        <w:tc>
          <w:tcPr>
            <w:tcW w:w="3742" w:type="dxa"/>
          </w:tcPr>
          <w:p w14:paraId="6AF6BD85" w14:textId="77777777" w:rsidR="00CA5056" w:rsidRPr="009B4E3A" w:rsidRDefault="00CA5056" w:rsidP="00172730">
            <w:pPr>
              <w:pStyle w:val="TableBody0"/>
              <w:spacing w:line="312" w:lineRule="auto"/>
              <w:rPr>
                <w:b/>
                <w:bCs/>
              </w:rPr>
            </w:pPr>
            <w:r w:rsidRPr="009B4E3A">
              <w:rPr>
                <w:bCs/>
              </w:rPr>
              <w:t>Service provided</w:t>
            </w:r>
          </w:p>
        </w:tc>
        <w:tc>
          <w:tcPr>
            <w:tcW w:w="2268" w:type="dxa"/>
          </w:tcPr>
          <w:p w14:paraId="16D17BA6" w14:textId="77777777" w:rsidR="00CA5056" w:rsidRPr="009B4E3A" w:rsidRDefault="00CA5056" w:rsidP="00172730">
            <w:pPr>
              <w:pStyle w:val="TableBody0"/>
              <w:spacing w:line="312" w:lineRule="auto"/>
              <w:jc w:val="right"/>
              <w:rPr>
                <w:b/>
                <w:bCs/>
              </w:rPr>
            </w:pPr>
            <w:r w:rsidRPr="009B4E3A">
              <w:rPr>
                <w:bCs/>
              </w:rPr>
              <w:t>Amount paid</w:t>
            </w:r>
            <w:r w:rsidRPr="009B4E3A">
              <w:rPr>
                <w:bCs/>
              </w:rPr>
              <w:br/>
              <w:t>$ (including GST)</w:t>
            </w:r>
          </w:p>
        </w:tc>
      </w:tr>
      <w:tr w:rsidR="00CA5056" w:rsidRPr="009B4E3A" w14:paraId="58A55916" w14:textId="77777777">
        <w:trPr>
          <w:cnfStyle w:val="000000100000" w:firstRow="0" w:lastRow="0" w:firstColumn="0" w:lastColumn="0" w:oddVBand="0" w:evenVBand="0" w:oddHBand="1" w:evenHBand="0" w:firstRowFirstColumn="0" w:firstRowLastColumn="0" w:lastRowFirstColumn="0" w:lastRowLastColumn="0"/>
          <w:cantSplit/>
        </w:trPr>
        <w:tc>
          <w:tcPr>
            <w:tcW w:w="3402" w:type="dxa"/>
          </w:tcPr>
          <w:p w14:paraId="642DB5D7" w14:textId="77777777" w:rsidR="00CA5056" w:rsidRPr="009B4E3A" w:rsidRDefault="00CA5056" w:rsidP="00172730">
            <w:pPr>
              <w:pStyle w:val="TableBody0"/>
              <w:spacing w:line="312" w:lineRule="auto"/>
            </w:pPr>
            <w:r w:rsidRPr="009B4E3A">
              <w:t>Universal McCann</w:t>
            </w:r>
          </w:p>
        </w:tc>
        <w:tc>
          <w:tcPr>
            <w:tcW w:w="3742" w:type="dxa"/>
          </w:tcPr>
          <w:p w14:paraId="48A5F7CF" w14:textId="3C9A20E3" w:rsidR="00CA5056" w:rsidRPr="009B4E3A" w:rsidRDefault="00CA5056" w:rsidP="00172730">
            <w:pPr>
              <w:pStyle w:val="TableBody0"/>
              <w:spacing w:line="312" w:lineRule="auto"/>
            </w:pPr>
            <w:r w:rsidRPr="009B4E3A">
              <w:t xml:space="preserve">Recruitment </w:t>
            </w:r>
            <w:r w:rsidR="00E25EEF" w:rsidRPr="009B4E3A">
              <w:t>a</w:t>
            </w:r>
            <w:r w:rsidRPr="009B4E3A">
              <w:t>dvertising</w:t>
            </w:r>
          </w:p>
        </w:tc>
        <w:tc>
          <w:tcPr>
            <w:tcW w:w="2268" w:type="dxa"/>
          </w:tcPr>
          <w:p w14:paraId="22209FF6" w14:textId="77777777" w:rsidR="00CA5056" w:rsidRPr="009B4E3A" w:rsidRDefault="00CA5056" w:rsidP="00172730">
            <w:pPr>
              <w:pStyle w:val="TableBody0"/>
              <w:spacing w:line="312" w:lineRule="auto"/>
              <w:jc w:val="right"/>
            </w:pPr>
            <w:r w:rsidRPr="009B4E3A">
              <w:t>$142,381.60</w:t>
            </w:r>
          </w:p>
        </w:tc>
      </w:tr>
      <w:tr w:rsidR="00CA5056" w:rsidRPr="009B4E3A" w14:paraId="7B048E05" w14:textId="77777777">
        <w:trPr>
          <w:cnfStyle w:val="000000010000" w:firstRow="0" w:lastRow="0" w:firstColumn="0" w:lastColumn="0" w:oddVBand="0" w:evenVBand="0" w:oddHBand="0" w:evenHBand="1" w:firstRowFirstColumn="0" w:firstRowLastColumn="0" w:lastRowFirstColumn="0" w:lastRowLastColumn="0"/>
          <w:cantSplit/>
        </w:trPr>
        <w:tc>
          <w:tcPr>
            <w:tcW w:w="3402" w:type="dxa"/>
          </w:tcPr>
          <w:p w14:paraId="5A578E16" w14:textId="77777777" w:rsidR="00CA5056" w:rsidRPr="009B4E3A" w:rsidRDefault="00CA5056" w:rsidP="00172730">
            <w:pPr>
              <w:pStyle w:val="TableBody0"/>
              <w:spacing w:line="312" w:lineRule="auto"/>
            </w:pPr>
          </w:p>
        </w:tc>
        <w:tc>
          <w:tcPr>
            <w:tcW w:w="3742" w:type="dxa"/>
          </w:tcPr>
          <w:p w14:paraId="6BF2CDD0" w14:textId="77777777" w:rsidR="00CA5056" w:rsidRPr="009B4E3A" w:rsidRDefault="00CA5056" w:rsidP="00172730">
            <w:pPr>
              <w:pStyle w:val="TableBody0"/>
              <w:spacing w:line="312" w:lineRule="auto"/>
              <w:jc w:val="right"/>
              <w:rPr>
                <w:b/>
                <w:bCs/>
              </w:rPr>
            </w:pPr>
            <w:r w:rsidRPr="009B4E3A">
              <w:rPr>
                <w:b/>
                <w:bCs/>
              </w:rPr>
              <w:t>Total:</w:t>
            </w:r>
          </w:p>
        </w:tc>
        <w:tc>
          <w:tcPr>
            <w:tcW w:w="2268" w:type="dxa"/>
          </w:tcPr>
          <w:p w14:paraId="5CCE8D03" w14:textId="77777777" w:rsidR="00CA5056" w:rsidRPr="009B4E3A" w:rsidRDefault="00CA5056" w:rsidP="00172730">
            <w:pPr>
              <w:pStyle w:val="TableBody0"/>
              <w:spacing w:line="312" w:lineRule="auto"/>
              <w:jc w:val="right"/>
              <w:rPr>
                <w:b/>
                <w:bCs/>
              </w:rPr>
            </w:pPr>
            <w:r w:rsidRPr="009B4E3A">
              <w:rPr>
                <w:b/>
                <w:bCs/>
              </w:rPr>
              <w:t>$142,381.60</w:t>
            </w:r>
          </w:p>
        </w:tc>
      </w:tr>
    </w:tbl>
    <w:p w14:paraId="20145132" w14:textId="4E2FF2F9" w:rsidR="00C42C23" w:rsidRPr="009B4E3A" w:rsidRDefault="00300BE2" w:rsidP="00300BE2">
      <w:pPr>
        <w:pStyle w:val="Caption"/>
      </w:pPr>
      <w:bookmarkStart w:id="109" w:name="_Toc226723955"/>
      <w:r>
        <w:t xml:space="preserve">Table </w:t>
      </w:r>
      <w:r w:rsidR="00CF55B4">
        <w:t>3</w:t>
      </w:r>
      <w:r w:rsidR="0068179C">
        <w:t>1</w:t>
      </w:r>
      <w:r>
        <w:t xml:space="preserve">. </w:t>
      </w:r>
      <w:r w:rsidR="00C42C23" w:rsidRPr="009B4E3A">
        <w:t>Payments to market research organisations in 2025–26</w:t>
      </w:r>
    </w:p>
    <w:tbl>
      <w:tblPr>
        <w:tblStyle w:val="NDISTable1"/>
        <w:tblW w:w="9412"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3402"/>
        <w:gridCol w:w="3742"/>
        <w:gridCol w:w="2268"/>
      </w:tblGrid>
      <w:tr w:rsidR="002A3BF5" w:rsidRPr="009B4E3A" w14:paraId="4CD83B97" w14:textId="77777777" w:rsidTr="00BE3BBD">
        <w:trPr>
          <w:cnfStyle w:val="100000000000" w:firstRow="1" w:lastRow="0" w:firstColumn="0" w:lastColumn="0" w:oddVBand="0" w:evenVBand="0" w:oddHBand="0" w:evenHBand="0" w:firstRowFirstColumn="0" w:firstRowLastColumn="0" w:lastRowFirstColumn="0" w:lastRowLastColumn="0"/>
        </w:trPr>
        <w:tc>
          <w:tcPr>
            <w:tcW w:w="3402" w:type="dxa"/>
          </w:tcPr>
          <w:p w14:paraId="50C25B65" w14:textId="77777777" w:rsidR="002A3BF5" w:rsidRPr="009B4E3A" w:rsidRDefault="002A3BF5" w:rsidP="00172730">
            <w:pPr>
              <w:pStyle w:val="TableBody0"/>
              <w:spacing w:line="312" w:lineRule="auto"/>
              <w:rPr>
                <w:b/>
                <w:bCs/>
              </w:rPr>
            </w:pPr>
            <w:r w:rsidRPr="009B4E3A">
              <w:rPr>
                <w:bCs/>
              </w:rPr>
              <w:t>Organisation</w:t>
            </w:r>
          </w:p>
        </w:tc>
        <w:tc>
          <w:tcPr>
            <w:tcW w:w="3742" w:type="dxa"/>
          </w:tcPr>
          <w:p w14:paraId="4B3924EE" w14:textId="77777777" w:rsidR="002A3BF5" w:rsidRPr="009B4E3A" w:rsidRDefault="002A3BF5" w:rsidP="00172730">
            <w:pPr>
              <w:pStyle w:val="TableBody0"/>
              <w:spacing w:line="312" w:lineRule="auto"/>
              <w:rPr>
                <w:b/>
                <w:bCs/>
              </w:rPr>
            </w:pPr>
            <w:r w:rsidRPr="009B4E3A">
              <w:rPr>
                <w:bCs/>
              </w:rPr>
              <w:t>Service provided</w:t>
            </w:r>
          </w:p>
        </w:tc>
        <w:tc>
          <w:tcPr>
            <w:tcW w:w="2268" w:type="dxa"/>
          </w:tcPr>
          <w:p w14:paraId="6A4AA63C" w14:textId="77777777" w:rsidR="002A3BF5" w:rsidRPr="009B4E3A" w:rsidRDefault="002A3BF5" w:rsidP="00172730">
            <w:pPr>
              <w:pStyle w:val="TableBody0"/>
              <w:spacing w:line="312" w:lineRule="auto"/>
              <w:jc w:val="right"/>
              <w:rPr>
                <w:b/>
                <w:bCs/>
              </w:rPr>
            </w:pPr>
            <w:r w:rsidRPr="009B4E3A">
              <w:rPr>
                <w:bCs/>
              </w:rPr>
              <w:t>Amount paid</w:t>
            </w:r>
            <w:r w:rsidRPr="009B4E3A">
              <w:rPr>
                <w:bCs/>
              </w:rPr>
              <w:br/>
              <w:t>$ (including GST)</w:t>
            </w:r>
          </w:p>
        </w:tc>
      </w:tr>
      <w:tr w:rsidR="002A3BF5" w:rsidRPr="009B4E3A" w14:paraId="37E61CE3" w14:textId="77777777">
        <w:trPr>
          <w:cnfStyle w:val="000000100000" w:firstRow="0" w:lastRow="0" w:firstColumn="0" w:lastColumn="0" w:oddVBand="0" w:evenVBand="0" w:oddHBand="1" w:evenHBand="0" w:firstRowFirstColumn="0" w:firstRowLastColumn="0" w:lastRowFirstColumn="0" w:lastRowLastColumn="0"/>
          <w:cantSplit/>
        </w:trPr>
        <w:tc>
          <w:tcPr>
            <w:tcW w:w="3402" w:type="dxa"/>
          </w:tcPr>
          <w:p w14:paraId="1E72E9FF" w14:textId="77777777" w:rsidR="002A3BF5" w:rsidRPr="009B4E3A" w:rsidRDefault="002A3BF5" w:rsidP="00172730">
            <w:pPr>
              <w:pStyle w:val="TableBody0"/>
              <w:spacing w:line="312" w:lineRule="auto"/>
            </w:pPr>
            <w:r w:rsidRPr="009B4E3A">
              <w:t>Hall and Partners Pty Ltd</w:t>
            </w:r>
          </w:p>
        </w:tc>
        <w:tc>
          <w:tcPr>
            <w:tcW w:w="3742" w:type="dxa"/>
          </w:tcPr>
          <w:p w14:paraId="3987A2D2" w14:textId="2F37A231" w:rsidR="002A3BF5" w:rsidRPr="009B4E3A" w:rsidRDefault="002A3BF5" w:rsidP="00172730">
            <w:pPr>
              <w:pStyle w:val="TableBody0"/>
              <w:spacing w:line="312" w:lineRule="auto"/>
            </w:pPr>
            <w:r w:rsidRPr="009B4E3A">
              <w:t xml:space="preserve">Community </w:t>
            </w:r>
            <w:r w:rsidR="00E25EEF" w:rsidRPr="009B4E3A">
              <w:t>s</w:t>
            </w:r>
            <w:r w:rsidRPr="009B4E3A">
              <w:t xml:space="preserve">entiment </w:t>
            </w:r>
            <w:r w:rsidR="00E25EEF" w:rsidRPr="009B4E3A">
              <w:t>i</w:t>
            </w:r>
            <w:r w:rsidRPr="009B4E3A">
              <w:t>nsights</w:t>
            </w:r>
          </w:p>
        </w:tc>
        <w:tc>
          <w:tcPr>
            <w:tcW w:w="2268" w:type="dxa"/>
          </w:tcPr>
          <w:p w14:paraId="237E1B32" w14:textId="77777777" w:rsidR="002A3BF5" w:rsidRPr="009B4E3A" w:rsidRDefault="002A3BF5" w:rsidP="00172730">
            <w:pPr>
              <w:pStyle w:val="TableBody0"/>
              <w:spacing w:line="312" w:lineRule="auto"/>
              <w:jc w:val="right"/>
            </w:pPr>
            <w:r w:rsidRPr="009B4E3A">
              <w:t>$283,800.00</w:t>
            </w:r>
          </w:p>
        </w:tc>
      </w:tr>
      <w:tr w:rsidR="002A3BF5" w:rsidRPr="009B4E3A" w14:paraId="56B9FAB3" w14:textId="77777777">
        <w:trPr>
          <w:cnfStyle w:val="000000010000" w:firstRow="0" w:lastRow="0" w:firstColumn="0" w:lastColumn="0" w:oddVBand="0" w:evenVBand="0" w:oddHBand="0" w:evenHBand="1" w:firstRowFirstColumn="0" w:firstRowLastColumn="0" w:lastRowFirstColumn="0" w:lastRowLastColumn="0"/>
          <w:cantSplit/>
        </w:trPr>
        <w:tc>
          <w:tcPr>
            <w:tcW w:w="3402" w:type="dxa"/>
          </w:tcPr>
          <w:p w14:paraId="11EF147F" w14:textId="77777777" w:rsidR="002A3BF5" w:rsidRPr="009B4E3A" w:rsidRDefault="002A3BF5" w:rsidP="00172730">
            <w:pPr>
              <w:pStyle w:val="TableBody0"/>
              <w:spacing w:line="312" w:lineRule="auto"/>
            </w:pPr>
            <w:r w:rsidRPr="009B4E3A">
              <w:t>Verian Group Australia Pty Ltd</w:t>
            </w:r>
          </w:p>
        </w:tc>
        <w:tc>
          <w:tcPr>
            <w:tcW w:w="3742" w:type="dxa"/>
          </w:tcPr>
          <w:p w14:paraId="1BF2126C" w14:textId="0455EB46" w:rsidR="002A3BF5" w:rsidRPr="009B4E3A" w:rsidRDefault="002A3BF5" w:rsidP="00172730">
            <w:pPr>
              <w:pStyle w:val="TableBody0"/>
              <w:spacing w:line="312" w:lineRule="auto"/>
            </w:pPr>
            <w:r w:rsidRPr="009B4E3A">
              <w:t xml:space="preserve">Market </w:t>
            </w:r>
            <w:r w:rsidR="00E25EEF" w:rsidRPr="009B4E3A">
              <w:t>r</w:t>
            </w:r>
            <w:r w:rsidRPr="009B4E3A">
              <w:t>esearch</w:t>
            </w:r>
          </w:p>
        </w:tc>
        <w:tc>
          <w:tcPr>
            <w:tcW w:w="2268" w:type="dxa"/>
          </w:tcPr>
          <w:p w14:paraId="30B97B3F" w14:textId="77777777" w:rsidR="002A3BF5" w:rsidRPr="009B4E3A" w:rsidRDefault="002A3BF5" w:rsidP="00172730">
            <w:pPr>
              <w:pStyle w:val="TableBody0"/>
              <w:spacing w:line="312" w:lineRule="auto"/>
              <w:jc w:val="right"/>
            </w:pPr>
            <w:r w:rsidRPr="009B4E3A">
              <w:t>$534,182.00</w:t>
            </w:r>
          </w:p>
        </w:tc>
      </w:tr>
      <w:tr w:rsidR="002A3BF5" w:rsidRPr="009B4E3A" w14:paraId="1C0DF559" w14:textId="77777777">
        <w:trPr>
          <w:cnfStyle w:val="000000100000" w:firstRow="0" w:lastRow="0" w:firstColumn="0" w:lastColumn="0" w:oddVBand="0" w:evenVBand="0" w:oddHBand="1" w:evenHBand="0" w:firstRowFirstColumn="0" w:firstRowLastColumn="0" w:lastRowFirstColumn="0" w:lastRowLastColumn="0"/>
          <w:cantSplit/>
        </w:trPr>
        <w:tc>
          <w:tcPr>
            <w:tcW w:w="3402" w:type="dxa"/>
          </w:tcPr>
          <w:p w14:paraId="37D38490" w14:textId="77777777" w:rsidR="002A3BF5" w:rsidRPr="009B4E3A" w:rsidRDefault="002A3BF5" w:rsidP="00172730">
            <w:pPr>
              <w:pStyle w:val="TableBody0"/>
              <w:spacing w:line="312" w:lineRule="auto"/>
            </w:pPr>
            <w:r w:rsidRPr="009B4E3A">
              <w:t>Whereto Research</w:t>
            </w:r>
          </w:p>
        </w:tc>
        <w:tc>
          <w:tcPr>
            <w:tcW w:w="3742" w:type="dxa"/>
          </w:tcPr>
          <w:p w14:paraId="4891527E" w14:textId="6F2F9C1E" w:rsidR="002A3BF5" w:rsidRPr="009B4E3A" w:rsidRDefault="002A3BF5" w:rsidP="00172730">
            <w:pPr>
              <w:pStyle w:val="TableBody0"/>
              <w:spacing w:line="312" w:lineRule="auto"/>
            </w:pPr>
            <w:r w:rsidRPr="009B4E3A">
              <w:t xml:space="preserve">Market </w:t>
            </w:r>
            <w:r w:rsidR="00E25EEF" w:rsidRPr="009B4E3A">
              <w:t>r</w:t>
            </w:r>
            <w:r w:rsidRPr="009B4E3A">
              <w:t>esearch</w:t>
            </w:r>
          </w:p>
        </w:tc>
        <w:tc>
          <w:tcPr>
            <w:tcW w:w="2268" w:type="dxa"/>
          </w:tcPr>
          <w:p w14:paraId="0A167EDF" w14:textId="77777777" w:rsidR="002A3BF5" w:rsidRPr="009B4E3A" w:rsidRDefault="002A3BF5" w:rsidP="00172730">
            <w:pPr>
              <w:pStyle w:val="TableBody0"/>
              <w:spacing w:line="312" w:lineRule="auto"/>
              <w:jc w:val="right"/>
            </w:pPr>
            <w:r w:rsidRPr="009B4E3A">
              <w:t>$387,640.00</w:t>
            </w:r>
          </w:p>
        </w:tc>
      </w:tr>
      <w:tr w:rsidR="002A3BF5" w:rsidRPr="009B4E3A" w14:paraId="78176DD8" w14:textId="77777777">
        <w:trPr>
          <w:cnfStyle w:val="000000010000" w:firstRow="0" w:lastRow="0" w:firstColumn="0" w:lastColumn="0" w:oddVBand="0" w:evenVBand="0" w:oddHBand="0" w:evenHBand="1" w:firstRowFirstColumn="0" w:firstRowLastColumn="0" w:lastRowFirstColumn="0" w:lastRowLastColumn="0"/>
          <w:cantSplit/>
        </w:trPr>
        <w:tc>
          <w:tcPr>
            <w:tcW w:w="3402" w:type="dxa"/>
          </w:tcPr>
          <w:p w14:paraId="5E8A23FB" w14:textId="77777777" w:rsidR="002A3BF5" w:rsidRPr="009B4E3A" w:rsidRDefault="002A3BF5" w:rsidP="00172730">
            <w:pPr>
              <w:pStyle w:val="TableBody0"/>
              <w:spacing w:line="312" w:lineRule="auto"/>
            </w:pPr>
          </w:p>
        </w:tc>
        <w:tc>
          <w:tcPr>
            <w:tcW w:w="3742" w:type="dxa"/>
          </w:tcPr>
          <w:p w14:paraId="74934D6A" w14:textId="77777777" w:rsidR="002A3BF5" w:rsidRPr="009B4E3A" w:rsidRDefault="002A3BF5" w:rsidP="00172730">
            <w:pPr>
              <w:pStyle w:val="TableBody0"/>
              <w:spacing w:line="312" w:lineRule="auto"/>
              <w:jc w:val="right"/>
              <w:rPr>
                <w:b/>
                <w:bCs/>
              </w:rPr>
            </w:pPr>
            <w:r w:rsidRPr="009B4E3A">
              <w:rPr>
                <w:b/>
                <w:bCs/>
              </w:rPr>
              <w:t>Total:</w:t>
            </w:r>
          </w:p>
        </w:tc>
        <w:tc>
          <w:tcPr>
            <w:tcW w:w="2268" w:type="dxa"/>
          </w:tcPr>
          <w:p w14:paraId="520DD7AA" w14:textId="77777777" w:rsidR="002A3BF5" w:rsidRPr="009B4E3A" w:rsidRDefault="002A3BF5" w:rsidP="00172730">
            <w:pPr>
              <w:pStyle w:val="TableBody0"/>
              <w:spacing w:line="312" w:lineRule="auto"/>
              <w:jc w:val="right"/>
              <w:rPr>
                <w:b/>
                <w:bCs/>
              </w:rPr>
            </w:pPr>
            <w:r w:rsidRPr="009B4E3A">
              <w:rPr>
                <w:b/>
                <w:bCs/>
              </w:rPr>
              <w:t>$1,205,622.00</w:t>
            </w:r>
          </w:p>
        </w:tc>
      </w:tr>
    </w:tbl>
    <w:p w14:paraId="68F5FDE6" w14:textId="20890696" w:rsidR="00C42C23" w:rsidRPr="009B4E3A" w:rsidRDefault="00300BE2" w:rsidP="00300BE2">
      <w:pPr>
        <w:pStyle w:val="Caption"/>
      </w:pPr>
      <w:r>
        <w:t xml:space="preserve">Table </w:t>
      </w:r>
      <w:r w:rsidR="00CF55B4">
        <w:t>3</w:t>
      </w:r>
      <w:r w:rsidR="0068179C">
        <w:t>2</w:t>
      </w:r>
      <w:r>
        <w:t xml:space="preserve">. </w:t>
      </w:r>
      <w:r w:rsidR="00C42C23" w:rsidRPr="009B4E3A">
        <w:t>Payments to polling organisations in 2025–26</w:t>
      </w:r>
    </w:p>
    <w:tbl>
      <w:tblPr>
        <w:tblStyle w:val="NDISTable1"/>
        <w:tblW w:w="9412"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3402"/>
        <w:gridCol w:w="3742"/>
        <w:gridCol w:w="2268"/>
      </w:tblGrid>
      <w:tr w:rsidR="00E8522E" w:rsidRPr="009B4E3A" w14:paraId="353EE2F6" w14:textId="77777777" w:rsidTr="00BE3BBD">
        <w:trPr>
          <w:cnfStyle w:val="100000000000" w:firstRow="1" w:lastRow="0" w:firstColumn="0" w:lastColumn="0" w:oddVBand="0" w:evenVBand="0" w:oddHBand="0" w:evenHBand="0" w:firstRowFirstColumn="0" w:firstRowLastColumn="0" w:lastRowFirstColumn="0" w:lastRowLastColumn="0"/>
        </w:trPr>
        <w:tc>
          <w:tcPr>
            <w:tcW w:w="3402" w:type="dxa"/>
          </w:tcPr>
          <w:p w14:paraId="67B447BA" w14:textId="77777777" w:rsidR="00E8522E" w:rsidRPr="009B4E3A" w:rsidRDefault="00E8522E" w:rsidP="00172730">
            <w:pPr>
              <w:pStyle w:val="TableBody0"/>
              <w:spacing w:line="312" w:lineRule="auto"/>
              <w:rPr>
                <w:b/>
                <w:bCs/>
              </w:rPr>
            </w:pPr>
            <w:r w:rsidRPr="009B4E3A">
              <w:rPr>
                <w:bCs/>
              </w:rPr>
              <w:t>Organisation</w:t>
            </w:r>
          </w:p>
        </w:tc>
        <w:tc>
          <w:tcPr>
            <w:tcW w:w="3742" w:type="dxa"/>
          </w:tcPr>
          <w:p w14:paraId="0A30A8FA" w14:textId="77777777" w:rsidR="00E8522E" w:rsidRPr="009B4E3A" w:rsidRDefault="00E8522E" w:rsidP="00172730">
            <w:pPr>
              <w:pStyle w:val="TableBody0"/>
              <w:spacing w:line="312" w:lineRule="auto"/>
              <w:rPr>
                <w:b/>
                <w:bCs/>
              </w:rPr>
            </w:pPr>
            <w:r w:rsidRPr="009B4E3A">
              <w:rPr>
                <w:bCs/>
              </w:rPr>
              <w:t>Service provided</w:t>
            </w:r>
          </w:p>
        </w:tc>
        <w:tc>
          <w:tcPr>
            <w:tcW w:w="2268" w:type="dxa"/>
          </w:tcPr>
          <w:p w14:paraId="07CF42B6" w14:textId="77777777" w:rsidR="00E8522E" w:rsidRPr="009B4E3A" w:rsidRDefault="00E8522E" w:rsidP="00172730">
            <w:pPr>
              <w:pStyle w:val="TableBody0"/>
              <w:spacing w:line="312" w:lineRule="auto"/>
              <w:jc w:val="right"/>
              <w:rPr>
                <w:b/>
                <w:bCs/>
              </w:rPr>
            </w:pPr>
            <w:r w:rsidRPr="009B4E3A">
              <w:rPr>
                <w:bCs/>
              </w:rPr>
              <w:t>Amount paid</w:t>
            </w:r>
            <w:r w:rsidRPr="009B4E3A">
              <w:rPr>
                <w:bCs/>
              </w:rPr>
              <w:br/>
              <w:t>$ (including GST)</w:t>
            </w:r>
          </w:p>
        </w:tc>
      </w:tr>
      <w:tr w:rsidR="00E8522E" w:rsidRPr="009B4E3A" w14:paraId="2C4091E0" w14:textId="77777777">
        <w:trPr>
          <w:cnfStyle w:val="000000100000" w:firstRow="0" w:lastRow="0" w:firstColumn="0" w:lastColumn="0" w:oddVBand="0" w:evenVBand="0" w:oddHBand="1" w:evenHBand="0" w:firstRowFirstColumn="0" w:firstRowLastColumn="0" w:lastRowFirstColumn="0" w:lastRowLastColumn="0"/>
          <w:cantSplit/>
        </w:trPr>
        <w:tc>
          <w:tcPr>
            <w:tcW w:w="3402" w:type="dxa"/>
          </w:tcPr>
          <w:p w14:paraId="4895BC9A" w14:textId="77777777" w:rsidR="00E8522E" w:rsidRPr="009B4E3A" w:rsidRDefault="00E8522E" w:rsidP="00172730">
            <w:pPr>
              <w:pStyle w:val="TableBody0"/>
              <w:spacing w:line="312" w:lineRule="auto"/>
            </w:pPr>
            <w:r w:rsidRPr="009B4E3A">
              <w:t>Nil</w:t>
            </w:r>
          </w:p>
        </w:tc>
        <w:tc>
          <w:tcPr>
            <w:tcW w:w="3742" w:type="dxa"/>
          </w:tcPr>
          <w:p w14:paraId="3371337E" w14:textId="77777777" w:rsidR="00E8522E" w:rsidRPr="009B4E3A" w:rsidRDefault="00E8522E" w:rsidP="00172730">
            <w:pPr>
              <w:pStyle w:val="TableBody0"/>
              <w:spacing w:line="312" w:lineRule="auto"/>
            </w:pPr>
          </w:p>
        </w:tc>
        <w:tc>
          <w:tcPr>
            <w:tcW w:w="2268" w:type="dxa"/>
          </w:tcPr>
          <w:p w14:paraId="18D1308F" w14:textId="77777777" w:rsidR="00E8522E" w:rsidRPr="009B4E3A" w:rsidRDefault="00E8522E" w:rsidP="00172730">
            <w:pPr>
              <w:pStyle w:val="TableBody0"/>
              <w:spacing w:line="312" w:lineRule="auto"/>
              <w:jc w:val="right"/>
            </w:pPr>
          </w:p>
        </w:tc>
      </w:tr>
    </w:tbl>
    <w:p w14:paraId="12AB8B0F" w14:textId="43CE70F3" w:rsidR="00C42C23" w:rsidRPr="009B4E3A" w:rsidRDefault="00300BE2" w:rsidP="00300BE2">
      <w:pPr>
        <w:pStyle w:val="Caption"/>
      </w:pPr>
      <w:r>
        <w:t xml:space="preserve">Table </w:t>
      </w:r>
      <w:r w:rsidR="00CF55B4">
        <w:rPr>
          <w:noProof/>
        </w:rPr>
        <w:t>3</w:t>
      </w:r>
      <w:r w:rsidR="0068179C">
        <w:rPr>
          <w:noProof/>
        </w:rPr>
        <w:t>3</w:t>
      </w:r>
      <w:r>
        <w:t xml:space="preserve">. </w:t>
      </w:r>
      <w:r w:rsidR="00C42C23" w:rsidRPr="009B4E3A">
        <w:t>Payments to direct mail organisations in 2025–26</w:t>
      </w:r>
    </w:p>
    <w:tbl>
      <w:tblPr>
        <w:tblStyle w:val="NDISTable1"/>
        <w:tblW w:w="9412"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3402"/>
        <w:gridCol w:w="3742"/>
        <w:gridCol w:w="2268"/>
      </w:tblGrid>
      <w:tr w:rsidR="00662155" w:rsidRPr="009B4E3A" w14:paraId="1A44A437" w14:textId="77777777" w:rsidTr="00BE3BBD">
        <w:trPr>
          <w:cnfStyle w:val="100000000000" w:firstRow="1" w:lastRow="0" w:firstColumn="0" w:lastColumn="0" w:oddVBand="0" w:evenVBand="0" w:oddHBand="0" w:evenHBand="0" w:firstRowFirstColumn="0" w:firstRowLastColumn="0" w:lastRowFirstColumn="0" w:lastRowLastColumn="0"/>
        </w:trPr>
        <w:tc>
          <w:tcPr>
            <w:tcW w:w="3402" w:type="dxa"/>
          </w:tcPr>
          <w:p w14:paraId="5E2500CC" w14:textId="77777777" w:rsidR="00662155" w:rsidRPr="009B4E3A" w:rsidRDefault="00662155" w:rsidP="00172730">
            <w:pPr>
              <w:pStyle w:val="TableBody0"/>
              <w:spacing w:line="312" w:lineRule="auto"/>
              <w:rPr>
                <w:b/>
                <w:bCs/>
              </w:rPr>
            </w:pPr>
            <w:r w:rsidRPr="009B4E3A">
              <w:rPr>
                <w:bCs/>
              </w:rPr>
              <w:t>Organisation</w:t>
            </w:r>
          </w:p>
        </w:tc>
        <w:tc>
          <w:tcPr>
            <w:tcW w:w="3742" w:type="dxa"/>
          </w:tcPr>
          <w:p w14:paraId="4C9C6B93" w14:textId="77777777" w:rsidR="00662155" w:rsidRPr="009B4E3A" w:rsidRDefault="00662155" w:rsidP="00172730">
            <w:pPr>
              <w:pStyle w:val="TableBody0"/>
              <w:spacing w:line="312" w:lineRule="auto"/>
              <w:rPr>
                <w:b/>
                <w:bCs/>
              </w:rPr>
            </w:pPr>
            <w:r w:rsidRPr="009B4E3A">
              <w:rPr>
                <w:bCs/>
              </w:rPr>
              <w:t>Service provided</w:t>
            </w:r>
          </w:p>
        </w:tc>
        <w:tc>
          <w:tcPr>
            <w:tcW w:w="2268" w:type="dxa"/>
          </w:tcPr>
          <w:p w14:paraId="27D7BB99" w14:textId="77777777" w:rsidR="00662155" w:rsidRPr="009B4E3A" w:rsidRDefault="00662155" w:rsidP="00172730">
            <w:pPr>
              <w:pStyle w:val="TableBody0"/>
              <w:spacing w:line="312" w:lineRule="auto"/>
              <w:jc w:val="right"/>
              <w:rPr>
                <w:b/>
                <w:bCs/>
              </w:rPr>
            </w:pPr>
            <w:r w:rsidRPr="009B4E3A">
              <w:rPr>
                <w:bCs/>
              </w:rPr>
              <w:t>Amount paid</w:t>
            </w:r>
            <w:r w:rsidRPr="009B4E3A">
              <w:rPr>
                <w:bCs/>
              </w:rPr>
              <w:br/>
              <w:t>$ (including GST)</w:t>
            </w:r>
          </w:p>
        </w:tc>
      </w:tr>
      <w:tr w:rsidR="00662155" w:rsidRPr="009B4E3A" w14:paraId="10A64235" w14:textId="77777777">
        <w:trPr>
          <w:cnfStyle w:val="000000100000" w:firstRow="0" w:lastRow="0" w:firstColumn="0" w:lastColumn="0" w:oddVBand="0" w:evenVBand="0" w:oddHBand="1" w:evenHBand="0" w:firstRowFirstColumn="0" w:firstRowLastColumn="0" w:lastRowFirstColumn="0" w:lastRowLastColumn="0"/>
          <w:cantSplit/>
        </w:trPr>
        <w:tc>
          <w:tcPr>
            <w:tcW w:w="3402" w:type="dxa"/>
          </w:tcPr>
          <w:p w14:paraId="565C9E55" w14:textId="79A5E909" w:rsidR="00662155" w:rsidRPr="009B4E3A" w:rsidRDefault="00662155" w:rsidP="00172730">
            <w:pPr>
              <w:pStyle w:val="TableBody0"/>
              <w:spacing w:line="312" w:lineRule="auto"/>
            </w:pPr>
            <w:r w:rsidRPr="009B4E3A">
              <w:t xml:space="preserve">National Mailing </w:t>
            </w:r>
            <w:r w:rsidR="00083268">
              <w:t>and</w:t>
            </w:r>
            <w:r w:rsidRPr="009B4E3A">
              <w:t xml:space="preserve"> Marketing Pty Ltd</w:t>
            </w:r>
          </w:p>
        </w:tc>
        <w:tc>
          <w:tcPr>
            <w:tcW w:w="3742" w:type="dxa"/>
          </w:tcPr>
          <w:p w14:paraId="3A33003E" w14:textId="77777777" w:rsidR="00662155" w:rsidRPr="009B4E3A" w:rsidRDefault="00662155" w:rsidP="00172730">
            <w:pPr>
              <w:pStyle w:val="TableBody0"/>
              <w:spacing w:line="312" w:lineRule="auto"/>
            </w:pPr>
            <w:r w:rsidRPr="009B4E3A">
              <w:t>Mail and booklets distribution</w:t>
            </w:r>
          </w:p>
        </w:tc>
        <w:tc>
          <w:tcPr>
            <w:tcW w:w="2268" w:type="dxa"/>
          </w:tcPr>
          <w:p w14:paraId="519D0A70" w14:textId="77777777" w:rsidR="00662155" w:rsidRPr="009B4E3A" w:rsidRDefault="00662155" w:rsidP="00172730">
            <w:pPr>
              <w:pStyle w:val="TableBody0"/>
              <w:spacing w:line="312" w:lineRule="auto"/>
              <w:jc w:val="right"/>
            </w:pPr>
            <w:r w:rsidRPr="009B4E3A">
              <w:t>$51,556.88</w:t>
            </w:r>
          </w:p>
        </w:tc>
      </w:tr>
      <w:tr w:rsidR="00662155" w:rsidRPr="009B4E3A" w14:paraId="4C8A7D79" w14:textId="77777777">
        <w:trPr>
          <w:cnfStyle w:val="000000010000" w:firstRow="0" w:lastRow="0" w:firstColumn="0" w:lastColumn="0" w:oddVBand="0" w:evenVBand="0" w:oddHBand="0" w:evenHBand="1" w:firstRowFirstColumn="0" w:firstRowLastColumn="0" w:lastRowFirstColumn="0" w:lastRowLastColumn="0"/>
          <w:cantSplit/>
        </w:trPr>
        <w:tc>
          <w:tcPr>
            <w:tcW w:w="3402" w:type="dxa"/>
          </w:tcPr>
          <w:p w14:paraId="5546A4B9" w14:textId="77777777" w:rsidR="00662155" w:rsidRPr="009B4E3A" w:rsidRDefault="00662155" w:rsidP="00172730">
            <w:pPr>
              <w:pStyle w:val="TableBody0"/>
              <w:spacing w:line="312" w:lineRule="auto"/>
            </w:pPr>
          </w:p>
        </w:tc>
        <w:tc>
          <w:tcPr>
            <w:tcW w:w="3742" w:type="dxa"/>
          </w:tcPr>
          <w:p w14:paraId="122A3343" w14:textId="77777777" w:rsidR="00662155" w:rsidRPr="009B4E3A" w:rsidRDefault="00662155" w:rsidP="00172730">
            <w:pPr>
              <w:pStyle w:val="TableBody0"/>
              <w:spacing w:line="312" w:lineRule="auto"/>
              <w:jc w:val="right"/>
              <w:rPr>
                <w:b/>
                <w:bCs/>
              </w:rPr>
            </w:pPr>
            <w:r w:rsidRPr="009B4E3A">
              <w:rPr>
                <w:b/>
                <w:bCs/>
              </w:rPr>
              <w:t>Total:</w:t>
            </w:r>
          </w:p>
        </w:tc>
        <w:tc>
          <w:tcPr>
            <w:tcW w:w="2268" w:type="dxa"/>
          </w:tcPr>
          <w:p w14:paraId="77FD53F3" w14:textId="77777777" w:rsidR="00662155" w:rsidRPr="009B4E3A" w:rsidRDefault="00662155" w:rsidP="00172730">
            <w:pPr>
              <w:pStyle w:val="TableBody0"/>
              <w:spacing w:line="312" w:lineRule="auto"/>
              <w:jc w:val="right"/>
              <w:rPr>
                <w:b/>
                <w:bCs/>
              </w:rPr>
            </w:pPr>
            <w:r w:rsidRPr="009B4E3A">
              <w:rPr>
                <w:b/>
                <w:bCs/>
              </w:rPr>
              <w:t>$51,556.88</w:t>
            </w:r>
          </w:p>
        </w:tc>
      </w:tr>
    </w:tbl>
    <w:p w14:paraId="0477FB73" w14:textId="61CFE68D" w:rsidR="00C42C23" w:rsidRPr="009B4E3A" w:rsidRDefault="00300BE2" w:rsidP="00300BE2">
      <w:pPr>
        <w:pStyle w:val="Caption"/>
      </w:pPr>
      <w:r>
        <w:t xml:space="preserve">Table </w:t>
      </w:r>
      <w:r w:rsidR="00CF55B4">
        <w:t>3</w:t>
      </w:r>
      <w:r w:rsidR="0068179C">
        <w:t>4</w:t>
      </w:r>
      <w:r>
        <w:t xml:space="preserve">. </w:t>
      </w:r>
      <w:r w:rsidR="00C42C23" w:rsidRPr="009B4E3A">
        <w:t>Payments to media advertising organisations in 2025–26</w:t>
      </w:r>
    </w:p>
    <w:tbl>
      <w:tblPr>
        <w:tblStyle w:val="NDISTable1"/>
        <w:tblW w:w="9412"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3402"/>
        <w:gridCol w:w="3742"/>
        <w:gridCol w:w="2268"/>
      </w:tblGrid>
      <w:tr w:rsidR="00724D91" w:rsidRPr="009B4E3A" w14:paraId="49322ED5" w14:textId="77777777" w:rsidTr="00BE3BBD">
        <w:trPr>
          <w:cnfStyle w:val="100000000000" w:firstRow="1" w:lastRow="0" w:firstColumn="0" w:lastColumn="0" w:oddVBand="0" w:evenVBand="0" w:oddHBand="0" w:evenHBand="0" w:firstRowFirstColumn="0" w:firstRowLastColumn="0" w:lastRowFirstColumn="0" w:lastRowLastColumn="0"/>
        </w:trPr>
        <w:tc>
          <w:tcPr>
            <w:tcW w:w="3402" w:type="dxa"/>
          </w:tcPr>
          <w:p w14:paraId="3B22C401" w14:textId="77777777" w:rsidR="00724D91" w:rsidRPr="009B4E3A" w:rsidRDefault="00724D91" w:rsidP="00172730">
            <w:pPr>
              <w:pStyle w:val="TableBody0"/>
              <w:spacing w:line="312" w:lineRule="auto"/>
              <w:rPr>
                <w:b/>
                <w:bCs/>
              </w:rPr>
            </w:pPr>
            <w:r w:rsidRPr="009B4E3A">
              <w:rPr>
                <w:bCs/>
              </w:rPr>
              <w:t>Organisation</w:t>
            </w:r>
          </w:p>
        </w:tc>
        <w:tc>
          <w:tcPr>
            <w:tcW w:w="3742" w:type="dxa"/>
          </w:tcPr>
          <w:p w14:paraId="3FC63E65" w14:textId="77777777" w:rsidR="00724D91" w:rsidRPr="009B4E3A" w:rsidRDefault="00724D91" w:rsidP="00172730">
            <w:pPr>
              <w:pStyle w:val="TableBody0"/>
              <w:spacing w:line="312" w:lineRule="auto"/>
              <w:rPr>
                <w:b/>
                <w:bCs/>
              </w:rPr>
            </w:pPr>
            <w:r w:rsidRPr="009B4E3A">
              <w:rPr>
                <w:bCs/>
              </w:rPr>
              <w:t>Service provided</w:t>
            </w:r>
          </w:p>
        </w:tc>
        <w:tc>
          <w:tcPr>
            <w:tcW w:w="2268" w:type="dxa"/>
          </w:tcPr>
          <w:p w14:paraId="33546EFA" w14:textId="77777777" w:rsidR="00724D91" w:rsidRPr="009B4E3A" w:rsidRDefault="00724D91" w:rsidP="00172730">
            <w:pPr>
              <w:pStyle w:val="TableBody0"/>
              <w:spacing w:line="312" w:lineRule="auto"/>
              <w:jc w:val="right"/>
              <w:rPr>
                <w:b/>
                <w:bCs/>
              </w:rPr>
            </w:pPr>
            <w:r w:rsidRPr="009B4E3A">
              <w:rPr>
                <w:bCs/>
              </w:rPr>
              <w:t>Amount paid</w:t>
            </w:r>
            <w:r w:rsidRPr="009B4E3A">
              <w:rPr>
                <w:bCs/>
              </w:rPr>
              <w:br/>
              <w:t>$ (including GST)</w:t>
            </w:r>
          </w:p>
        </w:tc>
      </w:tr>
      <w:tr w:rsidR="00724D91" w:rsidRPr="009B4E3A" w14:paraId="62A2767A" w14:textId="77777777">
        <w:trPr>
          <w:cnfStyle w:val="000000100000" w:firstRow="0" w:lastRow="0" w:firstColumn="0" w:lastColumn="0" w:oddVBand="0" w:evenVBand="0" w:oddHBand="1" w:evenHBand="0" w:firstRowFirstColumn="0" w:firstRowLastColumn="0" w:lastRowFirstColumn="0" w:lastRowLastColumn="0"/>
          <w:cantSplit/>
        </w:trPr>
        <w:tc>
          <w:tcPr>
            <w:tcW w:w="3402" w:type="dxa"/>
          </w:tcPr>
          <w:p w14:paraId="253B7C32" w14:textId="77777777" w:rsidR="00724D91" w:rsidRPr="009B4E3A" w:rsidRDefault="00724D91" w:rsidP="00172730">
            <w:pPr>
              <w:pStyle w:val="TableBody0"/>
              <w:spacing w:line="312" w:lineRule="auto"/>
            </w:pPr>
            <w:r w:rsidRPr="009B4E3A">
              <w:t>Nil</w:t>
            </w:r>
          </w:p>
        </w:tc>
        <w:tc>
          <w:tcPr>
            <w:tcW w:w="3742" w:type="dxa"/>
          </w:tcPr>
          <w:p w14:paraId="76184355" w14:textId="77777777" w:rsidR="00724D91" w:rsidRPr="009B4E3A" w:rsidRDefault="00724D91" w:rsidP="00172730">
            <w:pPr>
              <w:pStyle w:val="TableBody0"/>
              <w:spacing w:line="312" w:lineRule="auto"/>
            </w:pPr>
          </w:p>
        </w:tc>
        <w:tc>
          <w:tcPr>
            <w:tcW w:w="2268" w:type="dxa"/>
          </w:tcPr>
          <w:p w14:paraId="1BDC046C" w14:textId="77777777" w:rsidR="00724D91" w:rsidRPr="009B4E3A" w:rsidRDefault="00724D91" w:rsidP="00172730">
            <w:pPr>
              <w:pStyle w:val="TableBody0"/>
              <w:spacing w:line="312" w:lineRule="auto"/>
              <w:jc w:val="right"/>
            </w:pPr>
          </w:p>
        </w:tc>
      </w:tr>
    </w:tbl>
    <w:p w14:paraId="183387DC" w14:textId="77777777" w:rsidR="000E231C" w:rsidRPr="009B4E3A" w:rsidRDefault="000E231C" w:rsidP="00741632">
      <w:pPr>
        <w:pStyle w:val="Heading3"/>
      </w:pPr>
      <w:bookmarkStart w:id="110" w:name="_Toc241826748"/>
      <w:r w:rsidRPr="009B4E3A">
        <w:t>7.6 Climate statement</w:t>
      </w:r>
      <w:bookmarkEnd w:id="109"/>
      <w:bookmarkEnd w:id="110"/>
    </w:p>
    <w:p w14:paraId="1ED99D7E" w14:textId="0E2B78BE" w:rsidR="00A870B5" w:rsidRPr="009B4E3A" w:rsidRDefault="00A870B5" w:rsidP="00A870B5">
      <w:pPr>
        <w:shd w:val="clear" w:color="auto" w:fill="FFFFFF"/>
        <w:rPr>
          <w:rFonts w:eastAsia="Arial" w:cs="Arial"/>
          <w:color w:val="242424"/>
          <w:lang w:eastAsia="ja-JP"/>
        </w:rPr>
      </w:pPr>
      <w:r w:rsidRPr="009B4E3A">
        <w:rPr>
          <w:rFonts w:eastAsia="Arial" w:cs="Arial"/>
          <w:color w:val="242424"/>
          <w:lang w:eastAsia="ja-JP"/>
        </w:rPr>
        <w:t xml:space="preserve">Commonwealth Climate Disclosure is the Government’s policy </w:t>
      </w:r>
      <w:r w:rsidR="00245D01" w:rsidRPr="009B4E3A">
        <w:rPr>
          <w:rFonts w:eastAsia="Arial" w:cs="Arial"/>
          <w:color w:val="242424"/>
          <w:lang w:eastAsia="ja-JP"/>
        </w:rPr>
        <w:t xml:space="preserve">for </w:t>
      </w:r>
      <w:r w:rsidRPr="009B4E3A">
        <w:rPr>
          <w:rFonts w:eastAsia="Arial" w:cs="Arial"/>
          <w:color w:val="242424"/>
          <w:lang w:eastAsia="ja-JP"/>
        </w:rPr>
        <w:t xml:space="preserve">Commonwealth entities to publicly disclose their exposure to climate-related risks and opportunities </w:t>
      </w:r>
      <w:r w:rsidR="000A3884" w:rsidRPr="009B4E3A">
        <w:rPr>
          <w:rFonts w:eastAsia="Arial" w:cs="Arial"/>
          <w:color w:val="242424"/>
          <w:lang w:eastAsia="ja-JP"/>
        </w:rPr>
        <w:t>and the actions</w:t>
      </w:r>
      <w:r w:rsidRPr="009B4E3A">
        <w:rPr>
          <w:rFonts w:eastAsia="Arial" w:cs="Arial"/>
          <w:color w:val="242424"/>
          <w:lang w:eastAsia="ja-JP"/>
        </w:rPr>
        <w:t xml:space="preserve"> taken to manage </w:t>
      </w:r>
      <w:r w:rsidR="000A3884" w:rsidRPr="009B4E3A">
        <w:rPr>
          <w:rFonts w:eastAsia="Arial" w:cs="Arial"/>
          <w:color w:val="242424"/>
          <w:lang w:eastAsia="ja-JP"/>
        </w:rPr>
        <w:t>them</w:t>
      </w:r>
      <w:r w:rsidRPr="009B4E3A">
        <w:rPr>
          <w:rFonts w:eastAsia="Arial" w:cs="Arial"/>
          <w:color w:val="242424"/>
          <w:lang w:eastAsia="ja-JP"/>
        </w:rPr>
        <w:t>.</w:t>
      </w:r>
    </w:p>
    <w:p w14:paraId="0BEFD1E6" w14:textId="3A00FF3F" w:rsidR="00E1008D" w:rsidRDefault="00A870B5" w:rsidP="00F51460">
      <w:pPr>
        <w:shd w:val="clear" w:color="auto" w:fill="FFFFFF"/>
      </w:pPr>
      <w:r w:rsidRPr="009B4E3A">
        <w:rPr>
          <w:rFonts w:eastAsia="Arial" w:cs="Arial"/>
          <w:color w:val="242424"/>
          <w:lang w:eastAsia="ja-JP"/>
        </w:rPr>
        <w:t xml:space="preserve">As a Tranche 1 entity, the NDIA is required to include climate-related disclosures within its annual reporting suite. The NDIA Climate Disclosure Report has been prepared in accordance with the Year 2 Reporting Provisions and is available on the </w:t>
      </w:r>
      <w:hyperlink r:id="rId78" w:history="1">
        <w:r w:rsidRPr="00ED79FF">
          <w:rPr>
            <w:rStyle w:val="Hyperlink"/>
            <w:rFonts w:eastAsia="Arial" w:cs="Arial"/>
            <w:lang w:eastAsia="ja-JP"/>
          </w:rPr>
          <w:t>Transparency Portal</w:t>
        </w:r>
      </w:hyperlink>
      <w:r w:rsidRPr="009B4E3A">
        <w:rPr>
          <w:rFonts w:eastAsia="Arial" w:cs="Arial"/>
          <w:color w:val="242424"/>
          <w:lang w:eastAsia="ja-JP"/>
        </w:rPr>
        <w:t>.</w:t>
      </w:r>
    </w:p>
    <w:p w14:paraId="739B9403" w14:textId="77777777" w:rsidR="000E1041" w:rsidRDefault="000E1041" w:rsidP="009B4E3A">
      <w:pPr>
        <w:pStyle w:val="Heading3"/>
      </w:pPr>
      <w:bookmarkStart w:id="111" w:name="_Toc226723963"/>
      <w:bookmarkStart w:id="112" w:name="_Toc241826749"/>
      <w:r>
        <w:t>7.7 Compliance with Carer Recognition Act</w:t>
      </w:r>
      <w:bookmarkEnd w:id="111"/>
      <w:bookmarkEnd w:id="112"/>
    </w:p>
    <w:p w14:paraId="54CA6C41" w14:textId="22D3A60E" w:rsidR="005544AA" w:rsidRDefault="005544AA" w:rsidP="005544AA">
      <w:r>
        <w:t xml:space="preserve">Through the </w:t>
      </w:r>
      <w:r w:rsidRPr="005544AA">
        <w:rPr>
          <w:i/>
          <w:iCs/>
        </w:rPr>
        <w:t>Carer Recognition Act 2010</w:t>
      </w:r>
      <w:r>
        <w:t xml:space="preserve"> (Cth), the Australian Government recognises the exceptional contribution made by unpaid carers. The Act stipulates that carers should have the same rights, choices and opportunities as other Australians.</w:t>
      </w:r>
    </w:p>
    <w:p w14:paraId="328A39B1" w14:textId="411893C0" w:rsidR="002A793D" w:rsidRDefault="005544AA" w:rsidP="005544AA">
      <w:r>
        <w:t>The NDIA consults with carer organisations to develop support mechanisms and implement reforms. Consultation ensures programs and services continue to consider the needs of carers in addition to those of people with disability and meet the requirements of the Act.</w:t>
      </w:r>
    </w:p>
    <w:p w14:paraId="7BD405DA" w14:textId="34C3C673" w:rsidR="000E1041" w:rsidRDefault="00742CDE" w:rsidP="00741632">
      <w:pPr>
        <w:pStyle w:val="Heading4"/>
      </w:pPr>
      <w:bookmarkStart w:id="113" w:name="_Toc226723964"/>
      <w:r>
        <w:t>Staff a</w:t>
      </w:r>
      <w:r w:rsidR="000E1041">
        <w:t>wareness and understanding</w:t>
      </w:r>
      <w:bookmarkEnd w:id="113"/>
    </w:p>
    <w:p w14:paraId="0FF17223" w14:textId="6449AB12" w:rsidR="002A793D" w:rsidRDefault="00964F0A" w:rsidP="00964F0A">
      <w:r>
        <w:t xml:space="preserve">The NDIA promotes staff awareness and understanding of the principles </w:t>
      </w:r>
      <w:r w:rsidR="00845186">
        <w:t>of</w:t>
      </w:r>
      <w:r>
        <w:t xml:space="preserve"> the </w:t>
      </w:r>
      <w:r w:rsidRPr="00964F0A">
        <w:rPr>
          <w:i/>
          <w:iCs/>
        </w:rPr>
        <w:t>Carer Recognition Act 2010</w:t>
      </w:r>
      <w:r>
        <w:t xml:space="preserve"> and the Statement for Australia’s Carers through online tools and resources</w:t>
      </w:r>
      <w:r w:rsidR="00A07A60">
        <w:t>.</w:t>
      </w:r>
      <w:r>
        <w:t xml:space="preserve"> </w:t>
      </w:r>
      <w:r w:rsidR="00377472">
        <w:t xml:space="preserve">The NDIA provides </w:t>
      </w:r>
      <w:r>
        <w:t>guides on the support available to employees with caring responsibilities and also those who support people with caring responsibilities.</w:t>
      </w:r>
    </w:p>
    <w:p w14:paraId="3CB45898" w14:textId="77777777" w:rsidR="000E1041" w:rsidRDefault="000E1041" w:rsidP="00741632">
      <w:pPr>
        <w:pStyle w:val="Heading4"/>
      </w:pPr>
      <w:bookmarkStart w:id="114" w:name="_Toc226723965"/>
      <w:r>
        <w:t>Workplace support for carers</w:t>
      </w:r>
      <w:bookmarkEnd w:id="114"/>
    </w:p>
    <w:p w14:paraId="3985E399" w14:textId="6C5C2A11" w:rsidR="00631C46" w:rsidRDefault="00A117DC" w:rsidP="00A117DC">
      <w:r>
        <w:t xml:space="preserve">The NDIA complies with its obligations under the </w:t>
      </w:r>
      <w:r w:rsidRPr="00A117DC">
        <w:rPr>
          <w:i/>
          <w:iCs/>
        </w:rPr>
        <w:t>Carer Recognition Act 2010</w:t>
      </w:r>
      <w:r>
        <w:t xml:space="preserve"> and adheres to the principles of the Statement for Australia’s Carers.</w:t>
      </w:r>
    </w:p>
    <w:p w14:paraId="6DB79BAE" w14:textId="387A2654" w:rsidR="002A793D" w:rsidRDefault="00A117DC" w:rsidP="00A117DC">
      <w:r>
        <w:t>The NDIA’s Enterprise Agreement 2024–27 and human resources policies are also developed having regard to the Statement for Australia’s Carers. The NDIA supports carers in the workplace through its employment policies, including flexible working arrangements and access to carer</w:t>
      </w:r>
      <w:r w:rsidR="007A653A">
        <w:t>’</w:t>
      </w:r>
      <w:r>
        <w:t>s leave.</w:t>
      </w:r>
    </w:p>
    <w:p w14:paraId="37DC4198" w14:textId="77777777" w:rsidR="000E1041" w:rsidRDefault="000E1041" w:rsidP="00741632">
      <w:pPr>
        <w:pStyle w:val="Heading4"/>
      </w:pPr>
      <w:bookmarkStart w:id="115" w:name="_Toc226723966"/>
      <w:r>
        <w:t>Recognition of the role of carers</w:t>
      </w:r>
      <w:bookmarkEnd w:id="115"/>
    </w:p>
    <w:p w14:paraId="2598509C" w14:textId="77777777" w:rsidR="0072132B" w:rsidRDefault="0072132B" w:rsidP="0072132B">
      <w:r>
        <w:t>The NDIA recognises the essential role carers play in supporting people with disability to pursue their goals. NDIA staff are encouraged to listen to carers and support them in their role.</w:t>
      </w:r>
    </w:p>
    <w:p w14:paraId="5F594903" w14:textId="77777777" w:rsidR="0072132B" w:rsidRDefault="0072132B" w:rsidP="0072132B">
      <w:r>
        <w:t>The NDIA includes information in each participant’s plan about the support they receive from their carers. When developing the participant’s plan, the NDIA focuses on capacity building and social and economic inclusion for participants. This includes support to build the participant’s independence, daily life supports and short breaks or respite. These supports are important in helping carers to sustain their caring role.</w:t>
      </w:r>
    </w:p>
    <w:p w14:paraId="7F52D7D8" w14:textId="77777777" w:rsidR="0072132B" w:rsidRDefault="0072132B" w:rsidP="0072132B">
      <w:r>
        <w:t>The NDIA recognises that increasing the capacity of the community to help people with disability and increasing community and workforce participation of people with disability improves the situation of carers.</w:t>
      </w:r>
    </w:p>
    <w:p w14:paraId="282F7EEB" w14:textId="77777777" w:rsidR="0072132B" w:rsidRDefault="0072132B" w:rsidP="0072132B">
      <w:r>
        <w:t>The NDIA encourages feedback from carers to inform improvements to the way the NDIS supports their needs.</w:t>
      </w:r>
    </w:p>
    <w:p w14:paraId="17CD46E7" w14:textId="1B45BE37" w:rsidR="002A793D" w:rsidRDefault="0072132B" w:rsidP="0072132B">
      <w:r>
        <w:t xml:space="preserve">The NDIA also engages with participant and carer stakeholder groups to </w:t>
      </w:r>
      <w:r w:rsidR="008B5DA2">
        <w:t>revise and test</w:t>
      </w:r>
      <w:r>
        <w:t xml:space="preserve"> tools and resources that help them. These are published on the NDIS website to </w:t>
      </w:r>
      <w:r w:rsidR="00395430">
        <w:t xml:space="preserve">help </w:t>
      </w:r>
      <w:r>
        <w:t>them understand the valuable role carers play in helping participants to increase their community and workforce participation.</w:t>
      </w:r>
    </w:p>
    <w:p w14:paraId="3925C7DD" w14:textId="77777777" w:rsidR="000E1041" w:rsidRDefault="000E1041" w:rsidP="00741632">
      <w:pPr>
        <w:pStyle w:val="Heading4"/>
      </w:pPr>
      <w:bookmarkStart w:id="116" w:name="_Toc226723967"/>
      <w:r>
        <w:t>Consultation with carers</w:t>
      </w:r>
      <w:bookmarkEnd w:id="116"/>
    </w:p>
    <w:p w14:paraId="4DB85F0A" w14:textId="2439CB5B" w:rsidR="0072132B" w:rsidRDefault="0072132B" w:rsidP="0072132B">
      <w:r>
        <w:t>Carers and carer representative organisations play a significant role supporting NDIS reforms. In 2025</w:t>
      </w:r>
      <w:r w:rsidR="00C7001E">
        <w:t>–26</w:t>
      </w:r>
      <w:r>
        <w:t xml:space="preserve"> </w:t>
      </w:r>
      <w:r w:rsidR="00C92028">
        <w:t xml:space="preserve">the NDIA </w:t>
      </w:r>
      <w:r w:rsidR="003829B0">
        <w:t xml:space="preserve">worked closely with </w:t>
      </w:r>
      <w:r>
        <w:t>carers and carer organisations to help shape the participant experience of the new way of planning, as well as other priority NDIS reforms.</w:t>
      </w:r>
      <w:r w:rsidR="007D34C1">
        <w:t xml:space="preserve"> </w:t>
      </w:r>
      <w:r>
        <w:t>For example:</w:t>
      </w:r>
    </w:p>
    <w:p w14:paraId="3522EA69" w14:textId="654BD992" w:rsidR="0072132B" w:rsidRDefault="0072132B" w:rsidP="00C7001E">
      <w:pPr>
        <w:pStyle w:val="Bullet1"/>
      </w:pPr>
      <w:r>
        <w:t>Carers Australia and the National Mental Health Consumer and Carer Forum are both members of the NDIA’s Disability Representative and Carers Organisations Forum, which meets quarterly with the NDIA’s Chief Executive Officer and senior leaders. The NDIA provides funding for their participation in the forum and other consultation activities.</w:t>
      </w:r>
    </w:p>
    <w:p w14:paraId="17878794" w14:textId="1CC71AD9" w:rsidR="0072132B" w:rsidRDefault="0072132B" w:rsidP="00C7001E">
      <w:pPr>
        <w:pStyle w:val="Bullet1"/>
      </w:pPr>
      <w:r>
        <w:t>The National Mental Health Consumer and Carer Forum</w:t>
      </w:r>
      <w:r w:rsidR="00C7001E">
        <w:t>,</w:t>
      </w:r>
      <w:r>
        <w:t xml:space="preserve"> and Mental Health Carers Australia</w:t>
      </w:r>
      <w:r w:rsidR="003829B0">
        <w:t>,</w:t>
      </w:r>
      <w:r>
        <w:t xml:space="preserve"> are members of the National Mental Health Sector Reference Group, which meet</w:t>
      </w:r>
      <w:r w:rsidR="003829B0">
        <w:t>s</w:t>
      </w:r>
      <w:r>
        <w:t xml:space="preserve"> quarterly to foster a strong working partnership between the mental health sector and the NDIA.</w:t>
      </w:r>
    </w:p>
    <w:p w14:paraId="4568EC8B" w14:textId="79BC4D13" w:rsidR="0072132B" w:rsidRDefault="0072132B" w:rsidP="00C7001E">
      <w:pPr>
        <w:pStyle w:val="Bullet1"/>
      </w:pPr>
      <w:r>
        <w:t>Carers Australia meets monthly with the NDIA through the Stakeholder Engagement Model to discuss key issues and priorities for its members.</w:t>
      </w:r>
    </w:p>
    <w:p w14:paraId="654757AD" w14:textId="1DCBF2B7" w:rsidR="0072132B" w:rsidRDefault="0072132B" w:rsidP="00C7001E">
      <w:pPr>
        <w:pStyle w:val="Bullet1"/>
      </w:pPr>
      <w:r>
        <w:t xml:space="preserve">Carers Australia is a member of the Participant Safeguarding </w:t>
      </w:r>
      <w:r w:rsidRPr="000C2867">
        <w:t>Co-design</w:t>
      </w:r>
      <w:r>
        <w:t xml:space="preserve"> Working Group. The aim of the group is to support people to create safeguards that suit their individual needs, match their level of risk and support them to take part in their communities. The group held </w:t>
      </w:r>
      <w:r w:rsidR="00D011A8">
        <w:t xml:space="preserve">7 </w:t>
      </w:r>
      <w:r>
        <w:t>sessions between July 2025 and June 2026.</w:t>
      </w:r>
    </w:p>
    <w:p w14:paraId="7CFB771D" w14:textId="76F45C99" w:rsidR="0072132B" w:rsidRDefault="002D6E7E" w:rsidP="00C7001E">
      <w:pPr>
        <w:pStyle w:val="Bullet1"/>
      </w:pPr>
      <w:r>
        <w:t>T</w:t>
      </w:r>
      <w:r w:rsidR="0072132B" w:rsidRPr="000C2867">
        <w:t xml:space="preserve">he NDIA has also engaged Carers Australia to deliver a series of </w:t>
      </w:r>
      <w:r w:rsidR="00824E8C">
        <w:t xml:space="preserve">co-design </w:t>
      </w:r>
      <w:r w:rsidR="0072132B" w:rsidRPr="000C2867">
        <w:t>sessions</w:t>
      </w:r>
      <w:r w:rsidR="0072132B">
        <w:t xml:space="preserve"> on improving our risk assessment and safeguarding processes. </w:t>
      </w:r>
      <w:r w:rsidR="003829B0">
        <w:t xml:space="preserve">To date, Carers Australia has delivered 2 </w:t>
      </w:r>
      <w:r w:rsidR="0072132B">
        <w:t>sessions involving 20 carers or supporters.</w:t>
      </w:r>
    </w:p>
    <w:p w14:paraId="797128BF" w14:textId="5FC2666C" w:rsidR="002A793D" w:rsidRDefault="0072132B" w:rsidP="00C7001E">
      <w:pPr>
        <w:pStyle w:val="Bullet1"/>
      </w:pPr>
      <w:r>
        <w:t xml:space="preserve">Carers Australia takes part in the Navigator Co-design Working Group, which gives advice to the NDIA on the future Navigator service. This group held </w:t>
      </w:r>
      <w:r w:rsidR="00D011A8">
        <w:t>7</w:t>
      </w:r>
      <w:r w:rsidR="00744B8C">
        <w:t> </w:t>
      </w:r>
      <w:r>
        <w:t>meetings between July 2025 and June 2026.</w:t>
      </w:r>
    </w:p>
    <w:p w14:paraId="053521D3" w14:textId="77777777" w:rsidR="00991387" w:rsidRDefault="00991387" w:rsidP="009B4E3A">
      <w:pPr>
        <w:pStyle w:val="Heading3"/>
      </w:pPr>
      <w:bookmarkStart w:id="117" w:name="_Toc226723968"/>
      <w:bookmarkStart w:id="118" w:name="_Toc241826750"/>
      <w:r w:rsidRPr="00991387">
        <w:t>7.8 Privacy obligations</w:t>
      </w:r>
      <w:bookmarkEnd w:id="117"/>
      <w:bookmarkEnd w:id="118"/>
    </w:p>
    <w:p w14:paraId="2A416D99" w14:textId="77777777" w:rsidR="005C16FE" w:rsidRDefault="005C16FE" w:rsidP="005C16FE">
      <w:r>
        <w:t xml:space="preserve">The NDIA meets its privacy obligations under the </w:t>
      </w:r>
      <w:r w:rsidRPr="00EE63BA">
        <w:rPr>
          <w:i/>
          <w:iCs/>
        </w:rPr>
        <w:t>Privacy Act 1988</w:t>
      </w:r>
      <w:r>
        <w:t xml:space="preserve"> (Cth) and the NDIS Act.</w:t>
      </w:r>
    </w:p>
    <w:p w14:paraId="2B164B71" w14:textId="583B2126" w:rsidR="005C16FE" w:rsidRDefault="005C16FE" w:rsidP="005C16FE">
      <w:r>
        <w:t>The NDIA follows the Australian Privacy Principles, the Notifiable Data Breaches Scheme, and the Australian Government Agencies Privacy Code. The NDIA maintains a privacy policy, a privacy management plan and registers for incidents and impact assessments.</w:t>
      </w:r>
    </w:p>
    <w:p w14:paraId="1159051F" w14:textId="6F738665" w:rsidR="005C16FE" w:rsidRDefault="005C16FE" w:rsidP="005C16FE">
      <w:r>
        <w:t xml:space="preserve">The NDIA promotes privacy awareness </w:t>
      </w:r>
      <w:r w:rsidR="00784D2E">
        <w:t xml:space="preserve">through </w:t>
      </w:r>
      <w:r>
        <w:t>a Privacy Champion and privacy officers. Staff complete mandatory training and receive regular updates to support their understanding of privacy responsibilities.</w:t>
      </w:r>
    </w:p>
    <w:p w14:paraId="625F47A2" w14:textId="1F262C4A" w:rsidR="00991387" w:rsidRDefault="005C16FE" w:rsidP="005C16FE">
      <w:r>
        <w:t>Staff are regularly reminded of their responsibilities under privacy law, with a focus on respecting the privacy and dignity of people with disability.</w:t>
      </w:r>
    </w:p>
    <w:p w14:paraId="7C4C0397" w14:textId="77777777" w:rsidR="00991387" w:rsidRPr="009B4E3A" w:rsidRDefault="00476B6D" w:rsidP="009B4E3A">
      <w:pPr>
        <w:pStyle w:val="Heading3"/>
      </w:pPr>
      <w:bookmarkStart w:id="119" w:name="_Toc226723969"/>
      <w:bookmarkStart w:id="120" w:name="_Toc241826751"/>
      <w:r w:rsidRPr="009B4E3A">
        <w:t>7.9 Disclosures relating to procurements and grants</w:t>
      </w:r>
      <w:bookmarkEnd w:id="119"/>
      <w:bookmarkEnd w:id="120"/>
    </w:p>
    <w:p w14:paraId="4F61DDA9" w14:textId="622BCC2D" w:rsidR="006F65ED" w:rsidRPr="006F65ED" w:rsidRDefault="006F65ED" w:rsidP="006F65ED">
      <w:pPr>
        <w:shd w:val="clear" w:color="auto" w:fill="FFFFFF"/>
        <w:rPr>
          <w:rFonts w:ascii="Aptos" w:eastAsia="MS Mincho" w:hAnsi="Aptos" w:cs="Arial"/>
          <w:lang w:val="en-US" w:eastAsia="ja-JP"/>
        </w:rPr>
      </w:pPr>
      <w:r w:rsidRPr="009B4E3A">
        <w:rPr>
          <w:rFonts w:eastAsia="Arial" w:cs="Arial"/>
          <w:color w:val="242424"/>
          <w:lang w:eastAsia="ja-JP"/>
        </w:rPr>
        <w:t xml:space="preserve">The NDIA procurement and grants activities are guided by internal procurement and grants processes, consistent with its status as a corporate Commonwealth entity under the </w:t>
      </w:r>
      <w:r w:rsidR="00E73603" w:rsidRPr="00635CFB">
        <w:rPr>
          <w:rFonts w:eastAsia="Arial" w:cs="Arial"/>
          <w:i/>
          <w:iCs/>
          <w:color w:val="242424"/>
          <w:lang w:eastAsia="ja-JP"/>
        </w:rPr>
        <w:t>Public Governance, Performance and Accountability Act 2013</w:t>
      </w:r>
      <w:r w:rsidR="00E73603" w:rsidRPr="003469EB">
        <w:rPr>
          <w:rFonts w:eastAsia="Arial" w:cs="Arial"/>
          <w:color w:val="242424"/>
          <w:lang w:eastAsia="ja-JP"/>
        </w:rPr>
        <w:t xml:space="preserve"> (Cth)</w:t>
      </w:r>
      <w:r w:rsidRPr="009B4E3A">
        <w:rPr>
          <w:rFonts w:eastAsia="Arial" w:cs="Arial"/>
          <w:color w:val="242424"/>
          <w:lang w:eastAsia="ja-JP"/>
        </w:rPr>
        <w:t xml:space="preserve">. Procurement and grant activities were </w:t>
      </w:r>
      <w:r w:rsidR="004E2663" w:rsidRPr="009B4E3A">
        <w:rPr>
          <w:rFonts w:eastAsia="Arial" w:cs="Arial"/>
          <w:color w:val="242424"/>
          <w:lang w:eastAsia="ja-JP"/>
        </w:rPr>
        <w:t xml:space="preserve">done </w:t>
      </w:r>
      <w:r w:rsidRPr="009B4E3A">
        <w:rPr>
          <w:rFonts w:eastAsia="Arial" w:cs="Arial"/>
          <w:color w:val="242424"/>
          <w:lang w:eastAsia="ja-JP"/>
        </w:rPr>
        <w:t xml:space="preserve">in accordance with the applicable internal frameworks </w:t>
      </w:r>
      <w:r w:rsidR="00E52D68" w:rsidRPr="009B4E3A">
        <w:rPr>
          <w:rFonts w:eastAsia="Arial" w:cs="Arial"/>
          <w:color w:val="242424"/>
          <w:lang w:eastAsia="ja-JP"/>
        </w:rPr>
        <w:t xml:space="preserve">that </w:t>
      </w:r>
      <w:r w:rsidRPr="009B4E3A">
        <w:rPr>
          <w:rFonts w:eastAsia="Arial" w:cs="Arial"/>
          <w:color w:val="242424"/>
          <w:lang w:eastAsia="ja-JP"/>
        </w:rPr>
        <w:t>support accountability, probity and value for money.</w:t>
      </w:r>
    </w:p>
    <w:p w14:paraId="323F3B0B" w14:textId="77777777" w:rsidR="005E5034" w:rsidRDefault="005E5034" w:rsidP="009B4E3A">
      <w:pPr>
        <w:pStyle w:val="Heading3"/>
        <w:rPr>
          <w:i/>
          <w:iCs/>
        </w:rPr>
      </w:pPr>
      <w:bookmarkStart w:id="121" w:name="_Toc241826752"/>
      <w:bookmarkStart w:id="122" w:name="_Toc226723970"/>
      <w:r>
        <w:t xml:space="preserve">7.10 </w:t>
      </w:r>
      <w:r w:rsidRPr="00C2758C">
        <w:t>Future Made in Australia</w:t>
      </w:r>
      <w:r w:rsidR="00CC6C09" w:rsidRPr="00C2758C">
        <w:t xml:space="preserve"> Act 2024</w:t>
      </w:r>
      <w:bookmarkEnd w:id="121"/>
    </w:p>
    <w:p w14:paraId="3EC8EE9C" w14:textId="5FB8D463" w:rsidR="00CC6C09" w:rsidRPr="00CC6C09" w:rsidRDefault="009A2C72" w:rsidP="00CC6C09">
      <w:r>
        <w:t>Not applicable.</w:t>
      </w:r>
    </w:p>
    <w:p w14:paraId="3D76B9CD" w14:textId="77777777" w:rsidR="00247AF8" w:rsidRDefault="00247AF8" w:rsidP="009B4E3A">
      <w:pPr>
        <w:pStyle w:val="Heading3"/>
      </w:pPr>
      <w:bookmarkStart w:id="123" w:name="_Toc241826753"/>
      <w:r>
        <w:t>7.11 Closing the Gap</w:t>
      </w:r>
      <w:bookmarkEnd w:id="123"/>
    </w:p>
    <w:p w14:paraId="49F57D7F" w14:textId="700CD05D" w:rsidR="000406B8" w:rsidRDefault="00D011A8" w:rsidP="000406B8">
      <w:r>
        <w:t>T</w:t>
      </w:r>
      <w:r w:rsidR="000406B8">
        <w:t>he NDIA continue</w:t>
      </w:r>
      <w:r>
        <w:t>s</w:t>
      </w:r>
      <w:r w:rsidR="000406B8">
        <w:t xml:space="preserve"> to progress actions that support Closing the Gap outcomes</w:t>
      </w:r>
      <w:r>
        <w:t>.</w:t>
      </w:r>
      <w:r w:rsidR="000406B8">
        <w:t xml:space="preserve"> </w:t>
      </w:r>
      <w:r>
        <w:t>In 2025</w:t>
      </w:r>
      <w:r w:rsidR="009705FC">
        <w:t>–26</w:t>
      </w:r>
      <w:r>
        <w:t xml:space="preserve"> we </w:t>
      </w:r>
      <w:r w:rsidR="007D34C1">
        <w:t xml:space="preserve">focused on strengthening </w:t>
      </w:r>
      <w:r w:rsidR="000406B8">
        <w:t>cultural safety, improv</w:t>
      </w:r>
      <w:r w:rsidR="007D34C1">
        <w:t>ing</w:t>
      </w:r>
      <w:r w:rsidR="000406B8">
        <w:t xml:space="preserve"> access to services and increas</w:t>
      </w:r>
      <w:r w:rsidR="007D34C1">
        <w:t>ing</w:t>
      </w:r>
      <w:r w:rsidR="000406B8">
        <w:t xml:space="preserve"> engagement with First Nations communities and organisations.</w:t>
      </w:r>
    </w:p>
    <w:p w14:paraId="69DC5C95" w14:textId="0D782BB2" w:rsidR="000406B8" w:rsidRDefault="000406B8" w:rsidP="000406B8">
      <w:r>
        <w:t xml:space="preserve">In March 2026 the NDIA publicly released its Statement of Commitment to Closing the Gap, reaffirming the </w:t>
      </w:r>
      <w:r w:rsidR="00A07B3D">
        <w:t>NDIA</w:t>
      </w:r>
      <w:r w:rsidR="003829B0">
        <w:t>’</w:t>
      </w:r>
      <w:r>
        <w:t xml:space="preserve">s commitment to self-determination, cultural safety, partnership and improving outcomes for First Nations participants, families and communities. The Statement of Commitment </w:t>
      </w:r>
      <w:r w:rsidR="003829B0" w:rsidRPr="006267B4">
        <w:t xml:space="preserve">is </w:t>
      </w:r>
      <w:r w:rsidRPr="003829B0">
        <w:t>the foundation for implement</w:t>
      </w:r>
      <w:r w:rsidR="00E94053">
        <w:t>ing</w:t>
      </w:r>
      <w:r>
        <w:t xml:space="preserve"> the NDIS First Nations Strategy 2025–30 and reinforces the </w:t>
      </w:r>
      <w:r w:rsidR="00A07B3D">
        <w:t>NDIA</w:t>
      </w:r>
      <w:r w:rsidR="00D011A8">
        <w:t>’</w:t>
      </w:r>
      <w:r>
        <w:t>s ongoing commitment to the National Agreement on Closing the Gap.</w:t>
      </w:r>
    </w:p>
    <w:p w14:paraId="45D8AC1A" w14:textId="7E60D139" w:rsidR="000406B8" w:rsidRDefault="003829B0" w:rsidP="000406B8">
      <w:r>
        <w:t xml:space="preserve">In </w:t>
      </w:r>
      <w:r w:rsidR="000406B8">
        <w:t xml:space="preserve">2025–26 the NDIA </w:t>
      </w:r>
      <w:r w:rsidR="00D011A8">
        <w:t xml:space="preserve">began to implement </w:t>
      </w:r>
      <w:r w:rsidR="000406B8">
        <w:t>the NDIS First Nations Strategy 2025–30</w:t>
      </w:r>
      <w:r w:rsidR="00D011A8">
        <w:t xml:space="preserve">. </w:t>
      </w:r>
      <w:r w:rsidR="003B5596">
        <w:t>Our</w:t>
      </w:r>
      <w:r w:rsidR="000406B8">
        <w:t xml:space="preserve"> initial </w:t>
      </w:r>
      <w:r w:rsidR="00A44F15">
        <w:t xml:space="preserve">activities </w:t>
      </w:r>
      <w:r w:rsidR="000406B8">
        <w:t xml:space="preserve">to deliver the </w:t>
      </w:r>
      <w:r w:rsidR="00D011A8">
        <w:t>s</w:t>
      </w:r>
      <w:r w:rsidR="000406B8">
        <w:t>trategy</w:t>
      </w:r>
      <w:r>
        <w:t>’</w:t>
      </w:r>
      <w:r w:rsidR="000406B8">
        <w:t>s long-term outcomes</w:t>
      </w:r>
      <w:r w:rsidR="00D011A8">
        <w:t xml:space="preserve"> </w:t>
      </w:r>
      <w:r w:rsidR="003B5596">
        <w:t>included</w:t>
      </w:r>
      <w:r w:rsidR="00D011A8">
        <w:t xml:space="preserve"> </w:t>
      </w:r>
      <w:r w:rsidR="000406B8">
        <w:t>implementation planning</w:t>
      </w:r>
      <w:r w:rsidR="00DA0A70">
        <w:t xml:space="preserve"> and </w:t>
      </w:r>
      <w:r w:rsidR="00D011A8">
        <w:t>engag</w:t>
      </w:r>
      <w:r w:rsidR="00A44F15">
        <w:t>ing</w:t>
      </w:r>
      <w:r w:rsidR="00D011A8">
        <w:t xml:space="preserve"> </w:t>
      </w:r>
      <w:r w:rsidR="000406B8">
        <w:t>with First Nations participants, communities, representative organisations, Aboriginal Community Controlled Organisations and service providers</w:t>
      </w:r>
      <w:r w:rsidR="0017766E">
        <w:t>.</w:t>
      </w:r>
      <w:r w:rsidR="00DA0A70">
        <w:t xml:space="preserve"> </w:t>
      </w:r>
      <w:r w:rsidR="0017766E">
        <w:t>I</w:t>
      </w:r>
      <w:r w:rsidR="000406B8">
        <w:t xml:space="preserve">nsights </w:t>
      </w:r>
      <w:r w:rsidR="00DA0A70">
        <w:t xml:space="preserve">from </w:t>
      </w:r>
      <w:r w:rsidR="00353788">
        <w:t>these</w:t>
      </w:r>
      <w:r w:rsidR="00DA0A70">
        <w:t xml:space="preserve"> </w:t>
      </w:r>
      <w:r w:rsidR="000406B8">
        <w:t xml:space="preserve">engagements </w:t>
      </w:r>
      <w:r w:rsidR="0017766E">
        <w:t>will</w:t>
      </w:r>
      <w:r w:rsidR="00DA0A70">
        <w:t xml:space="preserve"> inform </w:t>
      </w:r>
      <w:r w:rsidR="00D011A8">
        <w:t xml:space="preserve">our </w:t>
      </w:r>
      <w:r w:rsidR="000406B8">
        <w:t xml:space="preserve">implementation priorities. </w:t>
      </w:r>
      <w:r>
        <w:t>In 2026</w:t>
      </w:r>
      <w:r w:rsidR="0051128F">
        <w:t>–</w:t>
      </w:r>
      <w:r>
        <w:t>27 w</w:t>
      </w:r>
      <w:r w:rsidR="00D011A8">
        <w:t xml:space="preserve">e </w:t>
      </w:r>
      <w:r w:rsidR="000406B8">
        <w:t xml:space="preserve">will continue </w:t>
      </w:r>
      <w:r w:rsidR="00D011A8">
        <w:t xml:space="preserve">our implementation activities </w:t>
      </w:r>
      <w:r w:rsidR="000406B8">
        <w:t xml:space="preserve">to embed First Nations voices, cultural safety and </w:t>
      </w:r>
      <w:r w:rsidR="0064458F">
        <w:t xml:space="preserve">better </w:t>
      </w:r>
      <w:r w:rsidR="000406B8">
        <w:t xml:space="preserve">participant outcomes across the </w:t>
      </w:r>
      <w:r w:rsidR="00A07B3D">
        <w:t>NDIA</w:t>
      </w:r>
      <w:r w:rsidR="000406B8">
        <w:t>.</w:t>
      </w:r>
    </w:p>
    <w:p w14:paraId="5E3A3FA2" w14:textId="6FE18035" w:rsidR="003829B0" w:rsidRDefault="000406B8" w:rsidP="000406B8">
      <w:r>
        <w:t xml:space="preserve">The </w:t>
      </w:r>
      <w:r w:rsidR="00A07B3D">
        <w:t>NDIA</w:t>
      </w:r>
      <w:r>
        <w:t xml:space="preserve"> also </w:t>
      </w:r>
      <w:r w:rsidR="00DA0A70">
        <w:t xml:space="preserve">continued to develop our </w:t>
      </w:r>
      <w:r>
        <w:t>Cultural Safety Plan</w:t>
      </w:r>
      <w:r w:rsidR="00D011A8">
        <w:t xml:space="preserve">. The plan is </w:t>
      </w:r>
      <w:r>
        <w:t xml:space="preserve">designed to embed cultural safety principles across organisational systems, decision-making and service delivery. </w:t>
      </w:r>
      <w:r w:rsidR="00D011A8">
        <w:t xml:space="preserve">It </w:t>
      </w:r>
      <w:r>
        <w:t xml:space="preserve">is supported by a tailored learning and capability program for employees and seeks to strengthen culturally safe practices across the </w:t>
      </w:r>
      <w:r w:rsidR="00A07B3D">
        <w:t>NDIA</w:t>
      </w:r>
      <w:r>
        <w:t>.</w:t>
      </w:r>
    </w:p>
    <w:p w14:paraId="244F3179" w14:textId="08AEFB81" w:rsidR="000406B8" w:rsidRDefault="007D34C1" w:rsidP="000406B8">
      <w:r>
        <w:t>O</w:t>
      </w:r>
      <w:r w:rsidR="00DA0A70">
        <w:t xml:space="preserve">ur </w:t>
      </w:r>
      <w:r w:rsidR="000406B8">
        <w:t>First Nations Workforce Strategy 2026–30</w:t>
      </w:r>
      <w:r w:rsidR="00DA0A70">
        <w:t xml:space="preserve"> and Cultural Safety Plan </w:t>
      </w:r>
      <w:r>
        <w:t xml:space="preserve">will assist us to </w:t>
      </w:r>
      <w:r w:rsidR="000406B8">
        <w:t xml:space="preserve">build a culturally capable workforce and position the NDIA as an employer of choice for First Nations peoples. </w:t>
      </w:r>
      <w:r w:rsidR="00DA0A70">
        <w:t xml:space="preserve">The initiatives will support the integration of cultural safety in the NDIA and improve outcomes for First Nations participants and employees. </w:t>
      </w:r>
      <w:r w:rsidR="00D011A8">
        <w:t xml:space="preserve">We will begin to implement </w:t>
      </w:r>
      <w:r w:rsidR="000406B8" w:rsidRPr="00DA0A70">
        <w:t>both initiatives</w:t>
      </w:r>
      <w:r w:rsidR="000406B8">
        <w:t xml:space="preserve"> from July 2026</w:t>
      </w:r>
      <w:r w:rsidR="00D011A8">
        <w:t>.</w:t>
      </w:r>
    </w:p>
    <w:p w14:paraId="0D29A223" w14:textId="038518D0" w:rsidR="000406B8" w:rsidRDefault="000406B8" w:rsidP="000406B8">
      <w:r>
        <w:t>On 1 June 2026 the NDIA launched First Nations Connect</w:t>
      </w:r>
      <w:r w:rsidR="00D011A8">
        <w:t xml:space="preserve"> </w:t>
      </w:r>
      <w:r w:rsidR="00D011A8">
        <w:rPr>
          <w:rFonts w:ascii="Symbol" w:eastAsia="Symbol" w:hAnsi="Symbol" w:cs="Symbol"/>
        </w:rPr>
        <w:t>-</w:t>
      </w:r>
      <w:r w:rsidR="00D011A8">
        <w:t xml:space="preserve"> </w:t>
      </w:r>
      <w:r>
        <w:t xml:space="preserve">a dedicated phone service for Aboriginal and Torres Strait Islander people with disability, their families and carers. The service provides a culturally responsive pathway into the NDIS by connecting callers with specially trained staff. It was developed in response to feedback from First Nations participants and communities </w:t>
      </w:r>
      <w:r w:rsidR="00DA0A70">
        <w:t xml:space="preserve">that they wished </w:t>
      </w:r>
      <w:r>
        <w:t>to talk with call centre staff who understand identity and community life, respect cultural values and can explain the NDIS clearly</w:t>
      </w:r>
      <w:r w:rsidR="00D7534A">
        <w:t>.</w:t>
      </w:r>
      <w:r>
        <w:t xml:space="preserve"> First Nations Connect </w:t>
      </w:r>
      <w:r w:rsidR="0011606D">
        <w:t xml:space="preserve">is </w:t>
      </w:r>
      <w:r>
        <w:t xml:space="preserve">part of the </w:t>
      </w:r>
      <w:r w:rsidR="00D011A8">
        <w:t xml:space="preserve">NDIA’s </w:t>
      </w:r>
      <w:r>
        <w:t xml:space="preserve">broader commitment to improving participant experience, strengthening trust and ensuring First Nations peoples can access information to make informed decisions about their lives. The service contributes to the </w:t>
      </w:r>
      <w:r w:rsidR="00D7534A">
        <w:t>NDIA</w:t>
      </w:r>
      <w:r>
        <w:t xml:space="preserve">’s commitment to Closing the Gap, including Priority Reform </w:t>
      </w:r>
      <w:r w:rsidR="00DA0A70">
        <w:t xml:space="preserve">4 </w:t>
      </w:r>
      <w:r>
        <w:t>and Target 17, by supporting greater access to culturally safe and responsive services.</w:t>
      </w:r>
    </w:p>
    <w:p w14:paraId="113DCE84" w14:textId="3F3D68BD" w:rsidR="000406B8" w:rsidRDefault="000406B8" w:rsidP="000406B8">
      <w:r>
        <w:t xml:space="preserve">The </w:t>
      </w:r>
      <w:r w:rsidR="00D7534A">
        <w:t>NDIA</w:t>
      </w:r>
      <w:r>
        <w:t xml:space="preserve"> is also developing a First Nations </w:t>
      </w:r>
      <w:r w:rsidR="00384B0C">
        <w:t>m</w:t>
      </w:r>
      <w:r>
        <w:t xml:space="preserve">arket and </w:t>
      </w:r>
      <w:r w:rsidR="00384B0C">
        <w:t>s</w:t>
      </w:r>
      <w:r>
        <w:t xml:space="preserve">ector </w:t>
      </w:r>
      <w:r w:rsidR="00384B0C">
        <w:t>d</w:t>
      </w:r>
      <w:r>
        <w:t xml:space="preserve">evelopment </w:t>
      </w:r>
      <w:r w:rsidR="00384B0C">
        <w:t>s</w:t>
      </w:r>
      <w:r>
        <w:t xml:space="preserve">trategy, </w:t>
      </w:r>
      <w:r w:rsidR="00D011A8">
        <w:t xml:space="preserve">which is </w:t>
      </w:r>
      <w:r>
        <w:t xml:space="preserve">expected to be released in 2026–27. </w:t>
      </w:r>
      <w:r w:rsidR="00D011A8">
        <w:t xml:space="preserve">Between November 2025 and February 2026 we </w:t>
      </w:r>
      <w:r w:rsidR="007C5913">
        <w:t>consulted</w:t>
      </w:r>
      <w:r>
        <w:t xml:space="preserve"> </w:t>
      </w:r>
      <w:r w:rsidR="00D011A8">
        <w:t>on the strategy,</w:t>
      </w:r>
      <w:r>
        <w:t xml:space="preserve"> </w:t>
      </w:r>
      <w:r w:rsidRPr="00D011A8">
        <w:t>includ</w:t>
      </w:r>
      <w:r w:rsidR="00D011A8" w:rsidRPr="007C5913">
        <w:t>ing</w:t>
      </w:r>
      <w:r w:rsidRPr="00D011A8">
        <w:t xml:space="preserve"> </w:t>
      </w:r>
      <w:r w:rsidR="00D011A8">
        <w:t xml:space="preserve">by engaging </w:t>
      </w:r>
      <w:r w:rsidRPr="00D011A8">
        <w:t>with</w:t>
      </w:r>
      <w:r>
        <w:t xml:space="preserve"> First Nations NDIS providers, providers delivering services to First Nations participants, and Aboriginal Community Controlled Health Organisations (ACCHOs). </w:t>
      </w:r>
      <w:r w:rsidR="00D011A8">
        <w:t>The f</w:t>
      </w:r>
      <w:r>
        <w:t xml:space="preserve">eedback </w:t>
      </w:r>
      <w:r w:rsidR="00D011A8">
        <w:t xml:space="preserve">we </w:t>
      </w:r>
      <w:r>
        <w:t xml:space="preserve">gathered through these consultations is </w:t>
      </w:r>
      <w:r w:rsidR="00DA0A70">
        <w:t xml:space="preserve">helping us develop </w:t>
      </w:r>
      <w:r>
        <w:t xml:space="preserve">the </w:t>
      </w:r>
      <w:r w:rsidR="00D011A8">
        <w:t>s</w:t>
      </w:r>
      <w:r>
        <w:t>trategy</w:t>
      </w:r>
      <w:r w:rsidR="00DA0A70">
        <w:t>,</w:t>
      </w:r>
      <w:r>
        <w:t xml:space="preserve"> identify opportunities to strengthen culturally responsive disability services and build First Nations sector capability.</w:t>
      </w:r>
    </w:p>
    <w:p w14:paraId="0B286178" w14:textId="566D492C" w:rsidR="000406B8" w:rsidRDefault="000406B8" w:rsidP="000406B8">
      <w:r>
        <w:t xml:space="preserve">The NDIA continued its partnership with the National Aboriginal Community Controlled Health Organisation (NACCHO) and its jurisdictional </w:t>
      </w:r>
      <w:r w:rsidR="007D34C1">
        <w:t>a</w:t>
      </w:r>
      <w:r>
        <w:t xml:space="preserve">ffiliates to strengthen culturally safe service delivery and support participation of the ACCHO sector in the NDIS. NACCHO provided advice on a range </w:t>
      </w:r>
      <w:r w:rsidRPr="00D011A8">
        <w:t xml:space="preserve">of </w:t>
      </w:r>
      <w:r w:rsidR="00BE7055" w:rsidRPr="00D011A8">
        <w:t>NDIA</w:t>
      </w:r>
      <w:r w:rsidRPr="00D011A8">
        <w:t xml:space="preserve"> initiatives and completed a policy and data mapping paper </w:t>
      </w:r>
      <w:r w:rsidR="00D011A8">
        <w:t xml:space="preserve">that </w:t>
      </w:r>
      <w:r w:rsidRPr="00D011A8">
        <w:t>examin</w:t>
      </w:r>
      <w:r w:rsidR="00D011A8">
        <w:t>ed</w:t>
      </w:r>
      <w:r>
        <w:t xml:space="preserve"> opportunities and barriers for the sector. The work is informing future engagement, communications and capability-building activities. </w:t>
      </w:r>
      <w:r w:rsidR="00DA0A70">
        <w:t>In 2026–27 NACCHO will deliver a</w:t>
      </w:r>
      <w:r>
        <w:t xml:space="preserve"> further paper identifying priority actions and case studies to support ongoing collaboration between the </w:t>
      </w:r>
      <w:r w:rsidR="00BE7055">
        <w:t>NDIA</w:t>
      </w:r>
      <w:r>
        <w:t xml:space="preserve"> and the community-controlled sector.</w:t>
      </w:r>
    </w:p>
    <w:p w14:paraId="3B6FFAC2" w14:textId="09BF2D8C" w:rsidR="002E58CB" w:rsidRDefault="000406B8" w:rsidP="000406B8">
      <w:r>
        <w:t xml:space="preserve">The NDIA is also strengthening its approach to measuring outcomes and impact for First Nations people with disability. </w:t>
      </w:r>
      <w:r w:rsidR="00D011A8">
        <w:t>In 2025</w:t>
      </w:r>
      <w:r w:rsidR="00D53C5F">
        <w:t>–</w:t>
      </w:r>
      <w:r w:rsidR="00D011A8">
        <w:t xml:space="preserve">26 </w:t>
      </w:r>
      <w:r w:rsidR="00DA0A70">
        <w:t xml:space="preserve">we </w:t>
      </w:r>
      <w:r w:rsidR="00DA0A70" w:rsidRPr="00DA0A70">
        <w:t xml:space="preserve">progressed </w:t>
      </w:r>
      <w:r w:rsidRPr="00DA0A70">
        <w:t>work on monitoring,</w:t>
      </w:r>
      <w:r>
        <w:t xml:space="preserve"> evaluation and impact frameworks to support implementation of the First Nations Strategy and related initiatives. </w:t>
      </w:r>
      <w:r w:rsidR="00DA0A70">
        <w:t xml:space="preserve">For example, we </w:t>
      </w:r>
      <w:r>
        <w:t>develop</w:t>
      </w:r>
      <w:r w:rsidR="00DA0A70">
        <w:t>ed</w:t>
      </w:r>
      <w:r>
        <w:t xml:space="preserve"> program logics, impact measures and data approaches that will help the </w:t>
      </w:r>
      <w:r w:rsidR="003D3A4D">
        <w:t>NDIA</w:t>
      </w:r>
      <w:r>
        <w:t xml:space="preserve"> better understand participant outcomes, assess the effectiveness of initiatives and support continuous improvement through evidence-informed decision-making. This work will strengthen accountability and help ensure investments contribute to meaningful outcomes for First Nations participants and communities.</w:t>
      </w:r>
    </w:p>
    <w:p w14:paraId="51F3A810" w14:textId="77777777" w:rsidR="00D364DF" w:rsidRDefault="00D364DF" w:rsidP="009B4E3A">
      <w:pPr>
        <w:pStyle w:val="Heading3"/>
      </w:pPr>
      <w:bookmarkStart w:id="124" w:name="_Toc241826754"/>
      <w:r>
        <w:t>7.1</w:t>
      </w:r>
      <w:r w:rsidR="00247AF8">
        <w:t>2</w:t>
      </w:r>
      <w:r>
        <w:t xml:space="preserve"> Correction of material errors in NDIA Annual Report 2024–25</w:t>
      </w:r>
      <w:bookmarkEnd w:id="122"/>
      <w:bookmarkEnd w:id="124"/>
    </w:p>
    <w:p w14:paraId="0B834183" w14:textId="77777777" w:rsidR="00476B6D" w:rsidRDefault="00D364DF" w:rsidP="00741632">
      <w:pPr>
        <w:pStyle w:val="Heading4"/>
      </w:pPr>
      <w:bookmarkStart w:id="125" w:name="_Toc226723971"/>
      <w:r>
        <w:t>Advancing workplace inclusion for people with disability</w:t>
      </w:r>
      <w:bookmarkEnd w:id="125"/>
    </w:p>
    <w:p w14:paraId="7F563E2C" w14:textId="387A36CC" w:rsidR="00B239F3" w:rsidRDefault="009C6E55" w:rsidP="00B60F01">
      <w:bookmarkStart w:id="126" w:name="_Toc226723972"/>
      <w:r>
        <w:t>The NDIA</w:t>
      </w:r>
      <w:r w:rsidR="00B239F3">
        <w:t xml:space="preserve"> Annual Report 2024–25 contained an error in section 5.3, Disability and diversity. </w:t>
      </w:r>
      <w:r w:rsidR="003332B8" w:rsidRPr="00750280">
        <w:rPr>
          <w:rFonts w:asciiTheme="majorHAnsi" w:hAnsiTheme="majorHAnsi" w:cstheme="majorHAnsi"/>
        </w:rPr>
        <w:t xml:space="preserve">Specifically, the first dot point under the heading </w:t>
      </w:r>
      <w:r w:rsidR="003332B8">
        <w:rPr>
          <w:rFonts w:asciiTheme="majorHAnsi" w:hAnsiTheme="majorHAnsi" w:cstheme="majorHAnsi"/>
        </w:rPr>
        <w:t>‘</w:t>
      </w:r>
      <w:r w:rsidR="003332B8" w:rsidRPr="00750280">
        <w:rPr>
          <w:rFonts w:asciiTheme="majorHAnsi" w:hAnsiTheme="majorHAnsi" w:cstheme="majorHAnsi"/>
        </w:rPr>
        <w:t>Advancing workplace inclusion for people with disability</w:t>
      </w:r>
      <w:r w:rsidR="003332B8">
        <w:rPr>
          <w:rFonts w:asciiTheme="majorHAnsi" w:hAnsiTheme="majorHAnsi" w:cstheme="majorHAnsi"/>
        </w:rPr>
        <w:t>’</w:t>
      </w:r>
      <w:r w:rsidR="003332B8" w:rsidRPr="00750280">
        <w:rPr>
          <w:rFonts w:asciiTheme="majorHAnsi" w:hAnsiTheme="majorHAnsi" w:cstheme="majorHAnsi"/>
        </w:rPr>
        <w:t xml:space="preserve"> was incorrect.</w:t>
      </w:r>
      <w:r w:rsidR="003332B8">
        <w:rPr>
          <w:rFonts w:asciiTheme="majorHAnsi" w:hAnsiTheme="majorHAnsi" w:cstheme="majorHAnsi"/>
        </w:rPr>
        <w:t xml:space="preserve"> The dot point should read:</w:t>
      </w:r>
    </w:p>
    <w:p w14:paraId="2A9C0BC2" w14:textId="2CD4CA91" w:rsidR="00B239F3" w:rsidRDefault="00185458" w:rsidP="00B239F3">
      <w:pPr>
        <w:pStyle w:val="Bullet1"/>
      </w:pPr>
      <w:r>
        <w:t>‘</w:t>
      </w:r>
      <w:r w:rsidR="0073760A" w:rsidRPr="0073760A">
        <w:t xml:space="preserve">Providing APS staff with access to up to 10 days of paid disability leave per calendar year under the miscellaneous leave policy for the purpose of appointments, activities or managing </w:t>
      </w:r>
      <w:r w:rsidR="0073760A" w:rsidRPr="0073760A">
        <w:rPr>
          <w:b/>
          <w:bCs/>
        </w:rPr>
        <w:t>conditions</w:t>
      </w:r>
      <w:r w:rsidR="0073760A" w:rsidRPr="0073760A">
        <w:t xml:space="preserve"> related to their disability.</w:t>
      </w:r>
      <w:r>
        <w:t>’</w:t>
      </w:r>
    </w:p>
    <w:p w14:paraId="31D92EF6" w14:textId="77777777" w:rsidR="00453633" w:rsidRDefault="00453633" w:rsidP="00741632">
      <w:pPr>
        <w:pStyle w:val="Heading3"/>
      </w:pPr>
      <w:bookmarkStart w:id="127" w:name="_Toc241826755"/>
      <w:r>
        <w:t>7.1</w:t>
      </w:r>
      <w:r w:rsidR="00247AF8">
        <w:t>3</w:t>
      </w:r>
      <w:r>
        <w:t xml:space="preserve"> Glossary</w:t>
      </w:r>
      <w:bookmarkEnd w:id="126"/>
      <w:bookmarkEnd w:id="127"/>
    </w:p>
    <w:p w14:paraId="73EB693B" w14:textId="77777777" w:rsidR="00453633" w:rsidRDefault="00453633" w:rsidP="00741632">
      <w:pPr>
        <w:pStyle w:val="Heading4"/>
      </w:pPr>
      <w:bookmarkStart w:id="128" w:name="_Toc226723973"/>
      <w:r>
        <w:t>Abbreviations and acronyms</w:t>
      </w:r>
      <w:bookmarkEnd w:id="128"/>
    </w:p>
    <w:p w14:paraId="293102C8" w14:textId="7FCCABFA" w:rsidR="000B6AFE" w:rsidRDefault="00300BE2" w:rsidP="00300BE2">
      <w:pPr>
        <w:pStyle w:val="Caption"/>
      </w:pPr>
      <w:r>
        <w:t xml:space="preserve">Table </w:t>
      </w:r>
      <w:r w:rsidR="00EB072A">
        <w:t>3</w:t>
      </w:r>
      <w:r w:rsidR="0068179C">
        <w:t>5</w:t>
      </w:r>
      <w:r>
        <w:t xml:space="preserve">. </w:t>
      </w:r>
      <w:r w:rsidR="000B6AFE">
        <w:t>Abbreviations and acronyms</w:t>
      </w:r>
    </w:p>
    <w:tbl>
      <w:tblPr>
        <w:tblStyle w:val="NDISTable1"/>
        <w:tblW w:w="9067"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2972"/>
        <w:gridCol w:w="6095"/>
      </w:tblGrid>
      <w:tr w:rsidR="008E2798" w:rsidRPr="00982555" w14:paraId="44929D4D" w14:textId="77777777" w:rsidTr="002D70C4">
        <w:trPr>
          <w:cnfStyle w:val="100000000000" w:firstRow="1" w:lastRow="0" w:firstColumn="0" w:lastColumn="0" w:oddVBand="0" w:evenVBand="0" w:oddHBand="0" w:evenHBand="0" w:firstRowFirstColumn="0" w:firstRowLastColumn="0" w:lastRowFirstColumn="0" w:lastRowLastColumn="0"/>
        </w:trPr>
        <w:tc>
          <w:tcPr>
            <w:tcW w:w="2972" w:type="dxa"/>
            <w:vAlign w:val="center"/>
          </w:tcPr>
          <w:p w14:paraId="5844805B" w14:textId="77777777" w:rsidR="000B6AFE" w:rsidRPr="00982555" w:rsidRDefault="000B6AFE" w:rsidP="00724C4A">
            <w:pPr>
              <w:pStyle w:val="TableBody0"/>
              <w:spacing w:line="312" w:lineRule="auto"/>
              <w:rPr>
                <w:b/>
                <w:bCs/>
              </w:rPr>
            </w:pPr>
            <w:r>
              <w:rPr>
                <w:bCs/>
              </w:rPr>
              <w:t>Abbreviation/acronym</w:t>
            </w:r>
          </w:p>
        </w:tc>
        <w:tc>
          <w:tcPr>
            <w:tcW w:w="6095" w:type="dxa"/>
            <w:vAlign w:val="center"/>
          </w:tcPr>
          <w:p w14:paraId="56FD0AC2" w14:textId="77777777" w:rsidR="000B6AFE" w:rsidRPr="00982555" w:rsidRDefault="000B6AFE" w:rsidP="00724C4A">
            <w:pPr>
              <w:pStyle w:val="TableBody0"/>
              <w:spacing w:line="312" w:lineRule="auto"/>
              <w:rPr>
                <w:b/>
                <w:bCs/>
              </w:rPr>
            </w:pPr>
            <w:r w:rsidRPr="00982555">
              <w:rPr>
                <w:bCs/>
              </w:rPr>
              <w:t>Definition</w:t>
            </w:r>
          </w:p>
        </w:tc>
      </w:tr>
      <w:tr w:rsidR="00AD66B3" w:rsidRPr="0054222F" w14:paraId="160FDD0D"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4B8557A0" w14:textId="479012A0" w:rsidR="00AD66B3" w:rsidRPr="0054222F" w:rsidRDefault="00AD66B3" w:rsidP="00724C4A">
            <w:pPr>
              <w:pStyle w:val="TableBody0"/>
              <w:spacing w:line="312" w:lineRule="auto"/>
            </w:pPr>
            <w:r w:rsidRPr="00AB0F57">
              <w:rPr>
                <w:rFonts w:eastAsia="Aptos"/>
                <w:lang w:bidi="th-TH"/>
              </w:rPr>
              <w:t>AASB</w:t>
            </w:r>
          </w:p>
        </w:tc>
        <w:tc>
          <w:tcPr>
            <w:tcW w:w="6095" w:type="dxa"/>
            <w:vAlign w:val="center"/>
          </w:tcPr>
          <w:p w14:paraId="557F7748" w14:textId="308C4418" w:rsidR="00AD66B3" w:rsidRPr="0054222F" w:rsidRDefault="00AD66B3" w:rsidP="00724C4A">
            <w:pPr>
              <w:pStyle w:val="TableBody0"/>
              <w:spacing w:line="312" w:lineRule="auto"/>
            </w:pPr>
            <w:r w:rsidRPr="00AB0F57">
              <w:rPr>
                <w:rFonts w:eastAsia="Aptos"/>
                <w:lang w:bidi="th-TH"/>
              </w:rPr>
              <w:t>Australian Accounting Standards Board</w:t>
            </w:r>
          </w:p>
        </w:tc>
      </w:tr>
      <w:tr w:rsidR="00AD66B3" w:rsidRPr="0054222F" w14:paraId="1E906DD3"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72F94CD3" w14:textId="3AFEC256" w:rsidR="00AD66B3" w:rsidRPr="0054222F" w:rsidDel="00751A97" w:rsidRDefault="00AD66B3" w:rsidP="00724C4A">
            <w:pPr>
              <w:pStyle w:val="TableBody0"/>
              <w:spacing w:line="312" w:lineRule="auto"/>
            </w:pPr>
            <w:r w:rsidRPr="00AB0F57">
              <w:rPr>
                <w:rFonts w:eastAsia="Aptos"/>
                <w:lang w:bidi="th-TH"/>
              </w:rPr>
              <w:t>AAT</w:t>
            </w:r>
          </w:p>
        </w:tc>
        <w:tc>
          <w:tcPr>
            <w:tcW w:w="6095" w:type="dxa"/>
            <w:vAlign w:val="center"/>
          </w:tcPr>
          <w:p w14:paraId="61052CB1" w14:textId="5A722ADE" w:rsidR="00AD66B3" w:rsidRPr="0054222F" w:rsidDel="00751A97" w:rsidRDefault="00AD66B3" w:rsidP="00724C4A">
            <w:pPr>
              <w:pStyle w:val="TableBody0"/>
              <w:spacing w:line="312" w:lineRule="auto"/>
            </w:pPr>
            <w:r w:rsidRPr="00AB0F57">
              <w:rPr>
                <w:rFonts w:eastAsia="Aptos"/>
                <w:lang w:bidi="th-TH"/>
              </w:rPr>
              <w:t>Administrative Appeals Tribunal</w:t>
            </w:r>
          </w:p>
        </w:tc>
      </w:tr>
      <w:tr w:rsidR="00AD66B3" w:rsidRPr="0054222F" w14:paraId="17C1096B"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0FA6B753" w14:textId="68E37E62" w:rsidR="00AD66B3" w:rsidRPr="0054222F" w:rsidDel="00751A97" w:rsidRDefault="00AD66B3" w:rsidP="00724C4A">
            <w:pPr>
              <w:pStyle w:val="TableBody0"/>
              <w:spacing w:line="312" w:lineRule="auto"/>
            </w:pPr>
            <w:r w:rsidRPr="00AB0F57">
              <w:t>AC</w:t>
            </w:r>
          </w:p>
        </w:tc>
        <w:tc>
          <w:tcPr>
            <w:tcW w:w="6095" w:type="dxa"/>
            <w:vAlign w:val="center"/>
          </w:tcPr>
          <w:p w14:paraId="09D3A72C" w14:textId="7A74597A" w:rsidR="00AD66B3" w:rsidRPr="0054222F" w:rsidDel="00751A97" w:rsidRDefault="00AD66B3" w:rsidP="00724C4A">
            <w:pPr>
              <w:pStyle w:val="TableBody0"/>
              <w:spacing w:line="312" w:lineRule="auto"/>
            </w:pPr>
            <w:r w:rsidRPr="00AB0F57">
              <w:t>Companion of the Order of Australia</w:t>
            </w:r>
          </w:p>
        </w:tc>
      </w:tr>
      <w:tr w:rsidR="00AD66B3" w:rsidRPr="0054222F" w14:paraId="1742E794"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7B2B7F34" w14:textId="5C99A264" w:rsidR="00AD66B3" w:rsidRPr="0054222F" w:rsidDel="00751A97" w:rsidRDefault="00AD66B3" w:rsidP="00724C4A">
            <w:pPr>
              <w:pStyle w:val="TableBody0"/>
              <w:spacing w:line="312" w:lineRule="auto"/>
            </w:pPr>
            <w:r w:rsidRPr="00AB0F57">
              <w:t>ACT</w:t>
            </w:r>
          </w:p>
        </w:tc>
        <w:tc>
          <w:tcPr>
            <w:tcW w:w="6095" w:type="dxa"/>
            <w:vAlign w:val="center"/>
          </w:tcPr>
          <w:p w14:paraId="4EBBD764" w14:textId="0CF7C6F3" w:rsidR="00AD66B3" w:rsidRPr="0054222F" w:rsidDel="00751A97" w:rsidRDefault="00AD66B3" w:rsidP="00724C4A">
            <w:pPr>
              <w:pStyle w:val="TableBody0"/>
              <w:spacing w:line="312" w:lineRule="auto"/>
            </w:pPr>
            <w:r w:rsidRPr="00AB0F57">
              <w:t>Australian Capital Territory</w:t>
            </w:r>
          </w:p>
        </w:tc>
      </w:tr>
      <w:tr w:rsidR="00AD66B3" w:rsidRPr="0054222F" w14:paraId="20CFC3AF"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3B2E6F90" w14:textId="18980BFB" w:rsidR="00AD66B3" w:rsidRPr="0054222F" w:rsidDel="00751A97" w:rsidRDefault="00AD66B3" w:rsidP="00724C4A">
            <w:pPr>
              <w:pStyle w:val="TableBody0"/>
              <w:spacing w:line="312" w:lineRule="auto"/>
            </w:pPr>
            <w:r w:rsidRPr="00AB0F57">
              <w:t>ACCHO</w:t>
            </w:r>
          </w:p>
        </w:tc>
        <w:tc>
          <w:tcPr>
            <w:tcW w:w="6095" w:type="dxa"/>
            <w:vAlign w:val="center"/>
          </w:tcPr>
          <w:p w14:paraId="7F7AB070" w14:textId="1C105C66" w:rsidR="00AD66B3" w:rsidRPr="0054222F" w:rsidDel="00751A97" w:rsidRDefault="00AD66B3" w:rsidP="00724C4A">
            <w:pPr>
              <w:pStyle w:val="TableBody0"/>
              <w:spacing w:line="312" w:lineRule="auto"/>
            </w:pPr>
            <w:r w:rsidRPr="00AB0F57">
              <w:t>Aboriginal Community Controlled Health Organisation</w:t>
            </w:r>
          </w:p>
        </w:tc>
      </w:tr>
      <w:tr w:rsidR="00AD66B3" w:rsidRPr="0054222F" w14:paraId="189009FB"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1FCD7F25" w14:textId="3AB58215" w:rsidR="00AD66B3" w:rsidRPr="0054222F" w:rsidDel="00751A97" w:rsidRDefault="00AD66B3" w:rsidP="00724C4A">
            <w:pPr>
              <w:pStyle w:val="TableBody0"/>
              <w:spacing w:line="312" w:lineRule="auto"/>
            </w:pPr>
            <w:r w:rsidRPr="00AB0F57">
              <w:rPr>
                <w:lang w:val="en-GB"/>
              </w:rPr>
              <w:t>AFSR</w:t>
            </w:r>
          </w:p>
        </w:tc>
        <w:tc>
          <w:tcPr>
            <w:tcW w:w="6095" w:type="dxa"/>
            <w:vAlign w:val="center"/>
          </w:tcPr>
          <w:p w14:paraId="2993722E" w14:textId="604C2EFA" w:rsidR="00AD66B3" w:rsidRPr="0054222F" w:rsidDel="00751A97" w:rsidRDefault="00AD66B3" w:rsidP="00724C4A">
            <w:pPr>
              <w:pStyle w:val="TableBody0"/>
              <w:spacing w:line="312" w:lineRule="auto"/>
            </w:pPr>
            <w:r>
              <w:rPr>
                <w:lang w:val="en-GB"/>
              </w:rPr>
              <w:t>A</w:t>
            </w:r>
            <w:r w:rsidRPr="00AB0F57">
              <w:rPr>
                <w:lang w:val="en-GB"/>
              </w:rPr>
              <w:t xml:space="preserve">nnual </w:t>
            </w:r>
            <w:r>
              <w:rPr>
                <w:lang w:val="en-GB"/>
              </w:rPr>
              <w:t>F</w:t>
            </w:r>
            <w:r w:rsidRPr="00AB0F57">
              <w:rPr>
                <w:lang w:val="en-GB"/>
              </w:rPr>
              <w:t xml:space="preserve">inancial </w:t>
            </w:r>
            <w:r>
              <w:rPr>
                <w:lang w:val="en-GB"/>
              </w:rPr>
              <w:t>S</w:t>
            </w:r>
            <w:r w:rsidRPr="00AB0F57">
              <w:rPr>
                <w:lang w:val="en-GB"/>
              </w:rPr>
              <w:t xml:space="preserve">ustainability </w:t>
            </w:r>
            <w:r>
              <w:rPr>
                <w:lang w:val="en-GB"/>
              </w:rPr>
              <w:t>R</w:t>
            </w:r>
            <w:r w:rsidRPr="00AB0F57">
              <w:rPr>
                <w:lang w:val="en-GB"/>
              </w:rPr>
              <w:t>eport</w:t>
            </w:r>
          </w:p>
        </w:tc>
      </w:tr>
      <w:tr w:rsidR="00AD66B3" w:rsidRPr="0054222F" w14:paraId="727469B6"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37435BA0" w14:textId="65B3145F" w:rsidR="00AD66B3" w:rsidRPr="0054222F" w:rsidDel="00751A97" w:rsidRDefault="00AD66B3" w:rsidP="00724C4A">
            <w:pPr>
              <w:pStyle w:val="TableBody0"/>
              <w:spacing w:line="312" w:lineRule="auto"/>
            </w:pPr>
            <w:r w:rsidRPr="00AB0F57">
              <w:t>AICD</w:t>
            </w:r>
          </w:p>
        </w:tc>
        <w:tc>
          <w:tcPr>
            <w:tcW w:w="6095" w:type="dxa"/>
            <w:vAlign w:val="center"/>
          </w:tcPr>
          <w:p w14:paraId="2E1EE643" w14:textId="22215B67" w:rsidR="00AD66B3" w:rsidRPr="0054222F" w:rsidDel="00751A97" w:rsidRDefault="00AD66B3" w:rsidP="00724C4A">
            <w:pPr>
              <w:pStyle w:val="TableBody0"/>
              <w:spacing w:line="312" w:lineRule="auto"/>
            </w:pPr>
            <w:r w:rsidRPr="00AB0F57">
              <w:t>Australian Institute of Company Directors</w:t>
            </w:r>
          </w:p>
        </w:tc>
      </w:tr>
      <w:tr w:rsidR="00AD66B3" w:rsidRPr="0054222F" w14:paraId="1CB6A342"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5AE4DF88" w14:textId="74BC3E8E" w:rsidR="00AD66B3" w:rsidRPr="0054222F" w:rsidDel="00751A97" w:rsidRDefault="00AD66B3" w:rsidP="00724C4A">
            <w:pPr>
              <w:pStyle w:val="TableBody0"/>
              <w:spacing w:line="312" w:lineRule="auto"/>
            </w:pPr>
            <w:r w:rsidRPr="00AB0F57">
              <w:t>AM</w:t>
            </w:r>
          </w:p>
        </w:tc>
        <w:tc>
          <w:tcPr>
            <w:tcW w:w="6095" w:type="dxa"/>
            <w:vAlign w:val="center"/>
          </w:tcPr>
          <w:p w14:paraId="19604152" w14:textId="74B8BA01" w:rsidR="00AD66B3" w:rsidRPr="0054222F" w:rsidDel="00751A97" w:rsidRDefault="00AD66B3" w:rsidP="00724C4A">
            <w:pPr>
              <w:pStyle w:val="TableBody0"/>
              <w:spacing w:line="312" w:lineRule="auto"/>
            </w:pPr>
            <w:r w:rsidRPr="00AB0F57">
              <w:t>Member of the Order of Australia</w:t>
            </w:r>
          </w:p>
        </w:tc>
      </w:tr>
      <w:tr w:rsidR="00AD66B3" w:rsidRPr="0054222F" w14:paraId="19DA12CF"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7014F742" w14:textId="6DC4B245" w:rsidR="00AD66B3" w:rsidRPr="0054222F" w:rsidDel="00751A97" w:rsidRDefault="00AD66B3" w:rsidP="00724C4A">
            <w:pPr>
              <w:pStyle w:val="TableBody0"/>
              <w:spacing w:line="312" w:lineRule="auto"/>
            </w:pPr>
            <w:r w:rsidRPr="00AB0F57">
              <w:t>ANAO</w:t>
            </w:r>
          </w:p>
        </w:tc>
        <w:tc>
          <w:tcPr>
            <w:tcW w:w="6095" w:type="dxa"/>
            <w:vAlign w:val="center"/>
          </w:tcPr>
          <w:p w14:paraId="6F5E907E" w14:textId="2DF7EF4A" w:rsidR="00AD66B3" w:rsidRPr="0054222F" w:rsidDel="00751A97" w:rsidRDefault="00AD66B3" w:rsidP="00724C4A">
            <w:pPr>
              <w:pStyle w:val="TableBody0"/>
              <w:spacing w:line="312" w:lineRule="auto"/>
            </w:pPr>
            <w:r w:rsidRPr="00AB0F57">
              <w:t>Australian National Audit Office</w:t>
            </w:r>
          </w:p>
        </w:tc>
      </w:tr>
      <w:tr w:rsidR="00AD66B3" w:rsidRPr="0054222F" w14:paraId="5B6FEFBD"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49CD9B06" w14:textId="1BA3A4DB" w:rsidR="00AD66B3" w:rsidRPr="0054222F" w:rsidDel="00751A97" w:rsidRDefault="00AD66B3" w:rsidP="00724C4A">
            <w:pPr>
              <w:pStyle w:val="TableBody0"/>
              <w:spacing w:line="312" w:lineRule="auto"/>
            </w:pPr>
            <w:r w:rsidRPr="00AB0F57">
              <w:t>ANZSOG</w:t>
            </w:r>
          </w:p>
        </w:tc>
        <w:tc>
          <w:tcPr>
            <w:tcW w:w="6095" w:type="dxa"/>
            <w:vAlign w:val="center"/>
          </w:tcPr>
          <w:p w14:paraId="6FC1087F" w14:textId="6FF81729" w:rsidR="00AD66B3" w:rsidRPr="0054222F" w:rsidDel="00751A97" w:rsidRDefault="00AD66B3" w:rsidP="00724C4A">
            <w:pPr>
              <w:pStyle w:val="TableBody0"/>
              <w:spacing w:line="312" w:lineRule="auto"/>
            </w:pPr>
            <w:r w:rsidRPr="00AB0F57">
              <w:t>Australia and New Zealand School of Government</w:t>
            </w:r>
          </w:p>
        </w:tc>
      </w:tr>
      <w:tr w:rsidR="00AD66B3" w:rsidRPr="0054222F" w14:paraId="4A9AED72"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12B9CDB9" w14:textId="1B9D632D" w:rsidR="00AD66B3" w:rsidRPr="0054222F" w:rsidDel="00751A97" w:rsidRDefault="00AD66B3" w:rsidP="00724C4A">
            <w:pPr>
              <w:pStyle w:val="TableBody0"/>
              <w:spacing w:line="312" w:lineRule="auto"/>
            </w:pPr>
            <w:r w:rsidRPr="00AB0F57">
              <w:t>AO</w:t>
            </w:r>
          </w:p>
        </w:tc>
        <w:tc>
          <w:tcPr>
            <w:tcW w:w="6095" w:type="dxa"/>
            <w:vAlign w:val="center"/>
          </w:tcPr>
          <w:p w14:paraId="7D15DBB7" w14:textId="7FF282BF" w:rsidR="00AD66B3" w:rsidRPr="0054222F" w:rsidDel="00751A97" w:rsidRDefault="00AD66B3" w:rsidP="00724C4A">
            <w:pPr>
              <w:pStyle w:val="TableBody0"/>
              <w:spacing w:line="312" w:lineRule="auto"/>
            </w:pPr>
            <w:r w:rsidRPr="00AB0F57">
              <w:t>Officer of the Order of Australia</w:t>
            </w:r>
          </w:p>
        </w:tc>
      </w:tr>
      <w:tr w:rsidR="00AD66B3" w:rsidRPr="0054222F" w14:paraId="0A58A92B"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00B4C163" w14:textId="158ECB95" w:rsidR="00AD66B3" w:rsidRPr="0054222F" w:rsidDel="00751A97" w:rsidRDefault="00AD66B3" w:rsidP="00724C4A">
            <w:pPr>
              <w:pStyle w:val="TableBody0"/>
              <w:spacing w:line="312" w:lineRule="auto"/>
            </w:pPr>
            <w:r w:rsidRPr="00AB0F57">
              <w:t>APS</w:t>
            </w:r>
          </w:p>
        </w:tc>
        <w:tc>
          <w:tcPr>
            <w:tcW w:w="6095" w:type="dxa"/>
            <w:vAlign w:val="center"/>
          </w:tcPr>
          <w:p w14:paraId="316BA9AA" w14:textId="2224BFB7" w:rsidR="00AD66B3" w:rsidRPr="0054222F" w:rsidDel="00751A97" w:rsidRDefault="00AD66B3" w:rsidP="00724C4A">
            <w:pPr>
              <w:pStyle w:val="TableBody0"/>
              <w:spacing w:line="312" w:lineRule="auto"/>
            </w:pPr>
            <w:r w:rsidRPr="00AB0F57">
              <w:t>Australian Public Service</w:t>
            </w:r>
          </w:p>
        </w:tc>
      </w:tr>
      <w:tr w:rsidR="00AD66B3" w:rsidRPr="0054222F" w14:paraId="2135F300"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240B530A" w14:textId="76DB85E0" w:rsidR="00AD66B3" w:rsidRPr="0054222F" w:rsidDel="00751A97" w:rsidRDefault="00AD66B3" w:rsidP="00724C4A">
            <w:pPr>
              <w:pStyle w:val="TableBody0"/>
              <w:spacing w:line="312" w:lineRule="auto"/>
            </w:pPr>
            <w:r w:rsidRPr="00AB0F57">
              <w:rPr>
                <w:rFonts w:eastAsia="Aptos"/>
                <w:lang w:bidi="th-TH"/>
              </w:rPr>
              <w:t>ART</w:t>
            </w:r>
          </w:p>
        </w:tc>
        <w:tc>
          <w:tcPr>
            <w:tcW w:w="6095" w:type="dxa"/>
            <w:vAlign w:val="center"/>
          </w:tcPr>
          <w:p w14:paraId="617D5BC1" w14:textId="5EABDDA1" w:rsidR="00AD66B3" w:rsidRPr="0054222F" w:rsidDel="00751A97" w:rsidRDefault="00AD66B3" w:rsidP="00724C4A">
            <w:pPr>
              <w:pStyle w:val="TableBody0"/>
              <w:spacing w:line="312" w:lineRule="auto"/>
            </w:pPr>
            <w:r w:rsidRPr="00AB0F57">
              <w:rPr>
                <w:rFonts w:eastAsia="Aptos"/>
                <w:lang w:bidi="th-TH"/>
              </w:rPr>
              <w:t>Administrative Review Tribunal</w:t>
            </w:r>
          </w:p>
        </w:tc>
      </w:tr>
      <w:tr w:rsidR="00AD66B3" w:rsidRPr="0054222F" w14:paraId="3E9C1861"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2A3EA5AD" w14:textId="0262620D" w:rsidR="00AD66B3" w:rsidRPr="0054222F" w:rsidDel="00751A97" w:rsidRDefault="00AD66B3" w:rsidP="00724C4A">
            <w:pPr>
              <w:pStyle w:val="TableBody0"/>
              <w:spacing w:line="312" w:lineRule="auto"/>
            </w:pPr>
            <w:r w:rsidRPr="00AB0F57">
              <w:t>Ashton Review</w:t>
            </w:r>
          </w:p>
        </w:tc>
        <w:tc>
          <w:tcPr>
            <w:tcW w:w="6095" w:type="dxa"/>
            <w:vAlign w:val="center"/>
          </w:tcPr>
          <w:p w14:paraId="4066B0DE" w14:textId="13584A2B" w:rsidR="00AD66B3" w:rsidRPr="0054222F" w:rsidDel="00751A97" w:rsidRDefault="00AD66B3" w:rsidP="00724C4A">
            <w:pPr>
              <w:pStyle w:val="TableBody0"/>
              <w:spacing w:line="312" w:lineRule="auto"/>
            </w:pPr>
            <w:r w:rsidRPr="00AB0F57">
              <w:t>2024 Review of Security and Safety at NDIA</w:t>
            </w:r>
          </w:p>
        </w:tc>
      </w:tr>
      <w:tr w:rsidR="00AD66B3" w:rsidRPr="0054222F" w14:paraId="5929AA74"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7AEB86CE" w14:textId="3D220500" w:rsidR="00AD66B3" w:rsidRPr="0054222F" w:rsidDel="00751A97" w:rsidRDefault="00AD66B3" w:rsidP="00724C4A">
            <w:pPr>
              <w:pStyle w:val="TableBody0"/>
              <w:spacing w:line="312" w:lineRule="auto"/>
            </w:pPr>
            <w:r w:rsidRPr="00AB0F57">
              <w:t>BARC</w:t>
            </w:r>
          </w:p>
        </w:tc>
        <w:tc>
          <w:tcPr>
            <w:tcW w:w="6095" w:type="dxa"/>
            <w:vAlign w:val="center"/>
          </w:tcPr>
          <w:p w14:paraId="389F7A75" w14:textId="5D26B660" w:rsidR="00AD66B3" w:rsidRPr="0054222F" w:rsidDel="00751A97" w:rsidRDefault="00AD66B3" w:rsidP="00724C4A">
            <w:pPr>
              <w:pStyle w:val="TableBody0"/>
              <w:spacing w:line="312" w:lineRule="auto"/>
            </w:pPr>
            <w:r w:rsidRPr="00AB0F57">
              <w:t>Board Audit and Risk Committee</w:t>
            </w:r>
          </w:p>
        </w:tc>
      </w:tr>
      <w:tr w:rsidR="00AD66B3" w:rsidRPr="0054222F" w14:paraId="207E0AD3"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3A11268E" w14:textId="312F77DD" w:rsidR="00AD66B3" w:rsidRPr="0054222F" w:rsidDel="00751A97" w:rsidRDefault="00AD66B3" w:rsidP="00724C4A">
            <w:pPr>
              <w:pStyle w:val="TableBody0"/>
              <w:spacing w:line="312" w:lineRule="auto"/>
            </w:pPr>
            <w:r w:rsidRPr="00AB0F57">
              <w:t>CALD</w:t>
            </w:r>
          </w:p>
        </w:tc>
        <w:tc>
          <w:tcPr>
            <w:tcW w:w="6095" w:type="dxa"/>
            <w:vAlign w:val="center"/>
          </w:tcPr>
          <w:p w14:paraId="3F00E5D6" w14:textId="05161DD9" w:rsidR="00AD66B3" w:rsidRPr="0054222F" w:rsidDel="00751A97" w:rsidRDefault="00AD66B3" w:rsidP="00724C4A">
            <w:pPr>
              <w:pStyle w:val="TableBody0"/>
              <w:spacing w:line="312" w:lineRule="auto"/>
            </w:pPr>
            <w:r w:rsidRPr="00AB0F57">
              <w:t>culturally and linguistically diverse</w:t>
            </w:r>
          </w:p>
        </w:tc>
      </w:tr>
      <w:tr w:rsidR="00AD66B3" w:rsidRPr="0054222F" w14:paraId="4AB3E645"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7C20F274" w14:textId="3C83C907" w:rsidR="00AD66B3" w:rsidRPr="0054222F" w:rsidDel="00751A97" w:rsidRDefault="00AD66B3" w:rsidP="00724C4A">
            <w:pPr>
              <w:pStyle w:val="TableBody0"/>
              <w:spacing w:line="312" w:lineRule="auto"/>
            </w:pPr>
            <w:r w:rsidRPr="00AB0F57">
              <w:rPr>
                <w:lang w:eastAsia="en-AU"/>
              </w:rPr>
              <w:t>CCTV</w:t>
            </w:r>
          </w:p>
        </w:tc>
        <w:tc>
          <w:tcPr>
            <w:tcW w:w="6095" w:type="dxa"/>
            <w:vAlign w:val="center"/>
          </w:tcPr>
          <w:p w14:paraId="170234E5" w14:textId="26C3D80D" w:rsidR="00AD66B3" w:rsidRPr="0054222F" w:rsidDel="00751A97" w:rsidRDefault="00AD66B3" w:rsidP="00724C4A">
            <w:pPr>
              <w:pStyle w:val="TableBody0"/>
              <w:spacing w:line="312" w:lineRule="auto"/>
            </w:pPr>
            <w:r w:rsidRPr="00AB0F57">
              <w:rPr>
                <w:lang w:eastAsia="en-AU"/>
              </w:rPr>
              <w:t>closed-circuit television</w:t>
            </w:r>
          </w:p>
        </w:tc>
      </w:tr>
      <w:tr w:rsidR="00AD66B3" w:rsidRPr="0054222F" w14:paraId="1582DC12"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38DD5887" w14:textId="424441A4" w:rsidR="00AD66B3" w:rsidRPr="0054222F" w:rsidDel="00751A97" w:rsidRDefault="00AD66B3" w:rsidP="00724C4A">
            <w:pPr>
              <w:pStyle w:val="TableBody0"/>
              <w:spacing w:line="312" w:lineRule="auto"/>
            </w:pPr>
            <w:r w:rsidRPr="00AB0F57">
              <w:rPr>
                <w:rFonts w:eastAsia="Arial"/>
                <w:color w:val="000000"/>
                <w:lang w:eastAsia="en-AU"/>
              </w:rPr>
              <w:t>CDoF</w:t>
            </w:r>
          </w:p>
        </w:tc>
        <w:tc>
          <w:tcPr>
            <w:tcW w:w="6095" w:type="dxa"/>
            <w:vAlign w:val="center"/>
          </w:tcPr>
          <w:p w14:paraId="1E9A0372" w14:textId="4F96FF07" w:rsidR="00AD66B3" w:rsidRPr="0054222F" w:rsidDel="00751A97" w:rsidRDefault="00AD66B3" w:rsidP="00724C4A">
            <w:pPr>
              <w:pStyle w:val="TableBody0"/>
              <w:spacing w:line="312" w:lineRule="auto"/>
            </w:pPr>
            <w:r w:rsidRPr="00AB0F57">
              <w:rPr>
                <w:rFonts w:eastAsia="Arial"/>
                <w:color w:val="000000"/>
                <w:lang w:eastAsia="en-AU"/>
              </w:rPr>
              <w:t>Crack Down on Fraud program</w:t>
            </w:r>
          </w:p>
        </w:tc>
      </w:tr>
      <w:tr w:rsidR="00AD66B3" w:rsidRPr="0054222F" w14:paraId="088956DC"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115DC0B7" w14:textId="6EC29033" w:rsidR="00AD66B3" w:rsidRPr="0054222F" w:rsidDel="00751A97" w:rsidRDefault="00AD66B3" w:rsidP="00724C4A">
            <w:pPr>
              <w:pStyle w:val="TableBody0"/>
              <w:spacing w:line="312" w:lineRule="auto"/>
            </w:pPr>
            <w:r w:rsidRPr="00AB0F57">
              <w:t>CEO</w:t>
            </w:r>
          </w:p>
        </w:tc>
        <w:tc>
          <w:tcPr>
            <w:tcW w:w="6095" w:type="dxa"/>
            <w:vAlign w:val="center"/>
          </w:tcPr>
          <w:p w14:paraId="54B6EC05" w14:textId="3922DA81" w:rsidR="00AD66B3" w:rsidRPr="0054222F" w:rsidDel="00751A97" w:rsidRDefault="00AD66B3" w:rsidP="00724C4A">
            <w:pPr>
              <w:pStyle w:val="TableBody0"/>
              <w:spacing w:line="312" w:lineRule="auto"/>
            </w:pPr>
            <w:r w:rsidRPr="00AB0F57">
              <w:t>Chief Executive Officer</w:t>
            </w:r>
          </w:p>
        </w:tc>
      </w:tr>
      <w:tr w:rsidR="00AD66B3" w:rsidRPr="0054222F" w14:paraId="05FBE70C"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7A042B1F" w14:textId="092568F3" w:rsidR="00AD66B3" w:rsidRPr="0054222F" w:rsidDel="00751A97" w:rsidRDefault="00AD66B3" w:rsidP="00724C4A">
            <w:pPr>
              <w:pStyle w:val="TableBody0"/>
              <w:spacing w:line="312" w:lineRule="auto"/>
            </w:pPr>
            <w:r w:rsidRPr="00AB0F57">
              <w:t>Cth</w:t>
            </w:r>
          </w:p>
        </w:tc>
        <w:tc>
          <w:tcPr>
            <w:tcW w:w="6095" w:type="dxa"/>
            <w:vAlign w:val="center"/>
          </w:tcPr>
          <w:p w14:paraId="0CF74AC4" w14:textId="7B37DCD5" w:rsidR="00AD66B3" w:rsidRPr="0054222F" w:rsidDel="00751A97" w:rsidRDefault="00AD66B3" w:rsidP="00724C4A">
            <w:pPr>
              <w:pStyle w:val="TableBody0"/>
              <w:spacing w:line="312" w:lineRule="auto"/>
            </w:pPr>
            <w:r w:rsidRPr="00AB0F57">
              <w:t>Commonwealth</w:t>
            </w:r>
          </w:p>
        </w:tc>
      </w:tr>
      <w:tr w:rsidR="00AD66B3" w:rsidRPr="0054222F" w14:paraId="72DDB11E"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4669EE18" w14:textId="291FDE2D" w:rsidR="00AD66B3" w:rsidRPr="0054222F" w:rsidDel="00751A97" w:rsidRDefault="00AD66B3" w:rsidP="00724C4A">
            <w:pPr>
              <w:pStyle w:val="TableBody0"/>
              <w:spacing w:line="312" w:lineRule="auto"/>
            </w:pPr>
            <w:r w:rsidRPr="00AB0F57">
              <w:t>DHDA</w:t>
            </w:r>
          </w:p>
        </w:tc>
        <w:tc>
          <w:tcPr>
            <w:tcW w:w="6095" w:type="dxa"/>
            <w:vAlign w:val="center"/>
          </w:tcPr>
          <w:p w14:paraId="68DFF598" w14:textId="469B357F" w:rsidR="00AD66B3" w:rsidRPr="0054222F" w:rsidDel="00751A97" w:rsidRDefault="00AD66B3" w:rsidP="00724C4A">
            <w:pPr>
              <w:pStyle w:val="TableBody0"/>
              <w:spacing w:line="312" w:lineRule="auto"/>
            </w:pPr>
            <w:r w:rsidRPr="00AB0F57">
              <w:t>Department of Health, Disability and Ageing</w:t>
            </w:r>
          </w:p>
        </w:tc>
      </w:tr>
      <w:tr w:rsidR="00AD66B3" w:rsidRPr="0054222F" w14:paraId="485C9908"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1867F686" w14:textId="4B60181C" w:rsidR="00AD66B3" w:rsidRPr="0054222F" w:rsidDel="00751A97" w:rsidRDefault="00AD66B3" w:rsidP="00724C4A">
            <w:pPr>
              <w:pStyle w:val="TableBody0"/>
              <w:spacing w:line="312" w:lineRule="auto"/>
            </w:pPr>
            <w:r w:rsidRPr="00AB0F57">
              <w:t>DRMC</w:t>
            </w:r>
          </w:p>
        </w:tc>
        <w:tc>
          <w:tcPr>
            <w:tcW w:w="6095" w:type="dxa"/>
            <w:vAlign w:val="center"/>
          </w:tcPr>
          <w:p w14:paraId="67692927" w14:textId="4089D53F" w:rsidR="00AD66B3" w:rsidRPr="0054222F" w:rsidDel="00751A97" w:rsidRDefault="00AD66B3" w:rsidP="00724C4A">
            <w:pPr>
              <w:pStyle w:val="TableBody0"/>
              <w:spacing w:line="312" w:lineRule="auto"/>
            </w:pPr>
            <w:r w:rsidRPr="00AB0F57">
              <w:t>Disability Reform Ministerial Council</w:t>
            </w:r>
          </w:p>
        </w:tc>
      </w:tr>
      <w:tr w:rsidR="00AD66B3" w:rsidRPr="0054222F" w14:paraId="221E487B"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7DA8341C" w14:textId="02C69B05" w:rsidR="00AD66B3" w:rsidRPr="0054222F" w:rsidDel="00751A97" w:rsidRDefault="00AD66B3" w:rsidP="00724C4A">
            <w:pPr>
              <w:pStyle w:val="TableBody0"/>
              <w:spacing w:line="312" w:lineRule="auto"/>
            </w:pPr>
            <w:r w:rsidRPr="00635CFB">
              <w:t>ECA</w:t>
            </w:r>
          </w:p>
        </w:tc>
        <w:tc>
          <w:tcPr>
            <w:tcW w:w="6095" w:type="dxa"/>
            <w:vAlign w:val="center"/>
          </w:tcPr>
          <w:p w14:paraId="38E41C4B" w14:textId="1835CD16" w:rsidR="00AD66B3" w:rsidRPr="0054222F" w:rsidDel="00751A97" w:rsidRDefault="00AD66B3" w:rsidP="00724C4A">
            <w:pPr>
              <w:pStyle w:val="TableBody0"/>
              <w:spacing w:line="312" w:lineRule="auto"/>
            </w:pPr>
            <w:r>
              <w:t>Early Childhood Approach</w:t>
            </w:r>
          </w:p>
        </w:tc>
      </w:tr>
      <w:tr w:rsidR="00AD66B3" w:rsidRPr="0054222F" w14:paraId="26A45366"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65C649B4" w14:textId="6309764C" w:rsidR="00AD66B3" w:rsidRPr="0054222F" w:rsidDel="00751A97" w:rsidRDefault="00AD66B3" w:rsidP="00724C4A">
            <w:pPr>
              <w:pStyle w:val="TableBody0"/>
              <w:spacing w:line="312" w:lineRule="auto"/>
            </w:pPr>
            <w:r w:rsidRPr="00AB0F57">
              <w:rPr>
                <w:rFonts w:eastAsia="Arial"/>
                <w:color w:val="000000"/>
                <w:lang w:eastAsia="en-AU"/>
              </w:rPr>
              <w:t>FCA</w:t>
            </w:r>
          </w:p>
        </w:tc>
        <w:tc>
          <w:tcPr>
            <w:tcW w:w="6095" w:type="dxa"/>
            <w:vAlign w:val="center"/>
          </w:tcPr>
          <w:p w14:paraId="0306602D" w14:textId="7D0C2004" w:rsidR="00AD66B3" w:rsidRPr="0054222F" w:rsidDel="00751A97" w:rsidRDefault="00AD66B3" w:rsidP="00724C4A">
            <w:pPr>
              <w:pStyle w:val="TableBody0"/>
              <w:spacing w:line="312" w:lineRule="auto"/>
            </w:pPr>
            <w:r w:rsidRPr="00AB0F57">
              <w:rPr>
                <w:rFonts w:eastAsia="Arial"/>
                <w:color w:val="000000"/>
                <w:lang w:eastAsia="en-AU"/>
              </w:rPr>
              <w:t>Federal Court of Australia</w:t>
            </w:r>
          </w:p>
        </w:tc>
      </w:tr>
      <w:tr w:rsidR="00AD66B3" w:rsidRPr="0054222F" w14:paraId="64E454A1"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14EDB947" w14:textId="5535348F" w:rsidR="00AD66B3" w:rsidRPr="0054222F" w:rsidDel="00751A97" w:rsidRDefault="00AD66B3" w:rsidP="00724C4A">
            <w:pPr>
              <w:pStyle w:val="TableBody0"/>
              <w:spacing w:line="312" w:lineRule="auto"/>
            </w:pPr>
            <w:r w:rsidRPr="00AB0F57">
              <w:rPr>
                <w:rFonts w:eastAsia="Arial"/>
                <w:color w:val="000000"/>
                <w:lang w:eastAsia="en-AU"/>
              </w:rPr>
              <w:t>FCAFC</w:t>
            </w:r>
          </w:p>
        </w:tc>
        <w:tc>
          <w:tcPr>
            <w:tcW w:w="6095" w:type="dxa"/>
            <w:vAlign w:val="center"/>
          </w:tcPr>
          <w:p w14:paraId="7EE9A823" w14:textId="752E3C92" w:rsidR="00AD66B3" w:rsidRPr="0054222F" w:rsidDel="00751A97" w:rsidRDefault="00AD66B3" w:rsidP="00724C4A">
            <w:pPr>
              <w:pStyle w:val="TableBody0"/>
              <w:spacing w:line="312" w:lineRule="auto"/>
            </w:pPr>
            <w:r w:rsidRPr="00AB0F57">
              <w:rPr>
                <w:rFonts w:eastAsia="Arial"/>
                <w:color w:val="000000"/>
                <w:lang w:eastAsia="en-AU"/>
              </w:rPr>
              <w:t>Federal Circuit and Family Court of Australia</w:t>
            </w:r>
          </w:p>
        </w:tc>
      </w:tr>
      <w:tr w:rsidR="00AD66B3" w:rsidRPr="0054222F" w14:paraId="15DBB32F"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55D55F14" w14:textId="09D69917" w:rsidR="00AD66B3" w:rsidRPr="0054222F" w:rsidDel="00751A97" w:rsidRDefault="00AD66B3" w:rsidP="00724C4A">
            <w:pPr>
              <w:pStyle w:val="TableBody0"/>
              <w:spacing w:line="312" w:lineRule="auto"/>
            </w:pPr>
            <w:r w:rsidRPr="00AB0F57">
              <w:rPr>
                <w:rFonts w:eastAsia="Arial"/>
                <w:color w:val="000000"/>
                <w:lang w:eastAsia="en-AU"/>
              </w:rPr>
              <w:t>FFT</w:t>
            </w:r>
          </w:p>
        </w:tc>
        <w:tc>
          <w:tcPr>
            <w:tcW w:w="6095" w:type="dxa"/>
            <w:vAlign w:val="center"/>
          </w:tcPr>
          <w:p w14:paraId="75AD567B" w14:textId="08BBB823" w:rsidR="00AD66B3" w:rsidRPr="0054222F" w:rsidDel="00751A97" w:rsidRDefault="00AD66B3" w:rsidP="00724C4A">
            <w:pPr>
              <w:pStyle w:val="TableBody0"/>
              <w:spacing w:line="312" w:lineRule="auto"/>
            </w:pPr>
            <w:r w:rsidRPr="00AB0F57">
              <w:rPr>
                <w:rFonts w:eastAsia="Arial"/>
                <w:color w:val="000000"/>
                <w:lang w:eastAsia="en-AU"/>
              </w:rPr>
              <w:t>Fraud Fusion Taskforce</w:t>
            </w:r>
          </w:p>
        </w:tc>
      </w:tr>
      <w:tr w:rsidR="00AD66B3" w:rsidRPr="0054222F" w14:paraId="5A2A82AA"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08F2AEF6" w14:textId="2493D3B5" w:rsidR="00AD66B3" w:rsidRPr="0054222F" w:rsidDel="00751A97" w:rsidRDefault="00AD66B3" w:rsidP="00724C4A">
            <w:pPr>
              <w:pStyle w:val="TableBody0"/>
              <w:spacing w:line="312" w:lineRule="auto"/>
            </w:pPr>
            <w:r w:rsidRPr="00AB0F57">
              <w:t>FIAA</w:t>
            </w:r>
          </w:p>
        </w:tc>
        <w:tc>
          <w:tcPr>
            <w:tcW w:w="6095" w:type="dxa"/>
            <w:vAlign w:val="center"/>
          </w:tcPr>
          <w:p w14:paraId="612EC438" w14:textId="562D9B0C" w:rsidR="00AD66B3" w:rsidRPr="0054222F" w:rsidDel="00751A97" w:rsidRDefault="00AD66B3" w:rsidP="00724C4A">
            <w:pPr>
              <w:pStyle w:val="TableBody0"/>
              <w:spacing w:line="312" w:lineRule="auto"/>
            </w:pPr>
            <w:r w:rsidRPr="00AB0F57">
              <w:t>Fellow of the Institute of Actuaries of Australia</w:t>
            </w:r>
          </w:p>
        </w:tc>
      </w:tr>
      <w:tr w:rsidR="00AD66B3" w:rsidRPr="0054222F" w14:paraId="4555ADEF"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68881B20" w14:textId="2EA20276" w:rsidR="00AD66B3" w:rsidRPr="0054222F" w:rsidDel="00751A97" w:rsidRDefault="00AD66B3" w:rsidP="00724C4A">
            <w:pPr>
              <w:pStyle w:val="TableBody0"/>
              <w:spacing w:line="312" w:lineRule="auto"/>
            </w:pPr>
            <w:r w:rsidRPr="00AB0F57">
              <w:t>FOI Act</w:t>
            </w:r>
          </w:p>
        </w:tc>
        <w:tc>
          <w:tcPr>
            <w:tcW w:w="6095" w:type="dxa"/>
            <w:vAlign w:val="center"/>
          </w:tcPr>
          <w:p w14:paraId="4885853F" w14:textId="18454050" w:rsidR="00AD66B3" w:rsidRPr="0054222F" w:rsidDel="00751A97" w:rsidRDefault="00AD66B3" w:rsidP="00724C4A">
            <w:pPr>
              <w:pStyle w:val="TableBody0"/>
              <w:spacing w:line="312" w:lineRule="auto"/>
            </w:pPr>
            <w:r w:rsidRPr="00AB0F57">
              <w:rPr>
                <w:i/>
                <w:iCs/>
              </w:rPr>
              <w:t xml:space="preserve">Freedom of Information Act 1982 </w:t>
            </w:r>
            <w:r w:rsidRPr="00AB0F57">
              <w:t>(Cth)</w:t>
            </w:r>
          </w:p>
        </w:tc>
      </w:tr>
      <w:tr w:rsidR="00AD66B3" w:rsidRPr="0054222F" w14:paraId="3AE9B2C3"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4640B782" w14:textId="33C0EF91" w:rsidR="00AD66B3" w:rsidRPr="0054222F" w:rsidDel="00751A97" w:rsidRDefault="00AD66B3" w:rsidP="00724C4A">
            <w:pPr>
              <w:pStyle w:val="TableBody0"/>
              <w:spacing w:line="312" w:lineRule="auto"/>
            </w:pPr>
            <w:r w:rsidRPr="00AB0F57">
              <w:t>FWC</w:t>
            </w:r>
          </w:p>
        </w:tc>
        <w:tc>
          <w:tcPr>
            <w:tcW w:w="6095" w:type="dxa"/>
            <w:vAlign w:val="center"/>
          </w:tcPr>
          <w:p w14:paraId="3BCCCD38" w14:textId="0BB3517D" w:rsidR="00AD66B3" w:rsidRPr="0054222F" w:rsidDel="00751A97" w:rsidRDefault="00AD66B3" w:rsidP="00724C4A">
            <w:pPr>
              <w:pStyle w:val="TableBody0"/>
              <w:spacing w:line="312" w:lineRule="auto"/>
            </w:pPr>
            <w:r w:rsidRPr="00AB0F57">
              <w:t>Fair Work Commission</w:t>
            </w:r>
          </w:p>
        </w:tc>
      </w:tr>
      <w:tr w:rsidR="00AD66B3" w:rsidRPr="0054222F" w14:paraId="4BA1A40A"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01010B8F" w14:textId="7949EAA5" w:rsidR="00AD66B3" w:rsidRPr="0054222F" w:rsidDel="00751A97" w:rsidRDefault="00AD66B3" w:rsidP="00724C4A">
            <w:pPr>
              <w:pStyle w:val="TableBody0"/>
              <w:spacing w:line="312" w:lineRule="auto"/>
            </w:pPr>
            <w:r w:rsidRPr="00AB0F57">
              <w:rPr>
                <w:lang w:val="en-GB"/>
              </w:rPr>
              <w:t>G20</w:t>
            </w:r>
          </w:p>
        </w:tc>
        <w:tc>
          <w:tcPr>
            <w:tcW w:w="6095" w:type="dxa"/>
            <w:vAlign w:val="center"/>
          </w:tcPr>
          <w:p w14:paraId="2025224D" w14:textId="23BBABA9" w:rsidR="00AD66B3" w:rsidRPr="0054222F" w:rsidDel="00751A97" w:rsidRDefault="00AD66B3" w:rsidP="00724C4A">
            <w:pPr>
              <w:pStyle w:val="TableBody0"/>
              <w:spacing w:line="312" w:lineRule="auto"/>
            </w:pPr>
            <w:r w:rsidRPr="00AB0F57">
              <w:rPr>
                <w:lang w:val="en-GB"/>
              </w:rPr>
              <w:t>Group of Twenty</w:t>
            </w:r>
          </w:p>
        </w:tc>
      </w:tr>
      <w:tr w:rsidR="00AD66B3" w:rsidRPr="0054222F" w14:paraId="6B3E81CA"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0FBBB932" w14:textId="71B545A3" w:rsidR="00AD66B3" w:rsidRPr="0054222F" w:rsidDel="00751A97" w:rsidRDefault="00AD66B3" w:rsidP="00724C4A">
            <w:pPr>
              <w:pStyle w:val="TableBody0"/>
              <w:spacing w:line="312" w:lineRule="auto"/>
            </w:pPr>
            <w:r w:rsidRPr="00AB0F57">
              <w:t>GAP</w:t>
            </w:r>
          </w:p>
        </w:tc>
        <w:tc>
          <w:tcPr>
            <w:tcW w:w="6095" w:type="dxa"/>
            <w:vAlign w:val="center"/>
          </w:tcPr>
          <w:p w14:paraId="2FBC70C2" w14:textId="523D76D9" w:rsidR="00AD66B3" w:rsidRPr="0054222F" w:rsidDel="00751A97" w:rsidRDefault="00AD66B3" w:rsidP="00724C4A">
            <w:pPr>
              <w:pStyle w:val="TableBody0"/>
              <w:spacing w:line="312" w:lineRule="auto"/>
            </w:pPr>
            <w:r w:rsidRPr="00AB0F57">
              <w:t>Guidance and Appeals Panel</w:t>
            </w:r>
          </w:p>
        </w:tc>
      </w:tr>
      <w:tr w:rsidR="00AD66B3" w:rsidRPr="0054222F" w14:paraId="53C962EE"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6BC1A967" w14:textId="1B054DC2" w:rsidR="00AD66B3" w:rsidRPr="0054222F" w:rsidDel="00751A97" w:rsidRDefault="00AD66B3" w:rsidP="00724C4A">
            <w:pPr>
              <w:pStyle w:val="TableBody0"/>
              <w:spacing w:line="312" w:lineRule="auto"/>
            </w:pPr>
            <w:r w:rsidRPr="00AB0F57">
              <w:t>GST</w:t>
            </w:r>
          </w:p>
        </w:tc>
        <w:tc>
          <w:tcPr>
            <w:tcW w:w="6095" w:type="dxa"/>
            <w:vAlign w:val="center"/>
          </w:tcPr>
          <w:p w14:paraId="7F8CB359" w14:textId="3584C6AC" w:rsidR="00AD66B3" w:rsidRPr="0054222F" w:rsidDel="00751A97" w:rsidRDefault="00AD66B3" w:rsidP="00724C4A">
            <w:pPr>
              <w:pStyle w:val="TableBody0"/>
              <w:spacing w:line="312" w:lineRule="auto"/>
            </w:pPr>
            <w:r w:rsidRPr="00AB0F57">
              <w:t>goods and services tax</w:t>
            </w:r>
          </w:p>
        </w:tc>
      </w:tr>
      <w:tr w:rsidR="00AD66B3" w:rsidRPr="0054222F" w14:paraId="6B86A540"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29D70FEB" w14:textId="41C67AFE" w:rsidR="00AD66B3" w:rsidRPr="0054222F" w:rsidDel="00751A97" w:rsidRDefault="00AD66B3" w:rsidP="00724C4A">
            <w:pPr>
              <w:pStyle w:val="TableBody0"/>
              <w:spacing w:line="312" w:lineRule="auto"/>
            </w:pPr>
            <w:r w:rsidRPr="00AB0F57">
              <w:t>IAC</w:t>
            </w:r>
          </w:p>
        </w:tc>
        <w:tc>
          <w:tcPr>
            <w:tcW w:w="6095" w:type="dxa"/>
            <w:vAlign w:val="center"/>
          </w:tcPr>
          <w:p w14:paraId="3A8A6D0F" w14:textId="76693930" w:rsidR="00AD66B3" w:rsidRPr="0054222F" w:rsidDel="00751A97" w:rsidRDefault="00AD66B3" w:rsidP="00724C4A">
            <w:pPr>
              <w:pStyle w:val="TableBody0"/>
              <w:spacing w:line="312" w:lineRule="auto"/>
            </w:pPr>
            <w:r w:rsidRPr="00AB0F57">
              <w:t>Independent Advisory Council</w:t>
            </w:r>
          </w:p>
        </w:tc>
      </w:tr>
      <w:tr w:rsidR="00AD66B3" w:rsidRPr="0054222F" w14:paraId="16C7E1CB"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583803C3" w14:textId="3DC3DB40" w:rsidR="00AD66B3" w:rsidRPr="0054222F" w:rsidDel="00751A97" w:rsidRDefault="00AD66B3" w:rsidP="00724C4A">
            <w:pPr>
              <w:pStyle w:val="TableBody0"/>
              <w:spacing w:line="312" w:lineRule="auto"/>
            </w:pPr>
            <w:r w:rsidRPr="00AB0F57">
              <w:t>IPAA</w:t>
            </w:r>
          </w:p>
        </w:tc>
        <w:tc>
          <w:tcPr>
            <w:tcW w:w="6095" w:type="dxa"/>
            <w:vAlign w:val="center"/>
          </w:tcPr>
          <w:p w14:paraId="77F540E7" w14:textId="1DBF06FC" w:rsidR="00AD66B3" w:rsidRPr="0054222F" w:rsidDel="00751A97" w:rsidRDefault="00AD66B3" w:rsidP="00724C4A">
            <w:pPr>
              <w:pStyle w:val="TableBody0"/>
              <w:spacing w:line="312" w:lineRule="auto"/>
            </w:pPr>
            <w:r w:rsidRPr="00AB0F57">
              <w:t>Institute of Public Administration Australia</w:t>
            </w:r>
          </w:p>
        </w:tc>
      </w:tr>
      <w:tr w:rsidR="00AD66B3" w:rsidRPr="0054222F" w14:paraId="6F282A1E" w14:textId="77777777" w:rsidTr="00F24205">
        <w:trPr>
          <w:cnfStyle w:val="000000100000" w:firstRow="0" w:lastRow="0" w:firstColumn="0" w:lastColumn="0" w:oddVBand="0" w:evenVBand="0" w:oddHBand="1" w:evenHBand="0" w:firstRowFirstColumn="0" w:firstRowLastColumn="0" w:lastRowFirstColumn="0" w:lastRowLastColumn="0"/>
          <w:cantSplit/>
        </w:trPr>
        <w:tc>
          <w:tcPr>
            <w:tcW w:w="2972" w:type="dxa"/>
          </w:tcPr>
          <w:p w14:paraId="16C52425" w14:textId="447BB821" w:rsidR="00AD66B3" w:rsidRPr="0054222F" w:rsidDel="00751A97" w:rsidRDefault="00AD66B3" w:rsidP="00724C4A">
            <w:pPr>
              <w:pStyle w:val="TableBody0"/>
              <w:spacing w:line="312" w:lineRule="auto"/>
            </w:pPr>
            <w:r w:rsidRPr="00AB0F57">
              <w:t>JSC</w:t>
            </w:r>
          </w:p>
        </w:tc>
        <w:tc>
          <w:tcPr>
            <w:tcW w:w="6095" w:type="dxa"/>
            <w:vAlign w:val="center"/>
          </w:tcPr>
          <w:p w14:paraId="24085817" w14:textId="5953A7DF" w:rsidR="00AD66B3" w:rsidRPr="0054222F" w:rsidDel="00751A97" w:rsidRDefault="00AD66B3" w:rsidP="00724C4A">
            <w:pPr>
              <w:pStyle w:val="TableBody0"/>
              <w:spacing w:line="312" w:lineRule="auto"/>
            </w:pPr>
            <w:r w:rsidRPr="00AB0F57">
              <w:t>Joint Standing Committee on the National Disability Insurance Scheme</w:t>
            </w:r>
          </w:p>
        </w:tc>
      </w:tr>
      <w:tr w:rsidR="00AD66B3" w:rsidRPr="0054222F" w14:paraId="6D8FE625"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08BC59D5" w14:textId="795C06B3" w:rsidR="00AD66B3" w:rsidRPr="0054222F" w:rsidDel="00751A97" w:rsidRDefault="00AD66B3" w:rsidP="00724C4A">
            <w:pPr>
              <w:pStyle w:val="TableBody0"/>
              <w:spacing w:line="312" w:lineRule="auto"/>
            </w:pPr>
            <w:r w:rsidRPr="00AB0F57">
              <w:rPr>
                <w:rFonts w:eastAsia="Arial"/>
                <w:color w:val="000000"/>
                <w:lang w:eastAsia="en-AU"/>
              </w:rPr>
              <w:t>LGBTIQA+</w:t>
            </w:r>
          </w:p>
        </w:tc>
        <w:tc>
          <w:tcPr>
            <w:tcW w:w="6095" w:type="dxa"/>
            <w:vAlign w:val="center"/>
          </w:tcPr>
          <w:p w14:paraId="3CCF08C3" w14:textId="5A7A086C" w:rsidR="00AD66B3" w:rsidRPr="0054222F" w:rsidDel="00751A97" w:rsidRDefault="00AD66B3" w:rsidP="00724C4A">
            <w:pPr>
              <w:pStyle w:val="TableBody0"/>
              <w:spacing w:line="312" w:lineRule="auto"/>
            </w:pPr>
            <w:r w:rsidRPr="00AB0F57">
              <w:rPr>
                <w:rFonts w:eastAsia="Arial"/>
                <w:color w:val="000000"/>
                <w:lang w:eastAsia="en-AU"/>
              </w:rPr>
              <w:t>Lesbian, gay, bisexual, transgender, intersex, queer, and asexual</w:t>
            </w:r>
          </w:p>
        </w:tc>
      </w:tr>
      <w:tr w:rsidR="00AD66B3" w:rsidRPr="0054222F" w14:paraId="1A8F33BA"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33913971" w14:textId="16A1F9C5" w:rsidR="00AD66B3" w:rsidRPr="0054222F" w:rsidDel="00751A97" w:rsidRDefault="00AD66B3" w:rsidP="00724C4A">
            <w:pPr>
              <w:pStyle w:val="TableBody0"/>
              <w:spacing w:line="312" w:lineRule="auto"/>
            </w:pPr>
            <w:r w:rsidRPr="00AB0F57">
              <w:rPr>
                <w:rFonts w:eastAsia="Arial"/>
                <w:color w:val="000000"/>
                <w:lang w:eastAsia="en-AU"/>
              </w:rPr>
              <w:t>MBE</w:t>
            </w:r>
          </w:p>
        </w:tc>
        <w:tc>
          <w:tcPr>
            <w:tcW w:w="6095" w:type="dxa"/>
            <w:vAlign w:val="center"/>
          </w:tcPr>
          <w:p w14:paraId="655575A5" w14:textId="5EF7A892" w:rsidR="00AD66B3" w:rsidRPr="0054222F" w:rsidDel="00751A97" w:rsidRDefault="00AD66B3" w:rsidP="00724C4A">
            <w:pPr>
              <w:pStyle w:val="TableBody0"/>
              <w:spacing w:line="312" w:lineRule="auto"/>
            </w:pPr>
            <w:r w:rsidRPr="00AB0F57">
              <w:rPr>
                <w:rFonts w:eastAsia="Arial"/>
                <w:color w:val="000000"/>
                <w:lang w:eastAsia="en-AU"/>
              </w:rPr>
              <w:t>Member of the Order of the British Empire</w:t>
            </w:r>
          </w:p>
        </w:tc>
      </w:tr>
      <w:tr w:rsidR="00AD66B3" w:rsidRPr="0054222F" w14:paraId="3F717AE5"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762A4740" w14:textId="5E0AD71B" w:rsidR="00AD66B3" w:rsidRPr="0054222F" w:rsidDel="00751A97" w:rsidRDefault="00AD66B3" w:rsidP="00724C4A">
            <w:pPr>
              <w:pStyle w:val="TableBody0"/>
              <w:spacing w:line="312" w:lineRule="auto"/>
            </w:pPr>
            <w:r w:rsidRPr="00AB0F57">
              <w:rPr>
                <w:rFonts w:eastAsia="Arial"/>
                <w:color w:val="000000"/>
                <w:lang w:eastAsia="ja-JP"/>
              </w:rPr>
              <w:t>MP</w:t>
            </w:r>
          </w:p>
        </w:tc>
        <w:tc>
          <w:tcPr>
            <w:tcW w:w="6095" w:type="dxa"/>
            <w:vAlign w:val="center"/>
          </w:tcPr>
          <w:p w14:paraId="4EFC4860" w14:textId="60EB207E" w:rsidR="00AD66B3" w:rsidRPr="0054222F" w:rsidDel="00751A97" w:rsidRDefault="00AD66B3" w:rsidP="00724C4A">
            <w:pPr>
              <w:pStyle w:val="TableBody0"/>
              <w:spacing w:line="312" w:lineRule="auto"/>
            </w:pPr>
            <w:r w:rsidRPr="00AB0F57">
              <w:rPr>
                <w:rFonts w:eastAsia="Arial"/>
                <w:color w:val="000000"/>
                <w:lang w:eastAsia="ja-JP"/>
              </w:rPr>
              <w:t>Member of Parliament</w:t>
            </w:r>
          </w:p>
        </w:tc>
      </w:tr>
      <w:tr w:rsidR="00AD66B3" w:rsidRPr="0054222F" w14:paraId="6F325C9E"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1124E745" w14:textId="374A5B04" w:rsidR="00AD66B3" w:rsidRPr="0054222F" w:rsidDel="00751A97" w:rsidRDefault="00AD66B3" w:rsidP="00724C4A">
            <w:pPr>
              <w:pStyle w:val="TableBody0"/>
              <w:spacing w:line="312" w:lineRule="auto"/>
            </w:pPr>
            <w:r w:rsidRPr="00AB0F57">
              <w:rPr>
                <w:rFonts w:eastAsia="Arial"/>
                <w:color w:val="000000"/>
                <w:lang w:eastAsia="ja-JP"/>
              </w:rPr>
              <w:t>MPC</w:t>
            </w:r>
          </w:p>
        </w:tc>
        <w:tc>
          <w:tcPr>
            <w:tcW w:w="6095" w:type="dxa"/>
            <w:vAlign w:val="center"/>
          </w:tcPr>
          <w:p w14:paraId="4FC90E31" w14:textId="3A9268BE" w:rsidR="00AD66B3" w:rsidRPr="0054222F" w:rsidDel="00751A97" w:rsidRDefault="00AD66B3" w:rsidP="00724C4A">
            <w:pPr>
              <w:pStyle w:val="TableBody0"/>
              <w:spacing w:line="312" w:lineRule="auto"/>
            </w:pPr>
            <w:r w:rsidRPr="00AB0F57">
              <w:rPr>
                <w:rFonts w:eastAsia="Arial"/>
                <w:color w:val="000000"/>
                <w:lang w:eastAsia="ja-JP"/>
              </w:rPr>
              <w:t>Merit Protection Commissioner</w:t>
            </w:r>
          </w:p>
        </w:tc>
      </w:tr>
      <w:tr w:rsidR="00AD66B3" w:rsidRPr="0054222F" w14:paraId="35B4EFEF"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21CA3A65" w14:textId="1DC91505" w:rsidR="00AD66B3" w:rsidRPr="0054222F" w:rsidDel="00751A97" w:rsidRDefault="00AD66B3" w:rsidP="00724C4A">
            <w:pPr>
              <w:pStyle w:val="TableBody0"/>
              <w:spacing w:line="312" w:lineRule="auto"/>
            </w:pPr>
            <w:r w:rsidRPr="00AB0F57">
              <w:t>n/a</w:t>
            </w:r>
          </w:p>
        </w:tc>
        <w:tc>
          <w:tcPr>
            <w:tcW w:w="6095" w:type="dxa"/>
            <w:vAlign w:val="center"/>
          </w:tcPr>
          <w:p w14:paraId="662F0A8F" w14:textId="46382C0B" w:rsidR="00AD66B3" w:rsidRPr="0054222F" w:rsidDel="00751A97" w:rsidRDefault="00AD66B3" w:rsidP="00724C4A">
            <w:pPr>
              <w:pStyle w:val="TableBody0"/>
              <w:spacing w:line="312" w:lineRule="auto"/>
            </w:pPr>
            <w:r w:rsidRPr="00AB0F57">
              <w:t>not applicable</w:t>
            </w:r>
          </w:p>
        </w:tc>
      </w:tr>
      <w:tr w:rsidR="00AD66B3" w:rsidRPr="0054222F" w14:paraId="41DC9562" w14:textId="77777777" w:rsidTr="00F24205">
        <w:trPr>
          <w:cnfStyle w:val="000000100000" w:firstRow="0" w:lastRow="0" w:firstColumn="0" w:lastColumn="0" w:oddVBand="0" w:evenVBand="0" w:oddHBand="1" w:evenHBand="0" w:firstRowFirstColumn="0" w:firstRowLastColumn="0" w:lastRowFirstColumn="0" w:lastRowLastColumn="0"/>
          <w:cantSplit/>
        </w:trPr>
        <w:tc>
          <w:tcPr>
            <w:tcW w:w="2972" w:type="dxa"/>
          </w:tcPr>
          <w:p w14:paraId="714B4D3F" w14:textId="73FE89EB" w:rsidR="00AD66B3" w:rsidRPr="0054222F" w:rsidDel="00751A97" w:rsidRDefault="00AD66B3" w:rsidP="00724C4A">
            <w:pPr>
              <w:pStyle w:val="TableBody0"/>
              <w:spacing w:line="312" w:lineRule="auto"/>
            </w:pPr>
            <w:r w:rsidRPr="00AB0F57">
              <w:t>NACCHO</w:t>
            </w:r>
          </w:p>
        </w:tc>
        <w:tc>
          <w:tcPr>
            <w:tcW w:w="6095" w:type="dxa"/>
            <w:vAlign w:val="center"/>
          </w:tcPr>
          <w:p w14:paraId="70DF4EBD" w14:textId="06FDFA1B" w:rsidR="00AD66B3" w:rsidRPr="0054222F" w:rsidDel="00751A97" w:rsidRDefault="00AD66B3" w:rsidP="00724C4A">
            <w:pPr>
              <w:pStyle w:val="TableBody0"/>
              <w:spacing w:line="312" w:lineRule="auto"/>
            </w:pPr>
            <w:r w:rsidRPr="00AB0F57">
              <w:t>National Aboriginal Community Controlled Health Organisation</w:t>
            </w:r>
          </w:p>
        </w:tc>
      </w:tr>
      <w:tr w:rsidR="00AD66B3" w:rsidRPr="0054222F" w14:paraId="44A1794C"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22552517" w14:textId="5870897E" w:rsidR="00AD66B3" w:rsidRPr="0054222F" w:rsidDel="00751A97" w:rsidRDefault="00AD66B3" w:rsidP="00724C4A">
            <w:pPr>
              <w:pStyle w:val="TableBody0"/>
              <w:spacing w:line="312" w:lineRule="auto"/>
            </w:pPr>
            <w:r w:rsidRPr="00AB0F57">
              <w:t>NDIA</w:t>
            </w:r>
          </w:p>
        </w:tc>
        <w:tc>
          <w:tcPr>
            <w:tcW w:w="6095" w:type="dxa"/>
            <w:vAlign w:val="center"/>
          </w:tcPr>
          <w:p w14:paraId="377CAA63" w14:textId="70577CA3" w:rsidR="00AD66B3" w:rsidRPr="0054222F" w:rsidDel="00751A97" w:rsidRDefault="00AD66B3" w:rsidP="00724C4A">
            <w:pPr>
              <w:pStyle w:val="TableBody0"/>
              <w:spacing w:line="312" w:lineRule="auto"/>
            </w:pPr>
            <w:r w:rsidRPr="00AB0F57">
              <w:t>National Disability Insurance Agency</w:t>
            </w:r>
          </w:p>
        </w:tc>
      </w:tr>
      <w:tr w:rsidR="00AD66B3" w:rsidRPr="0054222F" w14:paraId="69D11386"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0CD6B8E8" w14:textId="67557F8F" w:rsidR="00AD66B3" w:rsidRPr="0054222F" w:rsidDel="00751A97" w:rsidRDefault="00AD66B3" w:rsidP="00724C4A">
            <w:pPr>
              <w:pStyle w:val="TableBody0"/>
              <w:spacing w:line="312" w:lineRule="auto"/>
            </w:pPr>
            <w:r w:rsidRPr="00AB0F57">
              <w:t>NDIS</w:t>
            </w:r>
          </w:p>
        </w:tc>
        <w:tc>
          <w:tcPr>
            <w:tcW w:w="6095" w:type="dxa"/>
            <w:vAlign w:val="center"/>
          </w:tcPr>
          <w:p w14:paraId="248051DB" w14:textId="560B8503" w:rsidR="00AD66B3" w:rsidRPr="0054222F" w:rsidDel="00751A97" w:rsidRDefault="00AD66B3" w:rsidP="00724C4A">
            <w:pPr>
              <w:pStyle w:val="TableBody0"/>
              <w:spacing w:line="312" w:lineRule="auto"/>
            </w:pPr>
            <w:r w:rsidRPr="00AB0F57">
              <w:t>National Disability Insurance Scheme</w:t>
            </w:r>
          </w:p>
        </w:tc>
      </w:tr>
      <w:tr w:rsidR="00AD66B3" w:rsidRPr="0054222F" w14:paraId="7B3A5662"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50040869" w14:textId="12FAABCB" w:rsidR="00AD66B3" w:rsidRPr="0054222F" w:rsidDel="00751A97" w:rsidRDefault="00AD66B3" w:rsidP="00724C4A">
            <w:pPr>
              <w:pStyle w:val="TableBody0"/>
              <w:spacing w:line="312" w:lineRule="auto"/>
            </w:pPr>
            <w:r w:rsidRPr="00AB0F57">
              <w:t>NDIS Act</w:t>
            </w:r>
          </w:p>
        </w:tc>
        <w:tc>
          <w:tcPr>
            <w:tcW w:w="6095" w:type="dxa"/>
            <w:vAlign w:val="center"/>
          </w:tcPr>
          <w:p w14:paraId="45C39510" w14:textId="359D4D35" w:rsidR="00AD66B3" w:rsidRPr="0054222F" w:rsidDel="00751A97" w:rsidRDefault="00AD66B3" w:rsidP="00724C4A">
            <w:pPr>
              <w:pStyle w:val="TableBody0"/>
              <w:spacing w:line="312" w:lineRule="auto"/>
            </w:pPr>
            <w:r w:rsidRPr="00AB0F57">
              <w:rPr>
                <w:i/>
                <w:iCs/>
              </w:rPr>
              <w:t>National Disability Insurance Scheme Act 2013</w:t>
            </w:r>
            <w:r w:rsidRPr="00AB0F57">
              <w:t xml:space="preserve"> (Cth)</w:t>
            </w:r>
          </w:p>
        </w:tc>
      </w:tr>
      <w:tr w:rsidR="00AD66B3" w:rsidRPr="0054222F" w14:paraId="2E7695A2"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13A48AF5" w14:textId="6EA7C883" w:rsidR="00AD66B3" w:rsidRPr="0054222F" w:rsidDel="00751A97" w:rsidRDefault="00AD66B3" w:rsidP="00724C4A">
            <w:pPr>
              <w:pStyle w:val="TableBody0"/>
              <w:spacing w:line="312" w:lineRule="auto"/>
            </w:pPr>
            <w:r w:rsidRPr="00AB0F57">
              <w:t>NDIS Commission</w:t>
            </w:r>
          </w:p>
        </w:tc>
        <w:tc>
          <w:tcPr>
            <w:tcW w:w="6095" w:type="dxa"/>
            <w:vAlign w:val="center"/>
          </w:tcPr>
          <w:p w14:paraId="2A739061" w14:textId="35C436C3" w:rsidR="00AD66B3" w:rsidRPr="0054222F" w:rsidDel="00751A97" w:rsidRDefault="00AD66B3" w:rsidP="00724C4A">
            <w:pPr>
              <w:pStyle w:val="TableBody0"/>
              <w:spacing w:line="312" w:lineRule="auto"/>
            </w:pPr>
            <w:r w:rsidRPr="00AB0F57">
              <w:t>NDIS Quality and Safeguards Commission</w:t>
            </w:r>
          </w:p>
        </w:tc>
      </w:tr>
      <w:tr w:rsidR="00AD66B3" w:rsidRPr="0054222F" w14:paraId="335DB871"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73BB3B4D" w14:textId="4375A357" w:rsidR="00AD66B3" w:rsidRPr="0054222F" w:rsidDel="00751A97" w:rsidRDefault="00AD66B3" w:rsidP="00724C4A">
            <w:pPr>
              <w:pStyle w:val="TableBody0"/>
              <w:spacing w:line="312" w:lineRule="auto"/>
            </w:pPr>
            <w:r w:rsidRPr="00AB0F57">
              <w:rPr>
                <w:rFonts w:eastAsia="Arial"/>
                <w:color w:val="000000"/>
                <w:lang w:eastAsia="en-AU"/>
              </w:rPr>
              <w:t>NSW</w:t>
            </w:r>
          </w:p>
        </w:tc>
        <w:tc>
          <w:tcPr>
            <w:tcW w:w="6095" w:type="dxa"/>
            <w:vAlign w:val="center"/>
          </w:tcPr>
          <w:p w14:paraId="70DEEE02" w14:textId="13082BE8" w:rsidR="00AD66B3" w:rsidRPr="0054222F" w:rsidDel="00751A97" w:rsidRDefault="00AD66B3" w:rsidP="00724C4A">
            <w:pPr>
              <w:pStyle w:val="TableBody0"/>
              <w:spacing w:line="312" w:lineRule="auto"/>
            </w:pPr>
            <w:r w:rsidRPr="00AB0F57">
              <w:rPr>
                <w:rFonts w:eastAsia="Arial"/>
                <w:color w:val="000000"/>
                <w:lang w:eastAsia="en-AU"/>
              </w:rPr>
              <w:t>New South Wales</w:t>
            </w:r>
          </w:p>
        </w:tc>
      </w:tr>
      <w:tr w:rsidR="00AD66B3" w:rsidRPr="0054222F" w14:paraId="20C873CF"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0A0087C1" w14:textId="3B891AF4" w:rsidR="00AD66B3" w:rsidRPr="0054222F" w:rsidDel="00751A97" w:rsidRDefault="00AD66B3" w:rsidP="00724C4A">
            <w:pPr>
              <w:pStyle w:val="TableBody0"/>
              <w:spacing w:line="312" w:lineRule="auto"/>
            </w:pPr>
            <w:r w:rsidRPr="00AB0F57">
              <w:rPr>
                <w:rFonts w:eastAsia="Arial"/>
                <w:color w:val="000000"/>
                <w:lang w:eastAsia="en-AU"/>
              </w:rPr>
              <w:t>NT</w:t>
            </w:r>
          </w:p>
        </w:tc>
        <w:tc>
          <w:tcPr>
            <w:tcW w:w="6095" w:type="dxa"/>
            <w:vAlign w:val="center"/>
          </w:tcPr>
          <w:p w14:paraId="5164BD8C" w14:textId="15DBDAE9" w:rsidR="00AD66B3" w:rsidRPr="0054222F" w:rsidDel="00751A97" w:rsidRDefault="00AD66B3" w:rsidP="00724C4A">
            <w:pPr>
              <w:pStyle w:val="TableBody0"/>
              <w:spacing w:line="312" w:lineRule="auto"/>
            </w:pPr>
            <w:r w:rsidRPr="00AB0F57">
              <w:rPr>
                <w:rFonts w:eastAsia="Arial"/>
                <w:color w:val="000000"/>
                <w:lang w:eastAsia="en-AU"/>
              </w:rPr>
              <w:t>Northern Territory</w:t>
            </w:r>
          </w:p>
        </w:tc>
      </w:tr>
      <w:tr w:rsidR="00AD66B3" w:rsidRPr="0054222F" w14:paraId="01375F14"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677B2D54" w14:textId="2E69CF13" w:rsidR="00AD66B3" w:rsidRPr="0054222F" w:rsidDel="00751A97" w:rsidRDefault="00AD66B3" w:rsidP="00724C4A">
            <w:pPr>
              <w:pStyle w:val="TableBody0"/>
              <w:spacing w:line="312" w:lineRule="auto"/>
            </w:pPr>
            <w:r w:rsidRPr="00AB0F57">
              <w:rPr>
                <w:rFonts w:eastAsia="Arial"/>
                <w:color w:val="000000"/>
                <w:lang w:eastAsia="en-AU"/>
              </w:rPr>
              <w:t>OAM</w:t>
            </w:r>
          </w:p>
        </w:tc>
        <w:tc>
          <w:tcPr>
            <w:tcW w:w="6095" w:type="dxa"/>
            <w:vAlign w:val="center"/>
          </w:tcPr>
          <w:p w14:paraId="7B86E620" w14:textId="2C39C8BF" w:rsidR="00AD66B3" w:rsidRPr="0054222F" w:rsidDel="00751A97" w:rsidRDefault="00AD66B3" w:rsidP="00724C4A">
            <w:pPr>
              <w:pStyle w:val="TableBody0"/>
              <w:spacing w:line="312" w:lineRule="auto"/>
            </w:pPr>
            <w:r w:rsidRPr="00AB0F57">
              <w:rPr>
                <w:rFonts w:eastAsia="Arial"/>
                <w:color w:val="000000"/>
                <w:lang w:eastAsia="en-AU"/>
              </w:rPr>
              <w:t>Medal of the Order of Australia</w:t>
            </w:r>
          </w:p>
        </w:tc>
      </w:tr>
      <w:tr w:rsidR="00AD66B3" w:rsidRPr="0054222F" w14:paraId="40563A5D" w14:textId="77777777" w:rsidTr="00F24205">
        <w:trPr>
          <w:cnfStyle w:val="000000100000" w:firstRow="0" w:lastRow="0" w:firstColumn="0" w:lastColumn="0" w:oddVBand="0" w:evenVBand="0" w:oddHBand="1" w:evenHBand="0" w:firstRowFirstColumn="0" w:firstRowLastColumn="0" w:lastRowFirstColumn="0" w:lastRowLastColumn="0"/>
          <w:cantSplit/>
        </w:trPr>
        <w:tc>
          <w:tcPr>
            <w:tcW w:w="2972" w:type="dxa"/>
          </w:tcPr>
          <w:p w14:paraId="69500049" w14:textId="3FD70DBF" w:rsidR="00AD66B3" w:rsidRPr="0054222F" w:rsidDel="00751A97" w:rsidRDefault="00AD66B3" w:rsidP="00724C4A">
            <w:pPr>
              <w:pStyle w:val="TableBody0"/>
              <w:spacing w:line="312" w:lineRule="auto"/>
            </w:pPr>
            <w:r w:rsidRPr="00AB0F57">
              <w:t>PGPA Act</w:t>
            </w:r>
          </w:p>
        </w:tc>
        <w:tc>
          <w:tcPr>
            <w:tcW w:w="6095" w:type="dxa"/>
            <w:vAlign w:val="center"/>
          </w:tcPr>
          <w:p w14:paraId="3D27F106" w14:textId="3837215E" w:rsidR="00AD66B3" w:rsidRPr="0054222F" w:rsidDel="00751A97" w:rsidRDefault="00AD66B3" w:rsidP="00724C4A">
            <w:pPr>
              <w:pStyle w:val="TableBody0"/>
              <w:spacing w:line="312" w:lineRule="auto"/>
            </w:pPr>
            <w:r w:rsidRPr="00AB0F57">
              <w:rPr>
                <w:i/>
                <w:iCs/>
              </w:rPr>
              <w:t>Public Governance, Performance and Accountability Act 2013</w:t>
            </w:r>
            <w:r w:rsidRPr="00AB0F57">
              <w:t xml:space="preserve"> (Cth)</w:t>
            </w:r>
          </w:p>
        </w:tc>
      </w:tr>
      <w:tr w:rsidR="00AD66B3" w:rsidRPr="0054222F" w14:paraId="00BFDAEF" w14:textId="77777777" w:rsidTr="00F24205">
        <w:trPr>
          <w:cnfStyle w:val="000000010000" w:firstRow="0" w:lastRow="0" w:firstColumn="0" w:lastColumn="0" w:oddVBand="0" w:evenVBand="0" w:oddHBand="0" w:evenHBand="1" w:firstRowFirstColumn="0" w:firstRowLastColumn="0" w:lastRowFirstColumn="0" w:lastRowLastColumn="0"/>
          <w:cantSplit/>
        </w:trPr>
        <w:tc>
          <w:tcPr>
            <w:tcW w:w="2972" w:type="dxa"/>
          </w:tcPr>
          <w:p w14:paraId="05EDA236" w14:textId="3607E9D7" w:rsidR="00AD66B3" w:rsidRPr="0054222F" w:rsidDel="00751A97" w:rsidRDefault="00AD66B3" w:rsidP="00724C4A">
            <w:pPr>
              <w:pStyle w:val="TableBody0"/>
              <w:spacing w:line="312" w:lineRule="auto"/>
            </w:pPr>
            <w:r w:rsidRPr="00AB0F57">
              <w:t>PGPA Rule</w:t>
            </w:r>
          </w:p>
        </w:tc>
        <w:tc>
          <w:tcPr>
            <w:tcW w:w="6095" w:type="dxa"/>
            <w:vAlign w:val="center"/>
          </w:tcPr>
          <w:p w14:paraId="0874B7E7" w14:textId="68A2BD03" w:rsidR="00AD66B3" w:rsidRPr="0054222F" w:rsidDel="00751A97" w:rsidRDefault="00AD66B3" w:rsidP="00724C4A">
            <w:pPr>
              <w:pStyle w:val="TableBody0"/>
              <w:spacing w:line="312" w:lineRule="auto"/>
            </w:pPr>
            <w:r w:rsidRPr="00AB0F57">
              <w:t>Public Governance, Performance and Accountability Rule 2014 (Cth)</w:t>
            </w:r>
          </w:p>
        </w:tc>
      </w:tr>
      <w:tr w:rsidR="00AD66B3" w:rsidRPr="0054222F" w14:paraId="404057A1"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64AEF45F" w14:textId="463A091C" w:rsidR="00AD66B3" w:rsidRPr="0054222F" w:rsidDel="00751A97" w:rsidRDefault="00AD66B3" w:rsidP="00724C4A">
            <w:pPr>
              <w:pStyle w:val="TableBody0"/>
              <w:spacing w:line="312" w:lineRule="auto"/>
            </w:pPr>
            <w:r w:rsidRPr="00AB0F57">
              <w:t>PIA Scheme</w:t>
            </w:r>
          </w:p>
        </w:tc>
        <w:tc>
          <w:tcPr>
            <w:tcW w:w="6095" w:type="dxa"/>
            <w:vAlign w:val="center"/>
          </w:tcPr>
          <w:p w14:paraId="26E1D1F4" w14:textId="3B7C5C07" w:rsidR="00AD66B3" w:rsidRPr="0054222F" w:rsidDel="00751A97" w:rsidRDefault="00AD66B3" w:rsidP="00724C4A">
            <w:pPr>
              <w:pStyle w:val="TableBody0"/>
              <w:spacing w:line="312" w:lineRule="auto"/>
            </w:pPr>
            <w:r w:rsidRPr="00AB0F57">
              <w:t>Participant Information Access Scheme</w:t>
            </w:r>
          </w:p>
        </w:tc>
      </w:tr>
      <w:tr w:rsidR="00AD66B3" w:rsidRPr="0054222F" w14:paraId="48D83594"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40C0A97C" w14:textId="2CE33EC1" w:rsidR="00AD66B3" w:rsidRPr="0054222F" w:rsidDel="00751A97" w:rsidRDefault="00AD66B3" w:rsidP="00724C4A">
            <w:pPr>
              <w:pStyle w:val="TableBody0"/>
              <w:spacing w:line="312" w:lineRule="auto"/>
            </w:pPr>
            <w:r w:rsidRPr="00AB0F57">
              <w:t>PSG</w:t>
            </w:r>
          </w:p>
        </w:tc>
        <w:tc>
          <w:tcPr>
            <w:tcW w:w="6095" w:type="dxa"/>
            <w:vAlign w:val="center"/>
          </w:tcPr>
          <w:p w14:paraId="3A32C5BA" w14:textId="24EB2D29" w:rsidR="00AD66B3" w:rsidRPr="0054222F" w:rsidDel="00751A97" w:rsidRDefault="00AD66B3" w:rsidP="00724C4A">
            <w:pPr>
              <w:pStyle w:val="TableBody0"/>
              <w:spacing w:line="312" w:lineRule="auto"/>
            </w:pPr>
            <w:r w:rsidRPr="00AB0F57">
              <w:t>Participant Service Guarantee</w:t>
            </w:r>
          </w:p>
        </w:tc>
      </w:tr>
      <w:tr w:rsidR="00AD66B3" w:rsidRPr="0054222F" w14:paraId="418F4C39"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68349F48" w14:textId="6D303677" w:rsidR="00AD66B3" w:rsidRPr="0054222F" w:rsidDel="00751A97" w:rsidRDefault="00AD66B3" w:rsidP="00724C4A">
            <w:pPr>
              <w:pStyle w:val="TableBody0"/>
              <w:spacing w:line="312" w:lineRule="auto"/>
            </w:pPr>
            <w:r w:rsidRPr="00AB0F57">
              <w:t>PSM</w:t>
            </w:r>
          </w:p>
        </w:tc>
        <w:tc>
          <w:tcPr>
            <w:tcW w:w="6095" w:type="dxa"/>
            <w:vAlign w:val="center"/>
          </w:tcPr>
          <w:p w14:paraId="45CF6CD7" w14:textId="6DA65263" w:rsidR="00AD66B3" w:rsidRPr="0054222F" w:rsidDel="00751A97" w:rsidRDefault="00AD66B3" w:rsidP="00724C4A">
            <w:pPr>
              <w:pStyle w:val="TableBody0"/>
              <w:spacing w:line="312" w:lineRule="auto"/>
            </w:pPr>
            <w:r w:rsidRPr="00AB0F57">
              <w:t>Public Service Medal</w:t>
            </w:r>
          </w:p>
        </w:tc>
      </w:tr>
      <w:tr w:rsidR="00AD66B3" w:rsidRPr="0054222F" w14:paraId="3790D332"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5D799CA9" w14:textId="20B3942E" w:rsidR="00AD66B3" w:rsidRPr="0054222F" w:rsidDel="00751A97" w:rsidRDefault="00AD66B3" w:rsidP="00724C4A">
            <w:pPr>
              <w:pStyle w:val="TableBody0"/>
              <w:spacing w:line="312" w:lineRule="auto"/>
            </w:pPr>
            <w:r w:rsidRPr="00AB0F57">
              <w:t>Qld</w:t>
            </w:r>
          </w:p>
        </w:tc>
        <w:tc>
          <w:tcPr>
            <w:tcW w:w="6095" w:type="dxa"/>
            <w:vAlign w:val="center"/>
          </w:tcPr>
          <w:p w14:paraId="1D7BF5C9" w14:textId="24487810" w:rsidR="00AD66B3" w:rsidRPr="0054222F" w:rsidDel="00751A97" w:rsidRDefault="00AD66B3" w:rsidP="00724C4A">
            <w:pPr>
              <w:pStyle w:val="TableBody0"/>
              <w:spacing w:line="312" w:lineRule="auto"/>
            </w:pPr>
            <w:r w:rsidRPr="00AB0F57">
              <w:t>Queensland</w:t>
            </w:r>
          </w:p>
        </w:tc>
      </w:tr>
      <w:tr w:rsidR="00AD66B3" w:rsidRPr="0054222F" w14:paraId="0779F9F5"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49B85445" w14:textId="0B32BF01" w:rsidR="00AD66B3" w:rsidRPr="0054222F" w:rsidDel="00751A97" w:rsidRDefault="00AD66B3" w:rsidP="00724C4A">
            <w:pPr>
              <w:pStyle w:val="TableBody0"/>
              <w:spacing w:line="312" w:lineRule="auto"/>
            </w:pPr>
            <w:r w:rsidRPr="00AB0F57">
              <w:t>SA</w:t>
            </w:r>
          </w:p>
        </w:tc>
        <w:tc>
          <w:tcPr>
            <w:tcW w:w="6095" w:type="dxa"/>
            <w:vAlign w:val="center"/>
          </w:tcPr>
          <w:p w14:paraId="3F85B4E8" w14:textId="34D63DE4" w:rsidR="00AD66B3" w:rsidRPr="0054222F" w:rsidDel="00751A97" w:rsidRDefault="00AD66B3" w:rsidP="00724C4A">
            <w:pPr>
              <w:pStyle w:val="TableBody0"/>
              <w:spacing w:line="312" w:lineRule="auto"/>
            </w:pPr>
            <w:r w:rsidRPr="00AB0F57">
              <w:t>South Australia</w:t>
            </w:r>
          </w:p>
        </w:tc>
      </w:tr>
      <w:tr w:rsidR="00AD66B3" w:rsidRPr="0054222F" w14:paraId="5F6632E6"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1946581B" w14:textId="1A1113F8" w:rsidR="00AD66B3" w:rsidRPr="0054222F" w:rsidDel="00751A97" w:rsidRDefault="00AD66B3" w:rsidP="00724C4A">
            <w:pPr>
              <w:pStyle w:val="TableBody0"/>
              <w:spacing w:line="312" w:lineRule="auto"/>
            </w:pPr>
            <w:r w:rsidRPr="00AB0F57">
              <w:t>Scheme</w:t>
            </w:r>
          </w:p>
        </w:tc>
        <w:tc>
          <w:tcPr>
            <w:tcW w:w="6095" w:type="dxa"/>
            <w:vAlign w:val="center"/>
          </w:tcPr>
          <w:p w14:paraId="3AAECFC9" w14:textId="1C37D727" w:rsidR="00AD66B3" w:rsidRPr="0054222F" w:rsidDel="00751A97" w:rsidRDefault="00AD66B3" w:rsidP="00724C4A">
            <w:pPr>
              <w:pStyle w:val="TableBody0"/>
              <w:spacing w:line="312" w:lineRule="auto"/>
            </w:pPr>
            <w:r w:rsidRPr="00AB0F57">
              <w:t>National Disability Insurance Scheme</w:t>
            </w:r>
          </w:p>
        </w:tc>
      </w:tr>
      <w:tr w:rsidR="00AD66B3" w:rsidRPr="0054222F" w14:paraId="66831AC5"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31C96A08" w14:textId="2545C6A4" w:rsidR="00AD66B3" w:rsidRPr="0054222F" w:rsidDel="00751A97" w:rsidRDefault="00AD66B3" w:rsidP="00724C4A">
            <w:pPr>
              <w:pStyle w:val="TableBody0"/>
              <w:spacing w:line="312" w:lineRule="auto"/>
            </w:pPr>
            <w:r w:rsidRPr="00AB0F57">
              <w:t>SDA</w:t>
            </w:r>
          </w:p>
        </w:tc>
        <w:tc>
          <w:tcPr>
            <w:tcW w:w="6095" w:type="dxa"/>
            <w:vAlign w:val="center"/>
          </w:tcPr>
          <w:p w14:paraId="16F595DE" w14:textId="00E24265" w:rsidR="00AD66B3" w:rsidRPr="0054222F" w:rsidDel="00751A97" w:rsidRDefault="00AD66B3" w:rsidP="00724C4A">
            <w:pPr>
              <w:pStyle w:val="TableBody0"/>
              <w:spacing w:line="312" w:lineRule="auto"/>
            </w:pPr>
            <w:r w:rsidRPr="00AB0F57">
              <w:t>specialist disability accommodation</w:t>
            </w:r>
          </w:p>
        </w:tc>
      </w:tr>
      <w:tr w:rsidR="00AD66B3" w:rsidRPr="0054222F" w14:paraId="77BD374F"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404C9DB0" w14:textId="0319D4BE" w:rsidR="00AD66B3" w:rsidRPr="0054222F" w:rsidDel="00751A97" w:rsidRDefault="00AD66B3" w:rsidP="00724C4A">
            <w:pPr>
              <w:pStyle w:val="TableBody0"/>
              <w:spacing w:line="312" w:lineRule="auto"/>
            </w:pPr>
            <w:r w:rsidRPr="00AB0F57">
              <w:t>SES</w:t>
            </w:r>
          </w:p>
        </w:tc>
        <w:tc>
          <w:tcPr>
            <w:tcW w:w="6095" w:type="dxa"/>
            <w:vAlign w:val="center"/>
          </w:tcPr>
          <w:p w14:paraId="564A3417" w14:textId="11032B69" w:rsidR="00AD66B3" w:rsidRPr="0054222F" w:rsidDel="00751A97" w:rsidRDefault="00AD66B3" w:rsidP="00724C4A">
            <w:pPr>
              <w:pStyle w:val="TableBody0"/>
              <w:spacing w:line="312" w:lineRule="auto"/>
            </w:pPr>
            <w:r w:rsidRPr="00AB0F57">
              <w:t>Senior Executive Service</w:t>
            </w:r>
          </w:p>
        </w:tc>
      </w:tr>
      <w:tr w:rsidR="00AD66B3" w:rsidRPr="0054222F" w14:paraId="7C216F9B"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4510DFB6" w14:textId="41A50477" w:rsidR="00AD66B3" w:rsidRPr="0054222F" w:rsidDel="00751A97" w:rsidRDefault="00AD66B3" w:rsidP="00724C4A">
            <w:pPr>
              <w:pStyle w:val="TableBody0"/>
              <w:spacing w:line="312" w:lineRule="auto"/>
            </w:pPr>
            <w:r w:rsidRPr="00AB0F57">
              <w:t>SIL</w:t>
            </w:r>
          </w:p>
        </w:tc>
        <w:tc>
          <w:tcPr>
            <w:tcW w:w="6095" w:type="dxa"/>
            <w:vAlign w:val="center"/>
          </w:tcPr>
          <w:p w14:paraId="33631B77" w14:textId="72A925F4" w:rsidR="00AD66B3" w:rsidRPr="0054222F" w:rsidDel="00751A97" w:rsidRDefault="00AD66B3" w:rsidP="00724C4A">
            <w:pPr>
              <w:pStyle w:val="TableBody0"/>
              <w:spacing w:line="312" w:lineRule="auto"/>
            </w:pPr>
            <w:r w:rsidRPr="00AB0F57">
              <w:t>supported independent living</w:t>
            </w:r>
          </w:p>
        </w:tc>
      </w:tr>
      <w:tr w:rsidR="00AD66B3" w:rsidRPr="0054222F" w14:paraId="1162C2EE"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31A32AB1" w14:textId="5E21E631" w:rsidR="00AD66B3" w:rsidRPr="0054222F" w:rsidDel="00751A97" w:rsidRDefault="00AD66B3" w:rsidP="00724C4A">
            <w:pPr>
              <w:pStyle w:val="TableBody0"/>
              <w:spacing w:line="312" w:lineRule="auto"/>
            </w:pPr>
            <w:r w:rsidRPr="00AB0F57">
              <w:rPr>
                <w:rFonts w:eastAsia="Arial"/>
                <w:color w:val="000000"/>
                <w:lang w:eastAsia="ja-JP"/>
              </w:rPr>
              <w:t>Tas</w:t>
            </w:r>
          </w:p>
        </w:tc>
        <w:tc>
          <w:tcPr>
            <w:tcW w:w="6095" w:type="dxa"/>
            <w:vAlign w:val="center"/>
          </w:tcPr>
          <w:p w14:paraId="5BA98511" w14:textId="5588DD03" w:rsidR="00AD66B3" w:rsidRPr="0054222F" w:rsidDel="00751A97" w:rsidRDefault="00AD66B3" w:rsidP="00724C4A">
            <w:pPr>
              <w:pStyle w:val="TableBody0"/>
              <w:spacing w:line="312" w:lineRule="auto"/>
            </w:pPr>
            <w:r w:rsidRPr="00AB0F57">
              <w:rPr>
                <w:rFonts w:eastAsia="Arial"/>
                <w:color w:val="000000"/>
                <w:lang w:eastAsia="ja-JP"/>
              </w:rPr>
              <w:t>Tasmania</w:t>
            </w:r>
          </w:p>
        </w:tc>
      </w:tr>
      <w:tr w:rsidR="00AD66B3" w:rsidRPr="0054222F" w14:paraId="5464C1B4"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60C7BEEB" w14:textId="7E93958D" w:rsidR="00AD66B3" w:rsidRPr="0054222F" w:rsidDel="00751A97" w:rsidRDefault="00AD66B3" w:rsidP="00724C4A">
            <w:pPr>
              <w:pStyle w:val="TableBody0"/>
              <w:spacing w:line="312" w:lineRule="auto"/>
            </w:pPr>
            <w:r w:rsidRPr="00AB0F57">
              <w:rPr>
                <w:rFonts w:eastAsia="Arial"/>
                <w:color w:val="000000"/>
                <w:lang w:eastAsia="ja-JP"/>
              </w:rPr>
              <w:t>Vic</w:t>
            </w:r>
          </w:p>
        </w:tc>
        <w:tc>
          <w:tcPr>
            <w:tcW w:w="6095" w:type="dxa"/>
            <w:vAlign w:val="center"/>
          </w:tcPr>
          <w:p w14:paraId="69F418B5" w14:textId="7EDD3DC7" w:rsidR="00AD66B3" w:rsidRPr="0054222F" w:rsidDel="00751A97" w:rsidRDefault="00AD66B3" w:rsidP="00724C4A">
            <w:pPr>
              <w:pStyle w:val="TableBody0"/>
              <w:spacing w:line="312" w:lineRule="auto"/>
            </w:pPr>
            <w:r w:rsidRPr="00AB0F57">
              <w:rPr>
                <w:rFonts w:eastAsia="Arial"/>
                <w:color w:val="000000"/>
                <w:lang w:eastAsia="ja-JP"/>
              </w:rPr>
              <w:t>Victoria</w:t>
            </w:r>
          </w:p>
        </w:tc>
      </w:tr>
      <w:tr w:rsidR="00AD66B3" w:rsidRPr="0054222F" w14:paraId="0C322FC3" w14:textId="77777777" w:rsidTr="002D70C4">
        <w:trPr>
          <w:cnfStyle w:val="000000010000" w:firstRow="0" w:lastRow="0" w:firstColumn="0" w:lastColumn="0" w:oddVBand="0" w:evenVBand="0" w:oddHBand="0" w:evenHBand="1" w:firstRowFirstColumn="0" w:firstRowLastColumn="0" w:lastRowFirstColumn="0" w:lastRowLastColumn="0"/>
          <w:cantSplit/>
        </w:trPr>
        <w:tc>
          <w:tcPr>
            <w:tcW w:w="2972" w:type="dxa"/>
            <w:vAlign w:val="center"/>
          </w:tcPr>
          <w:p w14:paraId="6C42CF29" w14:textId="0897E95E" w:rsidR="00AD66B3" w:rsidRPr="0054222F" w:rsidDel="00751A97" w:rsidRDefault="00AD66B3" w:rsidP="00724C4A">
            <w:pPr>
              <w:pStyle w:val="TableBody0"/>
              <w:spacing w:line="312" w:lineRule="auto"/>
            </w:pPr>
            <w:r w:rsidRPr="00AB0F57">
              <w:rPr>
                <w:rFonts w:eastAsia="Arial"/>
                <w:color w:val="000000"/>
                <w:lang w:eastAsia="ja-JP"/>
              </w:rPr>
              <w:t>WA</w:t>
            </w:r>
          </w:p>
        </w:tc>
        <w:tc>
          <w:tcPr>
            <w:tcW w:w="6095" w:type="dxa"/>
            <w:vAlign w:val="center"/>
          </w:tcPr>
          <w:p w14:paraId="5A125420" w14:textId="46E0682E" w:rsidR="00AD66B3" w:rsidRPr="0054222F" w:rsidDel="00751A97" w:rsidRDefault="00AD66B3" w:rsidP="00724C4A">
            <w:pPr>
              <w:pStyle w:val="TableBody0"/>
              <w:spacing w:line="312" w:lineRule="auto"/>
            </w:pPr>
            <w:r w:rsidRPr="00AB0F57">
              <w:rPr>
                <w:rFonts w:eastAsia="Arial"/>
                <w:color w:val="000000"/>
                <w:lang w:eastAsia="ja-JP"/>
              </w:rPr>
              <w:t>Western Australia</w:t>
            </w:r>
          </w:p>
        </w:tc>
      </w:tr>
      <w:tr w:rsidR="00AD66B3" w:rsidRPr="0054222F" w14:paraId="13F61A35" w14:textId="77777777" w:rsidTr="002D70C4">
        <w:trPr>
          <w:cnfStyle w:val="000000100000" w:firstRow="0" w:lastRow="0" w:firstColumn="0" w:lastColumn="0" w:oddVBand="0" w:evenVBand="0" w:oddHBand="1" w:evenHBand="0" w:firstRowFirstColumn="0" w:firstRowLastColumn="0" w:lastRowFirstColumn="0" w:lastRowLastColumn="0"/>
          <w:cantSplit/>
        </w:trPr>
        <w:tc>
          <w:tcPr>
            <w:tcW w:w="2972" w:type="dxa"/>
            <w:vAlign w:val="center"/>
          </w:tcPr>
          <w:p w14:paraId="19AC5409" w14:textId="2A098CEC" w:rsidR="00AD66B3" w:rsidRPr="0054222F" w:rsidDel="00751A97" w:rsidRDefault="00AD66B3" w:rsidP="00724C4A">
            <w:pPr>
              <w:pStyle w:val="TableBody0"/>
              <w:spacing w:line="312" w:lineRule="auto"/>
            </w:pPr>
            <w:r w:rsidRPr="00AB0F57">
              <w:rPr>
                <w:rFonts w:eastAsia="Arial"/>
                <w:color w:val="000000"/>
                <w:lang w:eastAsia="ja-JP"/>
              </w:rPr>
              <w:t>WHS Act</w:t>
            </w:r>
          </w:p>
        </w:tc>
        <w:tc>
          <w:tcPr>
            <w:tcW w:w="6095" w:type="dxa"/>
            <w:vAlign w:val="center"/>
          </w:tcPr>
          <w:p w14:paraId="032094B8" w14:textId="4B6FF5E7" w:rsidR="00AD66B3" w:rsidRPr="0054222F" w:rsidDel="00751A97" w:rsidRDefault="00AD66B3" w:rsidP="00724C4A">
            <w:pPr>
              <w:pStyle w:val="TableBody0"/>
              <w:spacing w:line="312" w:lineRule="auto"/>
            </w:pPr>
            <w:r w:rsidRPr="00AB0F57">
              <w:rPr>
                <w:rFonts w:eastAsia="Arial"/>
                <w:i/>
                <w:iCs/>
                <w:color w:val="000000"/>
                <w:lang w:eastAsia="ja-JP"/>
              </w:rPr>
              <w:t>Work Health and Safety Act 2011</w:t>
            </w:r>
            <w:r w:rsidRPr="00AB0F57">
              <w:rPr>
                <w:rFonts w:eastAsia="Arial"/>
                <w:color w:val="000000"/>
                <w:lang w:eastAsia="ja-JP"/>
              </w:rPr>
              <w:t xml:space="preserve"> (Cth)</w:t>
            </w:r>
          </w:p>
        </w:tc>
      </w:tr>
    </w:tbl>
    <w:p w14:paraId="799FF1AB" w14:textId="77777777" w:rsidR="00D364DF" w:rsidRDefault="00453633" w:rsidP="00741632">
      <w:pPr>
        <w:pStyle w:val="Heading4"/>
      </w:pPr>
      <w:bookmarkStart w:id="129" w:name="_Toc226723974"/>
      <w:r>
        <w:t>Definitions</w:t>
      </w:r>
      <w:bookmarkEnd w:id="129"/>
    </w:p>
    <w:p w14:paraId="080724EF" w14:textId="69EE8037" w:rsidR="00B1351F" w:rsidRDefault="00300BE2" w:rsidP="00300BE2">
      <w:pPr>
        <w:pStyle w:val="Caption"/>
      </w:pPr>
      <w:r>
        <w:t xml:space="preserve">Table </w:t>
      </w:r>
      <w:r w:rsidR="008109FD">
        <w:t>3</w:t>
      </w:r>
      <w:r w:rsidR="0068179C">
        <w:t>6</w:t>
      </w:r>
      <w:r>
        <w:t xml:space="preserve">. </w:t>
      </w:r>
      <w:r w:rsidR="009621CB">
        <w:t>Definitions</w:t>
      </w:r>
    </w:p>
    <w:tbl>
      <w:tblPr>
        <w:tblStyle w:val="NDISTable1"/>
        <w:tblW w:w="5028" w:type="pct"/>
        <w:tblCellMar>
          <w:left w:w="57" w:type="dxa"/>
          <w:right w:w="57" w:type="dxa"/>
        </w:tblCellMar>
        <w:tblLook w:val="0420" w:firstRow="1" w:lastRow="0" w:firstColumn="0" w:lastColumn="0" w:noHBand="0" w:noVBand="1"/>
      </w:tblPr>
      <w:tblGrid>
        <w:gridCol w:w="2970"/>
        <w:gridCol w:w="6096"/>
      </w:tblGrid>
      <w:tr w:rsidR="00342148" w:rsidRPr="00342148" w14:paraId="0B3D239F" w14:textId="77777777" w:rsidTr="000A0E6B">
        <w:trPr>
          <w:cnfStyle w:val="100000000000" w:firstRow="1" w:lastRow="0" w:firstColumn="0" w:lastColumn="0" w:oddVBand="0" w:evenVBand="0" w:oddHBand="0" w:evenHBand="0" w:firstRowFirstColumn="0" w:firstRowLastColumn="0" w:lastRowFirstColumn="0" w:lastRowLastColumn="0"/>
        </w:trPr>
        <w:tc>
          <w:tcPr>
            <w:tcW w:w="1638" w:type="pct"/>
            <w:vAlign w:val="center"/>
            <w:hideMark/>
          </w:tcPr>
          <w:p w14:paraId="4175B0FA" w14:textId="76D57A64" w:rsidR="00342148" w:rsidRPr="00342148" w:rsidRDefault="00342148" w:rsidP="00172730">
            <w:pPr>
              <w:spacing w:before="100" w:after="100" w:line="312" w:lineRule="auto"/>
            </w:pPr>
            <w:bookmarkStart w:id="130" w:name="_Toc226723975"/>
            <w:r w:rsidRPr="00342148">
              <w:t>Term</w:t>
            </w:r>
          </w:p>
        </w:tc>
        <w:tc>
          <w:tcPr>
            <w:tcW w:w="3362" w:type="pct"/>
            <w:vAlign w:val="center"/>
            <w:hideMark/>
          </w:tcPr>
          <w:p w14:paraId="5B13374B" w14:textId="5F0FA90E" w:rsidR="00342148" w:rsidRPr="00342148" w:rsidRDefault="00342148" w:rsidP="00172730">
            <w:pPr>
              <w:spacing w:before="100" w:after="100" w:line="312" w:lineRule="auto"/>
            </w:pPr>
            <w:r w:rsidRPr="00342148">
              <w:t>Definition</w:t>
            </w:r>
          </w:p>
        </w:tc>
      </w:tr>
      <w:tr w:rsidR="00342148" w:rsidRPr="00342148" w14:paraId="3863157A" w14:textId="77777777" w:rsidTr="000A0E6B">
        <w:trPr>
          <w:cnfStyle w:val="000000100000" w:firstRow="0" w:lastRow="0" w:firstColumn="0" w:lastColumn="0" w:oddVBand="0" w:evenVBand="0" w:oddHBand="1" w:evenHBand="0" w:firstRowFirstColumn="0" w:firstRowLastColumn="0" w:lastRowFirstColumn="0" w:lastRowLastColumn="0"/>
          <w:cantSplit/>
        </w:trPr>
        <w:tc>
          <w:tcPr>
            <w:tcW w:w="1638" w:type="pct"/>
            <w:hideMark/>
          </w:tcPr>
          <w:p w14:paraId="438C4967" w14:textId="77777777" w:rsidR="00342148" w:rsidRPr="00342148" w:rsidRDefault="00342148" w:rsidP="00172730">
            <w:pPr>
              <w:spacing w:before="100" w:after="100" w:line="312" w:lineRule="auto"/>
            </w:pPr>
            <w:r w:rsidRPr="00342148">
              <w:t>Administrative Appeals Tribunal</w:t>
            </w:r>
          </w:p>
        </w:tc>
        <w:tc>
          <w:tcPr>
            <w:tcW w:w="3362" w:type="pct"/>
            <w:hideMark/>
          </w:tcPr>
          <w:p w14:paraId="77E8C88F" w14:textId="7628005B" w:rsidR="00342148" w:rsidRPr="00342148" w:rsidRDefault="00342148" w:rsidP="00172730">
            <w:pPr>
              <w:spacing w:before="100" w:after="100" w:line="312" w:lineRule="auto"/>
            </w:pPr>
            <w:r w:rsidRPr="00342148">
              <w:t xml:space="preserve">An independent body that reviewed administrative decisions made under Commonwealth laws. It was abolished on 14 October 2024 and replaced with the </w:t>
            </w:r>
            <w:hyperlink r:id="rId79" w:history="1">
              <w:r w:rsidR="00096262">
                <w:rPr>
                  <w:rStyle w:val="Hyperlink"/>
                </w:rPr>
                <w:t>Administrative Review Tribunal (external)</w:t>
              </w:r>
            </w:hyperlink>
            <w:r w:rsidRPr="00342148">
              <w:t>.</w:t>
            </w:r>
          </w:p>
        </w:tc>
      </w:tr>
      <w:tr w:rsidR="00342148" w:rsidRPr="00342148" w14:paraId="5274239F" w14:textId="77777777" w:rsidTr="000A0E6B">
        <w:trPr>
          <w:cnfStyle w:val="000000010000" w:firstRow="0" w:lastRow="0" w:firstColumn="0" w:lastColumn="0" w:oddVBand="0" w:evenVBand="0" w:oddHBand="0" w:evenHBand="1" w:firstRowFirstColumn="0" w:firstRowLastColumn="0" w:lastRowFirstColumn="0" w:lastRowLastColumn="0"/>
          <w:cantSplit/>
        </w:trPr>
        <w:tc>
          <w:tcPr>
            <w:tcW w:w="1638" w:type="pct"/>
            <w:hideMark/>
          </w:tcPr>
          <w:p w14:paraId="4C3BC927" w14:textId="77777777" w:rsidR="00342148" w:rsidRPr="00342148" w:rsidRDefault="00342148" w:rsidP="00172730">
            <w:pPr>
              <w:spacing w:before="100" w:after="100" w:line="312" w:lineRule="auto"/>
            </w:pPr>
            <w:r w:rsidRPr="00342148">
              <w:rPr>
                <w:lang w:val="en-GB"/>
              </w:rPr>
              <w:t>Administrative Review Tribunal</w:t>
            </w:r>
          </w:p>
        </w:tc>
        <w:tc>
          <w:tcPr>
            <w:tcW w:w="3362" w:type="pct"/>
            <w:hideMark/>
          </w:tcPr>
          <w:p w14:paraId="2CA0C339" w14:textId="61263C4B" w:rsidR="00342148" w:rsidRPr="00342148" w:rsidRDefault="00342148" w:rsidP="00172730">
            <w:pPr>
              <w:spacing w:before="100" w:after="100" w:line="312" w:lineRule="auto"/>
            </w:pPr>
            <w:r w:rsidRPr="00342148">
              <w:t xml:space="preserve">Established by the </w:t>
            </w:r>
            <w:hyperlink r:id="rId80" w:tgtFrame="_blank" w:history="1">
              <w:r w:rsidRPr="00342148">
                <w:rPr>
                  <w:i/>
                  <w:iCs/>
                  <w:color w:val="0432FF"/>
                  <w:u w:val="single"/>
                </w:rPr>
                <w:t>Administrative Review Tribunal Act 2024</w:t>
              </w:r>
              <w:r w:rsidRPr="00342148">
                <w:rPr>
                  <w:color w:val="0432FF"/>
                  <w:u w:val="single"/>
                </w:rPr>
                <w:t xml:space="preserve"> (external)</w:t>
              </w:r>
            </w:hyperlink>
            <w:r w:rsidRPr="00342148">
              <w:t xml:space="preserve"> and commenced operation on 14</w:t>
            </w:r>
            <w:r w:rsidR="00A16F95">
              <w:t> </w:t>
            </w:r>
            <w:r w:rsidRPr="00342148">
              <w:t>October 2024. It replaced the former Administrative Appeals Tribunal.</w:t>
            </w:r>
          </w:p>
          <w:p w14:paraId="2E6E2452" w14:textId="77777777" w:rsidR="00342148" w:rsidRPr="00342148" w:rsidRDefault="00342148" w:rsidP="00172730">
            <w:pPr>
              <w:spacing w:before="100" w:after="100" w:line="312" w:lineRule="auto"/>
            </w:pPr>
            <w:r w:rsidRPr="00342148">
              <w:t>The tribunal reviews decisions made by Australian Government agencies, departments and ministers.</w:t>
            </w:r>
          </w:p>
        </w:tc>
      </w:tr>
      <w:tr w:rsidR="00342148" w:rsidRPr="00342148" w14:paraId="3303739B" w14:textId="77777777" w:rsidTr="000A0E6B">
        <w:trPr>
          <w:cnfStyle w:val="000000100000" w:firstRow="0" w:lastRow="0" w:firstColumn="0" w:lastColumn="0" w:oddVBand="0" w:evenVBand="0" w:oddHBand="1" w:evenHBand="0" w:firstRowFirstColumn="0" w:firstRowLastColumn="0" w:lastRowFirstColumn="0" w:lastRowLastColumn="0"/>
          <w:cantSplit/>
        </w:trPr>
        <w:tc>
          <w:tcPr>
            <w:tcW w:w="1638" w:type="pct"/>
            <w:hideMark/>
          </w:tcPr>
          <w:p w14:paraId="4C876FB1" w14:textId="77777777" w:rsidR="00342148" w:rsidRPr="00342148" w:rsidRDefault="00342148" w:rsidP="00172730">
            <w:pPr>
              <w:spacing w:before="100" w:after="100" w:line="312" w:lineRule="auto"/>
            </w:pPr>
            <w:r w:rsidRPr="00342148">
              <w:rPr>
                <w:lang w:val="en-GB"/>
              </w:rPr>
              <w:t>Agency</w:t>
            </w:r>
          </w:p>
        </w:tc>
        <w:tc>
          <w:tcPr>
            <w:tcW w:w="3362" w:type="pct"/>
            <w:hideMark/>
          </w:tcPr>
          <w:p w14:paraId="02D4A67B" w14:textId="77777777" w:rsidR="00342148" w:rsidRPr="00342148" w:rsidRDefault="00342148" w:rsidP="00172730">
            <w:pPr>
              <w:spacing w:before="100" w:after="100" w:line="312" w:lineRule="auto"/>
            </w:pPr>
            <w:r w:rsidRPr="00342148">
              <w:t>The National Disability Insurance Agency (NDIA).</w:t>
            </w:r>
          </w:p>
        </w:tc>
      </w:tr>
      <w:tr w:rsidR="00342148" w:rsidRPr="00342148" w14:paraId="59ABA067" w14:textId="77777777" w:rsidTr="000A0E6B">
        <w:trPr>
          <w:cnfStyle w:val="000000010000" w:firstRow="0" w:lastRow="0" w:firstColumn="0" w:lastColumn="0" w:oddVBand="0" w:evenVBand="0" w:oddHBand="0" w:evenHBand="1" w:firstRowFirstColumn="0" w:firstRowLastColumn="0" w:lastRowFirstColumn="0" w:lastRowLastColumn="0"/>
          <w:cantSplit/>
        </w:trPr>
        <w:tc>
          <w:tcPr>
            <w:tcW w:w="1638" w:type="pct"/>
            <w:hideMark/>
          </w:tcPr>
          <w:p w14:paraId="743419A2" w14:textId="77777777" w:rsidR="00342148" w:rsidRPr="00342148" w:rsidRDefault="00342148" w:rsidP="00172730">
            <w:pPr>
              <w:spacing w:before="100" w:after="100" w:line="312" w:lineRule="auto"/>
              <w:rPr>
                <w:lang w:val="en-GB"/>
              </w:rPr>
            </w:pPr>
            <w:r w:rsidRPr="00342148">
              <w:rPr>
                <w:lang w:val="en-GB"/>
              </w:rPr>
              <w:t>Crack Down on Fraud program</w:t>
            </w:r>
          </w:p>
        </w:tc>
        <w:tc>
          <w:tcPr>
            <w:tcW w:w="3362" w:type="pct"/>
            <w:hideMark/>
          </w:tcPr>
          <w:p w14:paraId="0DC85683" w14:textId="77777777" w:rsidR="00342148" w:rsidRPr="00342148" w:rsidRDefault="00342148" w:rsidP="00172730">
            <w:pPr>
              <w:spacing w:before="100" w:after="100" w:line="312" w:lineRule="auto"/>
            </w:pPr>
            <w:r w:rsidRPr="00342148">
              <w:t>A program of improvements to the NDIA and the NDIS information and communications technology systems and processes. It aims to detect, prevent and respond to fraud.</w:t>
            </w:r>
          </w:p>
        </w:tc>
      </w:tr>
      <w:tr w:rsidR="00342148" w:rsidRPr="00342148" w14:paraId="6F7F2706" w14:textId="77777777" w:rsidTr="000A0E6B">
        <w:trPr>
          <w:cnfStyle w:val="000000100000" w:firstRow="0" w:lastRow="0" w:firstColumn="0" w:lastColumn="0" w:oddVBand="0" w:evenVBand="0" w:oddHBand="1" w:evenHBand="0" w:firstRowFirstColumn="0" w:firstRowLastColumn="0" w:lastRowFirstColumn="0" w:lastRowLastColumn="0"/>
          <w:cantSplit/>
        </w:trPr>
        <w:tc>
          <w:tcPr>
            <w:tcW w:w="1638" w:type="pct"/>
            <w:hideMark/>
          </w:tcPr>
          <w:p w14:paraId="28356DD4" w14:textId="77777777" w:rsidR="00342148" w:rsidRPr="00342148" w:rsidRDefault="00342148" w:rsidP="00172730">
            <w:pPr>
              <w:spacing w:before="100" w:after="100" w:line="312" w:lineRule="auto"/>
              <w:rPr>
                <w:lang w:val="en-GB"/>
              </w:rPr>
            </w:pPr>
            <w:r w:rsidRPr="00342148">
              <w:t>Disability sector</w:t>
            </w:r>
          </w:p>
        </w:tc>
        <w:tc>
          <w:tcPr>
            <w:tcW w:w="3362" w:type="pct"/>
            <w:hideMark/>
          </w:tcPr>
          <w:p w14:paraId="24C332C3" w14:textId="77777777" w:rsidR="00342148" w:rsidRPr="00342148" w:rsidRDefault="00342148" w:rsidP="00172730">
            <w:pPr>
              <w:spacing w:before="100" w:after="100" w:line="312" w:lineRule="auto"/>
            </w:pPr>
            <w:r w:rsidRPr="00342148">
              <w:t>Organisations and sole traders that deliver disability support services, and the peak bodies that represent them.</w:t>
            </w:r>
          </w:p>
        </w:tc>
      </w:tr>
      <w:tr w:rsidR="00342148" w:rsidRPr="00342148" w14:paraId="5D57B058" w14:textId="77777777" w:rsidTr="000A0E6B">
        <w:trPr>
          <w:cnfStyle w:val="000000010000" w:firstRow="0" w:lastRow="0" w:firstColumn="0" w:lastColumn="0" w:oddVBand="0" w:evenVBand="0" w:oddHBand="0" w:evenHBand="1" w:firstRowFirstColumn="0" w:firstRowLastColumn="0" w:lastRowFirstColumn="0" w:lastRowLastColumn="0"/>
          <w:cantSplit/>
        </w:trPr>
        <w:tc>
          <w:tcPr>
            <w:tcW w:w="1638" w:type="pct"/>
            <w:hideMark/>
          </w:tcPr>
          <w:p w14:paraId="7C08F641" w14:textId="77777777" w:rsidR="00342148" w:rsidRPr="00342148" w:rsidRDefault="00342148" w:rsidP="00172730">
            <w:pPr>
              <w:spacing w:before="100" w:after="100" w:line="312" w:lineRule="auto"/>
            </w:pPr>
            <w:r w:rsidRPr="00342148">
              <w:t>Early childhood approach</w:t>
            </w:r>
          </w:p>
        </w:tc>
        <w:tc>
          <w:tcPr>
            <w:tcW w:w="3362" w:type="pct"/>
            <w:hideMark/>
          </w:tcPr>
          <w:p w14:paraId="7EDC1D29" w14:textId="77777777" w:rsidR="00342148" w:rsidRPr="00342148" w:rsidRDefault="00342148" w:rsidP="00172730">
            <w:pPr>
              <w:spacing w:before="100" w:after="100" w:line="312" w:lineRule="auto"/>
            </w:pPr>
            <w:r w:rsidRPr="00342148">
              <w:t>An approach tailored to the needs of children and their families. Children younger than 6 with developmental delay or developmental concerns, and children younger than 9 with disability, are supported through this approach.</w:t>
            </w:r>
          </w:p>
        </w:tc>
      </w:tr>
      <w:tr w:rsidR="00342148" w:rsidRPr="00342148" w14:paraId="24B9FA10" w14:textId="77777777" w:rsidTr="000A0E6B">
        <w:trPr>
          <w:cnfStyle w:val="000000100000" w:firstRow="0" w:lastRow="0" w:firstColumn="0" w:lastColumn="0" w:oddVBand="0" w:evenVBand="0" w:oddHBand="1" w:evenHBand="0" w:firstRowFirstColumn="0" w:firstRowLastColumn="0" w:lastRowFirstColumn="0" w:lastRowLastColumn="0"/>
          <w:cantSplit/>
        </w:trPr>
        <w:tc>
          <w:tcPr>
            <w:tcW w:w="1638" w:type="pct"/>
            <w:hideMark/>
          </w:tcPr>
          <w:p w14:paraId="081502F4" w14:textId="77777777" w:rsidR="00342148" w:rsidRPr="00342148" w:rsidRDefault="00342148" w:rsidP="00172730">
            <w:pPr>
              <w:spacing w:before="100" w:after="100" w:line="312" w:lineRule="auto"/>
            </w:pPr>
            <w:r w:rsidRPr="00342148">
              <w:t>Fraud Fusion Taskforce</w:t>
            </w:r>
          </w:p>
        </w:tc>
        <w:tc>
          <w:tcPr>
            <w:tcW w:w="3362" w:type="pct"/>
            <w:hideMark/>
          </w:tcPr>
          <w:p w14:paraId="291EFC18" w14:textId="77777777" w:rsidR="00342148" w:rsidRPr="00342148" w:rsidRDefault="00342148" w:rsidP="00172730">
            <w:pPr>
              <w:spacing w:before="100" w:after="100" w:line="312" w:lineRule="auto"/>
            </w:pPr>
            <w:r w:rsidRPr="00342148">
              <w:t>A partnership between 25 government agencies, including the NDIA, Services Australia, NDIS Quality and Safeguards Commission, and law enforcement agencies and regulators. The taskforce aims to improve how government agencies work together to quickly detect, resolve and prevent fraud and serious organised crime in the NDIS and other government programs.</w:t>
            </w:r>
          </w:p>
        </w:tc>
      </w:tr>
      <w:tr w:rsidR="00342148" w:rsidRPr="00342148" w14:paraId="1AA9203B" w14:textId="77777777" w:rsidTr="000A0E6B">
        <w:trPr>
          <w:cnfStyle w:val="000000010000" w:firstRow="0" w:lastRow="0" w:firstColumn="0" w:lastColumn="0" w:oddVBand="0" w:evenVBand="0" w:oddHBand="0" w:evenHBand="1" w:firstRowFirstColumn="0" w:firstRowLastColumn="0" w:lastRowFirstColumn="0" w:lastRowLastColumn="0"/>
          <w:cantSplit/>
        </w:trPr>
        <w:tc>
          <w:tcPr>
            <w:tcW w:w="1638" w:type="pct"/>
            <w:hideMark/>
          </w:tcPr>
          <w:p w14:paraId="0DBB0D62" w14:textId="77777777" w:rsidR="00342148" w:rsidRPr="00342148" w:rsidRDefault="00342148" w:rsidP="00172730">
            <w:pPr>
              <w:spacing w:before="100" w:after="100" w:line="312" w:lineRule="auto"/>
            </w:pPr>
            <w:r w:rsidRPr="00342148">
              <w:t>Local area coordination partners</w:t>
            </w:r>
          </w:p>
        </w:tc>
        <w:tc>
          <w:tcPr>
            <w:tcW w:w="3362" w:type="pct"/>
            <w:hideMark/>
          </w:tcPr>
          <w:p w14:paraId="5BFD2CB6" w14:textId="77777777" w:rsidR="00342148" w:rsidRPr="00342148" w:rsidRDefault="00342148" w:rsidP="00172730">
            <w:pPr>
              <w:spacing w:before="100" w:after="100" w:line="312" w:lineRule="auto"/>
            </w:pPr>
            <w:r w:rsidRPr="00342148">
              <w:t>Local organisations funded by the NDIA to deliver local area coordination services to people with disability aged between 9 and 64.</w:t>
            </w:r>
          </w:p>
        </w:tc>
      </w:tr>
      <w:tr w:rsidR="00342148" w:rsidRPr="00342148" w14:paraId="3C3F0AF2" w14:textId="77777777" w:rsidTr="000A0E6B">
        <w:trPr>
          <w:cnfStyle w:val="000000100000" w:firstRow="0" w:lastRow="0" w:firstColumn="0" w:lastColumn="0" w:oddVBand="0" w:evenVBand="0" w:oddHBand="1" w:evenHBand="0" w:firstRowFirstColumn="0" w:firstRowLastColumn="0" w:lastRowFirstColumn="0" w:lastRowLastColumn="0"/>
          <w:cantSplit/>
        </w:trPr>
        <w:tc>
          <w:tcPr>
            <w:tcW w:w="1638" w:type="pct"/>
            <w:hideMark/>
          </w:tcPr>
          <w:p w14:paraId="6546304D" w14:textId="77777777" w:rsidR="00342148" w:rsidRPr="00342148" w:rsidRDefault="00342148" w:rsidP="00172730">
            <w:pPr>
              <w:spacing w:before="100" w:after="100" w:line="312" w:lineRule="auto"/>
            </w:pPr>
            <w:r w:rsidRPr="00342148">
              <w:t>New Framework Planning</w:t>
            </w:r>
          </w:p>
        </w:tc>
        <w:tc>
          <w:tcPr>
            <w:tcW w:w="3362" w:type="pct"/>
            <w:hideMark/>
          </w:tcPr>
          <w:p w14:paraId="50B7F501" w14:textId="77777777" w:rsidR="00342148" w:rsidRPr="00342148" w:rsidRDefault="00342148" w:rsidP="00172730">
            <w:pPr>
              <w:spacing w:before="100" w:after="100" w:line="312" w:lineRule="auto"/>
            </w:pPr>
            <w:r w:rsidRPr="00342148">
              <w:t>A new way of working with participants to assess their support needs and develop their plans. We will begin rolling it out from 1 April 2027.</w:t>
            </w:r>
          </w:p>
        </w:tc>
      </w:tr>
      <w:tr w:rsidR="00342148" w:rsidRPr="00342148" w14:paraId="56F59BF9" w14:textId="77777777" w:rsidTr="000A0E6B">
        <w:trPr>
          <w:cnfStyle w:val="000000010000" w:firstRow="0" w:lastRow="0" w:firstColumn="0" w:lastColumn="0" w:oddVBand="0" w:evenVBand="0" w:oddHBand="0" w:evenHBand="1" w:firstRowFirstColumn="0" w:firstRowLastColumn="0" w:lastRowFirstColumn="0" w:lastRowLastColumn="0"/>
          <w:cantSplit/>
        </w:trPr>
        <w:tc>
          <w:tcPr>
            <w:tcW w:w="1638" w:type="pct"/>
            <w:hideMark/>
          </w:tcPr>
          <w:p w14:paraId="5993A8C0" w14:textId="77777777" w:rsidR="00342148" w:rsidRPr="00342148" w:rsidRDefault="00342148" w:rsidP="00172730">
            <w:pPr>
              <w:spacing w:before="100" w:after="100" w:line="312" w:lineRule="auto"/>
            </w:pPr>
            <w:r w:rsidRPr="00342148">
              <w:t>Participant Service Charter</w:t>
            </w:r>
          </w:p>
        </w:tc>
        <w:tc>
          <w:tcPr>
            <w:tcW w:w="3362" w:type="pct"/>
            <w:hideMark/>
          </w:tcPr>
          <w:p w14:paraId="10BDA87E" w14:textId="77777777" w:rsidR="00342148" w:rsidRPr="00342148" w:rsidRDefault="00342148" w:rsidP="00172730">
            <w:pPr>
              <w:spacing w:before="100" w:after="100" w:line="312" w:lineRule="auto"/>
            </w:pPr>
            <w:r w:rsidRPr="00342148">
              <w:t>Outlines the NDIA’s commitment to participants in how they can expect to be treated when they deal with the NDIA and partners in the community organisations.</w:t>
            </w:r>
          </w:p>
        </w:tc>
      </w:tr>
      <w:tr w:rsidR="00342148" w:rsidRPr="00342148" w14:paraId="4F81FA67" w14:textId="77777777" w:rsidTr="000A0E6B">
        <w:trPr>
          <w:cnfStyle w:val="000000100000" w:firstRow="0" w:lastRow="0" w:firstColumn="0" w:lastColumn="0" w:oddVBand="0" w:evenVBand="0" w:oddHBand="1" w:evenHBand="0" w:firstRowFirstColumn="0" w:firstRowLastColumn="0" w:lastRowFirstColumn="0" w:lastRowLastColumn="0"/>
          <w:cantSplit/>
        </w:trPr>
        <w:tc>
          <w:tcPr>
            <w:tcW w:w="1638" w:type="pct"/>
            <w:hideMark/>
          </w:tcPr>
          <w:p w14:paraId="276D941F" w14:textId="77777777" w:rsidR="00342148" w:rsidRPr="00342148" w:rsidRDefault="00342148" w:rsidP="00172730">
            <w:pPr>
              <w:spacing w:before="100" w:after="100" w:line="312" w:lineRule="auto"/>
            </w:pPr>
            <w:r w:rsidRPr="00342148">
              <w:rPr>
                <w:lang w:eastAsia="ja-JP"/>
              </w:rPr>
              <w:t>Participant Service Guarantee</w:t>
            </w:r>
          </w:p>
        </w:tc>
        <w:tc>
          <w:tcPr>
            <w:tcW w:w="3362" w:type="pct"/>
            <w:hideMark/>
          </w:tcPr>
          <w:p w14:paraId="31D83BFC" w14:textId="77777777" w:rsidR="00342148" w:rsidRPr="00342148" w:rsidRDefault="00342148" w:rsidP="00172730">
            <w:pPr>
              <w:spacing w:before="100" w:after="100" w:line="312" w:lineRule="auto"/>
            </w:pPr>
            <w:r w:rsidRPr="00342148">
              <w:t xml:space="preserve">Sets timeframes for key NDIS processes and decisions. </w:t>
            </w:r>
            <w:r w:rsidRPr="00342148">
              <w:rPr>
                <w:rFonts w:eastAsia="Times New Roman"/>
                <w:color w:val="222222"/>
              </w:rPr>
              <w:t>The</w:t>
            </w:r>
            <w:r w:rsidRPr="00342148">
              <w:t xml:space="preserve"> NDIA must make decisions about access, plan reassessments, variations and reviews, and nominee changes within these timeframes.</w:t>
            </w:r>
          </w:p>
        </w:tc>
      </w:tr>
      <w:tr w:rsidR="00342148" w:rsidRPr="00342148" w14:paraId="2B9257F7" w14:textId="77777777" w:rsidTr="000A0E6B">
        <w:trPr>
          <w:cnfStyle w:val="000000010000" w:firstRow="0" w:lastRow="0" w:firstColumn="0" w:lastColumn="0" w:oddVBand="0" w:evenVBand="0" w:oddHBand="0" w:evenHBand="1" w:firstRowFirstColumn="0" w:firstRowLastColumn="0" w:lastRowFirstColumn="0" w:lastRowLastColumn="0"/>
          <w:cantSplit/>
        </w:trPr>
        <w:tc>
          <w:tcPr>
            <w:tcW w:w="1638" w:type="pct"/>
            <w:hideMark/>
          </w:tcPr>
          <w:p w14:paraId="487022AD" w14:textId="77777777" w:rsidR="00342148" w:rsidRPr="00342148" w:rsidRDefault="00342148" w:rsidP="00172730">
            <w:pPr>
              <w:spacing w:before="100" w:after="100" w:line="312" w:lineRule="auto"/>
              <w:rPr>
                <w:lang w:eastAsia="ja-JP"/>
              </w:rPr>
            </w:pPr>
            <w:r w:rsidRPr="00342148">
              <w:t>Partners in the community</w:t>
            </w:r>
          </w:p>
        </w:tc>
        <w:tc>
          <w:tcPr>
            <w:tcW w:w="3362" w:type="pct"/>
            <w:hideMark/>
          </w:tcPr>
          <w:p w14:paraId="10EF17D9" w14:textId="77777777" w:rsidR="00342148" w:rsidRPr="00342148" w:rsidRDefault="00342148" w:rsidP="00172730">
            <w:pPr>
              <w:spacing w:before="100" w:after="100" w:line="312" w:lineRule="auto"/>
            </w:pPr>
            <w:r w:rsidRPr="00342148">
              <w:t>Community-based organisations funded by the NDIA to help deliver the NDIS in some parts of Australia. This includes early childhood partners and local area coordinators. They are also known as ‘NDIS partners’.</w:t>
            </w:r>
          </w:p>
          <w:p w14:paraId="3F72A0DF" w14:textId="77777777" w:rsidR="00342148" w:rsidRPr="00342148" w:rsidRDefault="00342148" w:rsidP="00172730">
            <w:pPr>
              <w:spacing w:before="100" w:after="100" w:line="312" w:lineRule="auto"/>
            </w:pPr>
            <w:r w:rsidRPr="00342148">
              <w:t>Partners help people with disability to connect with services and supports in their local community.</w:t>
            </w:r>
          </w:p>
        </w:tc>
      </w:tr>
      <w:tr w:rsidR="00342148" w:rsidRPr="00342148" w14:paraId="2F3BA0FC" w14:textId="77777777" w:rsidTr="000A0E6B">
        <w:trPr>
          <w:cnfStyle w:val="000000100000" w:firstRow="0" w:lastRow="0" w:firstColumn="0" w:lastColumn="0" w:oddVBand="0" w:evenVBand="0" w:oddHBand="1" w:evenHBand="0" w:firstRowFirstColumn="0" w:firstRowLastColumn="0" w:lastRowFirstColumn="0" w:lastRowLastColumn="0"/>
          <w:cantSplit/>
        </w:trPr>
        <w:tc>
          <w:tcPr>
            <w:tcW w:w="1638" w:type="pct"/>
            <w:hideMark/>
          </w:tcPr>
          <w:p w14:paraId="2845671D" w14:textId="77777777" w:rsidR="00342148" w:rsidRPr="00342148" w:rsidRDefault="00342148" w:rsidP="00172730">
            <w:pPr>
              <w:spacing w:before="100" w:after="100" w:line="312" w:lineRule="auto"/>
            </w:pPr>
            <w:r w:rsidRPr="00342148">
              <w:t>Plan</w:t>
            </w:r>
          </w:p>
        </w:tc>
        <w:tc>
          <w:tcPr>
            <w:tcW w:w="3362" w:type="pct"/>
            <w:hideMark/>
          </w:tcPr>
          <w:p w14:paraId="099188D9" w14:textId="77777777" w:rsidR="00342148" w:rsidRPr="00342148" w:rsidRDefault="00342148" w:rsidP="00172730">
            <w:pPr>
              <w:spacing w:before="100" w:after="100" w:line="312" w:lineRule="auto"/>
            </w:pPr>
            <w:r w:rsidRPr="00342148">
              <w:t xml:space="preserve">An NDIS plan is created with the participant and includes funding to buy NDIS supports for everyday life and to work towards the participant’s goals. Each participant has their own individual plan. </w:t>
            </w:r>
          </w:p>
        </w:tc>
      </w:tr>
      <w:tr w:rsidR="00342148" w:rsidRPr="00342148" w14:paraId="4A60E6F8" w14:textId="77777777" w:rsidTr="000A0E6B">
        <w:trPr>
          <w:cnfStyle w:val="000000010000" w:firstRow="0" w:lastRow="0" w:firstColumn="0" w:lastColumn="0" w:oddVBand="0" w:evenVBand="0" w:oddHBand="0" w:evenHBand="1" w:firstRowFirstColumn="0" w:firstRowLastColumn="0" w:lastRowFirstColumn="0" w:lastRowLastColumn="0"/>
          <w:cantSplit/>
        </w:trPr>
        <w:tc>
          <w:tcPr>
            <w:tcW w:w="1638" w:type="pct"/>
            <w:hideMark/>
          </w:tcPr>
          <w:p w14:paraId="1D9BA736" w14:textId="77777777" w:rsidR="00342148" w:rsidRPr="00342148" w:rsidRDefault="00342148" w:rsidP="00172730">
            <w:pPr>
              <w:spacing w:before="100" w:after="100" w:line="312" w:lineRule="auto"/>
            </w:pPr>
            <w:r w:rsidRPr="00342148">
              <w:t>Scheme</w:t>
            </w:r>
          </w:p>
        </w:tc>
        <w:tc>
          <w:tcPr>
            <w:tcW w:w="3362" w:type="pct"/>
            <w:hideMark/>
          </w:tcPr>
          <w:p w14:paraId="776A76EA" w14:textId="77777777" w:rsidR="00342148" w:rsidRPr="00342148" w:rsidRDefault="00342148" w:rsidP="00172730">
            <w:pPr>
              <w:spacing w:before="100" w:after="100" w:line="312" w:lineRule="auto"/>
            </w:pPr>
            <w:r w:rsidRPr="00342148">
              <w:t>The National Disability Insurance Scheme (NDIS).</w:t>
            </w:r>
          </w:p>
        </w:tc>
      </w:tr>
      <w:tr w:rsidR="00342148" w:rsidRPr="00342148" w14:paraId="24A0F2DF" w14:textId="77777777" w:rsidTr="000A0E6B">
        <w:trPr>
          <w:cnfStyle w:val="000000100000" w:firstRow="0" w:lastRow="0" w:firstColumn="0" w:lastColumn="0" w:oddVBand="0" w:evenVBand="0" w:oddHBand="1" w:evenHBand="0" w:firstRowFirstColumn="0" w:firstRowLastColumn="0" w:lastRowFirstColumn="0" w:lastRowLastColumn="0"/>
          <w:cantSplit/>
        </w:trPr>
        <w:tc>
          <w:tcPr>
            <w:tcW w:w="1638" w:type="pct"/>
            <w:hideMark/>
          </w:tcPr>
          <w:p w14:paraId="02898A98" w14:textId="77777777" w:rsidR="00342148" w:rsidRPr="00342148" w:rsidRDefault="00342148" w:rsidP="00172730">
            <w:pPr>
              <w:spacing w:before="100" w:after="100" w:line="312" w:lineRule="auto"/>
            </w:pPr>
            <w:r w:rsidRPr="00342148">
              <w:rPr>
                <w:lang w:val="en-GB"/>
              </w:rPr>
              <w:t>Scheme reforms</w:t>
            </w:r>
          </w:p>
        </w:tc>
        <w:tc>
          <w:tcPr>
            <w:tcW w:w="3362" w:type="pct"/>
            <w:hideMark/>
          </w:tcPr>
          <w:p w14:paraId="71969C2B" w14:textId="77777777" w:rsidR="00342148" w:rsidRPr="00342148" w:rsidRDefault="00342148" w:rsidP="00172730">
            <w:pPr>
              <w:spacing w:before="100" w:after="100" w:line="312" w:lineRule="auto"/>
              <w:rPr>
                <w:bCs/>
              </w:rPr>
            </w:pPr>
            <w:r w:rsidRPr="00342148">
              <w:t xml:space="preserve">The actions being taken to make the NDIS stronger. It includes changes brought about or recommended </w:t>
            </w:r>
            <w:r w:rsidRPr="00342148">
              <w:rPr>
                <w:bCs/>
              </w:rPr>
              <w:t>by:</w:t>
            </w:r>
          </w:p>
          <w:p w14:paraId="39F20B3F" w14:textId="77777777" w:rsidR="00342148" w:rsidRPr="00342148" w:rsidRDefault="00342148" w:rsidP="00172730">
            <w:pPr>
              <w:pStyle w:val="TableBullet"/>
              <w:spacing w:line="312" w:lineRule="auto"/>
            </w:pPr>
            <w:hyperlink r:id="rId81" w:history="1">
              <w:r w:rsidRPr="00342148">
                <w:rPr>
                  <w:color w:val="0432FF"/>
                  <w:u w:val="single"/>
                </w:rPr>
                <w:t>changes to NDIS legislation (external)</w:t>
              </w:r>
            </w:hyperlink>
          </w:p>
          <w:p w14:paraId="15A63067" w14:textId="77777777" w:rsidR="00342148" w:rsidRPr="00342148" w:rsidRDefault="00342148" w:rsidP="00172730">
            <w:pPr>
              <w:pStyle w:val="TableBullet"/>
              <w:spacing w:line="312" w:lineRule="auto"/>
            </w:pPr>
            <w:hyperlink r:id="rId82" w:history="1">
              <w:r w:rsidRPr="00342148">
                <w:rPr>
                  <w:color w:val="0432FF"/>
                  <w:u w:val="single"/>
                </w:rPr>
                <w:t>Independent Review into the NDIS (external)</w:t>
              </w:r>
            </w:hyperlink>
          </w:p>
          <w:p w14:paraId="239BA1F5" w14:textId="77777777" w:rsidR="00342148" w:rsidRPr="00342148" w:rsidRDefault="00342148" w:rsidP="00172730">
            <w:pPr>
              <w:pStyle w:val="TableBullet"/>
              <w:spacing w:line="312" w:lineRule="auto"/>
            </w:pPr>
            <w:hyperlink r:id="rId83" w:history="1">
              <w:r w:rsidRPr="00342148">
                <w:rPr>
                  <w:color w:val="0432FF"/>
                  <w:u w:val="single"/>
                </w:rPr>
                <w:t>Royal Commission into Violence, Abuse, Neglect and Exploitation of People with Disability (external)</w:t>
              </w:r>
            </w:hyperlink>
            <w:r w:rsidRPr="00342148">
              <w:t>.</w:t>
            </w:r>
          </w:p>
        </w:tc>
      </w:tr>
      <w:tr w:rsidR="00342148" w:rsidRPr="00342148" w14:paraId="45DA77D3" w14:textId="77777777" w:rsidTr="000A0E6B">
        <w:trPr>
          <w:cnfStyle w:val="000000010000" w:firstRow="0" w:lastRow="0" w:firstColumn="0" w:lastColumn="0" w:oddVBand="0" w:evenVBand="0" w:oddHBand="0" w:evenHBand="1" w:firstRowFirstColumn="0" w:firstRowLastColumn="0" w:lastRowFirstColumn="0" w:lastRowLastColumn="0"/>
          <w:cantSplit/>
        </w:trPr>
        <w:tc>
          <w:tcPr>
            <w:tcW w:w="1638" w:type="pct"/>
            <w:hideMark/>
          </w:tcPr>
          <w:p w14:paraId="4D9217B3" w14:textId="77777777" w:rsidR="00342148" w:rsidRPr="00342148" w:rsidRDefault="00342148" w:rsidP="00172730">
            <w:pPr>
              <w:spacing w:before="100" w:after="100" w:line="312" w:lineRule="auto"/>
              <w:rPr>
                <w:lang w:val="en-GB"/>
              </w:rPr>
            </w:pPr>
            <w:r w:rsidRPr="00342148">
              <w:rPr>
                <w:lang w:val="en-GB"/>
              </w:rPr>
              <w:t>Specialist disability accommodation</w:t>
            </w:r>
          </w:p>
        </w:tc>
        <w:tc>
          <w:tcPr>
            <w:tcW w:w="3362" w:type="pct"/>
            <w:hideMark/>
          </w:tcPr>
          <w:p w14:paraId="78A3FAD3" w14:textId="77777777" w:rsidR="00342148" w:rsidRPr="00342148" w:rsidRDefault="00342148" w:rsidP="00172730">
            <w:pPr>
              <w:spacing w:before="100" w:after="100" w:line="312" w:lineRule="auto"/>
            </w:pPr>
            <w:r w:rsidRPr="00342148">
              <w:t>Housing for people with extreme functional impairment or very high support needs. It has features that help residents live more independently.</w:t>
            </w:r>
          </w:p>
        </w:tc>
      </w:tr>
      <w:tr w:rsidR="00342148" w:rsidRPr="00342148" w14:paraId="56D6AABC" w14:textId="77777777" w:rsidTr="000A0E6B">
        <w:trPr>
          <w:cnfStyle w:val="000000100000" w:firstRow="0" w:lastRow="0" w:firstColumn="0" w:lastColumn="0" w:oddVBand="0" w:evenVBand="0" w:oddHBand="1" w:evenHBand="0" w:firstRowFirstColumn="0" w:firstRowLastColumn="0" w:lastRowFirstColumn="0" w:lastRowLastColumn="0"/>
          <w:cantSplit/>
        </w:trPr>
        <w:tc>
          <w:tcPr>
            <w:tcW w:w="1638" w:type="pct"/>
            <w:hideMark/>
          </w:tcPr>
          <w:p w14:paraId="6933A733" w14:textId="77777777" w:rsidR="00342148" w:rsidRPr="00342148" w:rsidRDefault="00342148" w:rsidP="00172730">
            <w:pPr>
              <w:spacing w:before="100" w:after="100" w:line="312" w:lineRule="auto"/>
              <w:rPr>
                <w:lang w:val="en-GB"/>
              </w:rPr>
            </w:pPr>
            <w:r w:rsidRPr="00342148">
              <w:t>Strategic Commissioning Framework</w:t>
            </w:r>
          </w:p>
        </w:tc>
        <w:tc>
          <w:tcPr>
            <w:tcW w:w="3362" w:type="pct"/>
            <w:hideMark/>
          </w:tcPr>
          <w:p w14:paraId="7DA24FA7" w14:textId="11AD8A75" w:rsidR="00342148" w:rsidRPr="00342148" w:rsidRDefault="00342148" w:rsidP="00172730">
            <w:pPr>
              <w:spacing w:before="100" w:after="100" w:line="312" w:lineRule="auto"/>
            </w:pPr>
            <w:r w:rsidRPr="00342148">
              <w:t>The </w:t>
            </w:r>
            <w:r w:rsidR="00EE6A3E">
              <w:t>Australian Public Service (</w:t>
            </w:r>
            <w:r w:rsidRPr="00342148">
              <w:t>APS</w:t>
            </w:r>
            <w:r w:rsidR="00EE6A3E">
              <w:t>)</w:t>
            </w:r>
            <w:r w:rsidRPr="00342148">
              <w:t xml:space="preserve"> Strategic Commissioning Framework is part of the Government’s commitment to reduce outsourcing and strengthen the capability of the APS.</w:t>
            </w:r>
          </w:p>
        </w:tc>
      </w:tr>
      <w:tr w:rsidR="00342148" w:rsidRPr="00342148" w14:paraId="447135E3" w14:textId="77777777" w:rsidTr="000A0E6B">
        <w:trPr>
          <w:cnfStyle w:val="000000010000" w:firstRow="0" w:lastRow="0" w:firstColumn="0" w:lastColumn="0" w:oddVBand="0" w:evenVBand="0" w:oddHBand="0" w:evenHBand="1" w:firstRowFirstColumn="0" w:firstRowLastColumn="0" w:lastRowFirstColumn="0" w:lastRowLastColumn="0"/>
          <w:cantSplit/>
        </w:trPr>
        <w:tc>
          <w:tcPr>
            <w:tcW w:w="1638" w:type="pct"/>
            <w:hideMark/>
          </w:tcPr>
          <w:p w14:paraId="0460CBE3" w14:textId="77777777" w:rsidR="00342148" w:rsidRPr="00342148" w:rsidRDefault="00342148" w:rsidP="00172730">
            <w:pPr>
              <w:spacing w:before="100" w:after="100" w:line="312" w:lineRule="auto"/>
              <w:rPr>
                <w:lang w:val="en-GB"/>
              </w:rPr>
            </w:pPr>
            <w:r w:rsidRPr="00342148">
              <w:t>Supported independent living</w:t>
            </w:r>
          </w:p>
        </w:tc>
        <w:tc>
          <w:tcPr>
            <w:tcW w:w="3362" w:type="pct"/>
            <w:hideMark/>
          </w:tcPr>
          <w:p w14:paraId="107A71EC" w14:textId="404E4FED" w:rsidR="00342148" w:rsidRPr="00342148" w:rsidRDefault="00342148" w:rsidP="00172730">
            <w:pPr>
              <w:spacing w:before="100" w:after="100" w:line="312" w:lineRule="auto"/>
            </w:pPr>
            <w:r w:rsidRPr="00342148">
              <w:t>Funding for a support worker to help a participant 24</w:t>
            </w:r>
            <w:r w:rsidR="00A73A78">
              <w:t> </w:t>
            </w:r>
            <w:r w:rsidRPr="00342148">
              <w:t>hours a day, 7 days a week with daily tasks (e.g. personal care, cooking meals).</w:t>
            </w:r>
          </w:p>
        </w:tc>
      </w:tr>
      <w:tr w:rsidR="00342148" w:rsidRPr="00342148" w14:paraId="0CB202BC" w14:textId="77777777" w:rsidTr="000A0E6B">
        <w:trPr>
          <w:cnfStyle w:val="000000100000" w:firstRow="0" w:lastRow="0" w:firstColumn="0" w:lastColumn="0" w:oddVBand="0" w:evenVBand="0" w:oddHBand="1" w:evenHBand="0" w:firstRowFirstColumn="0" w:firstRowLastColumn="0" w:lastRowFirstColumn="0" w:lastRowLastColumn="0"/>
          <w:cantSplit/>
        </w:trPr>
        <w:tc>
          <w:tcPr>
            <w:tcW w:w="1638" w:type="pct"/>
            <w:hideMark/>
          </w:tcPr>
          <w:p w14:paraId="462D266C" w14:textId="77777777" w:rsidR="00342148" w:rsidRPr="00342148" w:rsidRDefault="00342148" w:rsidP="00172730">
            <w:pPr>
              <w:spacing w:before="100" w:after="100" w:line="312" w:lineRule="auto"/>
            </w:pPr>
            <w:r w:rsidRPr="00342148">
              <w:t>Thriving Kids</w:t>
            </w:r>
          </w:p>
        </w:tc>
        <w:tc>
          <w:tcPr>
            <w:tcW w:w="3362" w:type="pct"/>
            <w:hideMark/>
          </w:tcPr>
          <w:p w14:paraId="4D27D8B9" w14:textId="77777777" w:rsidR="00342148" w:rsidRPr="00342148" w:rsidRDefault="00342148" w:rsidP="00172730">
            <w:pPr>
              <w:spacing w:before="100" w:after="100" w:line="312" w:lineRule="auto"/>
            </w:pPr>
            <w:r w:rsidRPr="00342148">
              <w:t>Thriving Kids will support children aged 8 and under who need extra help with their development. It will help identify developmental needs earlier and connect children and families to the right support.</w:t>
            </w:r>
          </w:p>
        </w:tc>
      </w:tr>
    </w:tbl>
    <w:p w14:paraId="093E85B6" w14:textId="77777777" w:rsidR="009B4D53" w:rsidRDefault="004530D1">
      <w:pPr>
        <w:spacing w:before="120" w:line="288" w:lineRule="auto"/>
        <w:sectPr w:rsidR="009B4D53" w:rsidSect="00EB1047">
          <w:headerReference w:type="default" r:id="rId84"/>
          <w:footerReference w:type="default" r:id="rId85"/>
          <w:pgSz w:w="11906" w:h="16838" w:code="9"/>
          <w:pgMar w:top="1247" w:right="1440" w:bottom="1247" w:left="1440" w:header="567" w:footer="454" w:gutter="0"/>
          <w:cols w:space="708"/>
          <w:docGrid w:linePitch="360"/>
        </w:sectPr>
      </w:pPr>
      <w:r>
        <w:br w:type="page"/>
      </w:r>
    </w:p>
    <w:p w14:paraId="33EC0C80" w14:textId="77777777" w:rsidR="00FF220A" w:rsidRDefault="00B008D3" w:rsidP="00802AF0">
      <w:pPr>
        <w:pStyle w:val="Heading2"/>
      </w:pPr>
      <w:bookmarkStart w:id="131" w:name="_Toc241826756"/>
      <w:r w:rsidRPr="00B008D3">
        <w:t>Section 8: Indexes</w:t>
      </w:r>
      <w:bookmarkStart w:id="132" w:name="_Toc226723976"/>
      <w:bookmarkEnd w:id="130"/>
      <w:bookmarkEnd w:id="131"/>
    </w:p>
    <w:p w14:paraId="261F93B6" w14:textId="441D5253" w:rsidR="00802AF0" w:rsidRPr="00FF220A" w:rsidRDefault="00802AF0" w:rsidP="00FF220A">
      <w:r w:rsidRPr="00FF220A">
        <w:br w:type="page"/>
      </w:r>
    </w:p>
    <w:p w14:paraId="0D3406C3" w14:textId="431A5584" w:rsidR="00F020B8" w:rsidRDefault="00F020B8" w:rsidP="0085626E">
      <w:pPr>
        <w:pStyle w:val="Heading3"/>
      </w:pPr>
      <w:bookmarkStart w:id="133" w:name="_Toc241826757"/>
      <w:r>
        <w:t>8.1 Compliance indexes</w:t>
      </w:r>
      <w:bookmarkEnd w:id="133"/>
    </w:p>
    <w:p w14:paraId="24726491" w14:textId="0110EFEE" w:rsidR="00B008D3" w:rsidRDefault="004970CD" w:rsidP="00F020B8">
      <w:pPr>
        <w:pStyle w:val="Heading4"/>
      </w:pPr>
      <w:r w:rsidRPr="004970CD">
        <w:t>Public Governance, Performance and Accountability Rule 2014 (PGPA Rule)</w:t>
      </w:r>
      <w:bookmarkEnd w:id="132"/>
    </w:p>
    <w:p w14:paraId="70E57005" w14:textId="77777777" w:rsidR="00A815AC" w:rsidRPr="00C663B1" w:rsidRDefault="00A815AC" w:rsidP="00A815AC">
      <w:r w:rsidRPr="006E104C">
        <w:t>Below is the table set out in Schedule 2A of the PGPA Rule. Section 17BE(u) requires that this table be included in entities’ annual reports.</w:t>
      </w:r>
    </w:p>
    <w:p w14:paraId="42EE886C" w14:textId="7DB9BB7B" w:rsidR="00C8590B" w:rsidRDefault="002D3971" w:rsidP="002D3971">
      <w:pPr>
        <w:pStyle w:val="Caption"/>
      </w:pPr>
      <w:r>
        <w:t xml:space="preserve">Table </w:t>
      </w:r>
      <w:r w:rsidR="00D51B17">
        <w:rPr>
          <w:noProof/>
        </w:rPr>
        <w:t>3</w:t>
      </w:r>
      <w:r w:rsidR="0068179C">
        <w:rPr>
          <w:noProof/>
        </w:rPr>
        <w:t>7</w:t>
      </w:r>
      <w:r>
        <w:t xml:space="preserve">. </w:t>
      </w:r>
      <w:r w:rsidR="00425720">
        <w:t xml:space="preserve">Compliance with the </w:t>
      </w:r>
      <w:r w:rsidR="00A57EBB" w:rsidRPr="007D05E0">
        <w:t>Public Governance, Performance and Accountability Rule 2014</w:t>
      </w:r>
    </w:p>
    <w:tbl>
      <w:tblPr>
        <w:tblStyle w:val="NDISTable1"/>
        <w:tblW w:w="9298"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2098"/>
        <w:gridCol w:w="1587"/>
        <w:gridCol w:w="3912"/>
        <w:gridCol w:w="1701"/>
      </w:tblGrid>
      <w:tr w:rsidR="0064208D" w:rsidRPr="00982555" w14:paraId="515FCECC" w14:textId="77777777" w:rsidTr="00131004">
        <w:trPr>
          <w:cnfStyle w:val="100000000000" w:firstRow="1" w:lastRow="0" w:firstColumn="0" w:lastColumn="0" w:oddVBand="0" w:evenVBand="0" w:oddHBand="0" w:evenHBand="0" w:firstRowFirstColumn="0" w:firstRowLastColumn="0" w:lastRowFirstColumn="0" w:lastRowLastColumn="0"/>
        </w:trPr>
        <w:tc>
          <w:tcPr>
            <w:tcW w:w="2098" w:type="dxa"/>
          </w:tcPr>
          <w:p w14:paraId="53F47951" w14:textId="77777777" w:rsidR="0064208D" w:rsidRPr="00982555" w:rsidRDefault="0064208D" w:rsidP="00EA3B70">
            <w:pPr>
              <w:pStyle w:val="TableBody0"/>
              <w:spacing w:line="312" w:lineRule="auto"/>
              <w:rPr>
                <w:b/>
                <w:bCs/>
              </w:rPr>
            </w:pPr>
            <w:bookmarkStart w:id="134" w:name="_Toc226723977"/>
            <w:r w:rsidRPr="00982555">
              <w:rPr>
                <w:bCs/>
              </w:rPr>
              <w:t xml:space="preserve">Section of </w:t>
            </w:r>
            <w:r>
              <w:rPr>
                <w:bCs/>
              </w:rPr>
              <w:t>PGPA Rule</w:t>
            </w:r>
          </w:p>
        </w:tc>
        <w:tc>
          <w:tcPr>
            <w:tcW w:w="1587" w:type="dxa"/>
          </w:tcPr>
          <w:p w14:paraId="64DEE959" w14:textId="77777777" w:rsidR="0064208D" w:rsidRPr="00982555" w:rsidRDefault="0064208D" w:rsidP="00EA3B70">
            <w:pPr>
              <w:pStyle w:val="TableBody0"/>
              <w:spacing w:line="312" w:lineRule="auto"/>
              <w:rPr>
                <w:b/>
                <w:bCs/>
              </w:rPr>
            </w:pPr>
            <w:r w:rsidRPr="00982555">
              <w:rPr>
                <w:bCs/>
              </w:rPr>
              <w:t>Part of report</w:t>
            </w:r>
          </w:p>
        </w:tc>
        <w:tc>
          <w:tcPr>
            <w:tcW w:w="3912" w:type="dxa"/>
          </w:tcPr>
          <w:p w14:paraId="56AADBC4" w14:textId="77777777" w:rsidR="0064208D" w:rsidRPr="00982555" w:rsidRDefault="0064208D" w:rsidP="00EA3B70">
            <w:pPr>
              <w:pStyle w:val="TableBody0"/>
              <w:spacing w:line="312" w:lineRule="auto"/>
              <w:rPr>
                <w:b/>
                <w:bCs/>
              </w:rPr>
            </w:pPr>
            <w:r w:rsidRPr="00982555">
              <w:rPr>
                <w:bCs/>
              </w:rPr>
              <w:t>Description</w:t>
            </w:r>
          </w:p>
        </w:tc>
        <w:tc>
          <w:tcPr>
            <w:tcW w:w="1701" w:type="dxa"/>
          </w:tcPr>
          <w:p w14:paraId="73BDBF46" w14:textId="77777777" w:rsidR="0064208D" w:rsidRPr="00982555" w:rsidRDefault="0064208D" w:rsidP="00EA3B70">
            <w:pPr>
              <w:pStyle w:val="TableBody0"/>
              <w:spacing w:line="312" w:lineRule="auto"/>
              <w:rPr>
                <w:b/>
                <w:bCs/>
              </w:rPr>
            </w:pPr>
            <w:r w:rsidRPr="00982555">
              <w:rPr>
                <w:bCs/>
              </w:rPr>
              <w:t>Requirement</w:t>
            </w:r>
          </w:p>
        </w:tc>
      </w:tr>
      <w:tr w:rsidR="00E0123B" w:rsidRPr="0054222F" w14:paraId="23C086C5"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638D5760" w14:textId="77777777" w:rsidR="00E0123B" w:rsidRPr="0054222F" w:rsidRDefault="00E0123B" w:rsidP="00EA3B70">
            <w:pPr>
              <w:pStyle w:val="TableBody0"/>
              <w:spacing w:line="312" w:lineRule="auto"/>
            </w:pPr>
            <w:r w:rsidRPr="007A3600">
              <w:rPr>
                <w:b/>
                <w:bCs/>
                <w:color w:val="3B3B3B"/>
              </w:rPr>
              <w:t>17BE</w:t>
            </w:r>
          </w:p>
        </w:tc>
        <w:tc>
          <w:tcPr>
            <w:tcW w:w="1587" w:type="dxa"/>
          </w:tcPr>
          <w:p w14:paraId="405DF3F6" w14:textId="77777777" w:rsidR="00E0123B" w:rsidRPr="0054222F" w:rsidRDefault="00E0123B" w:rsidP="00EA3B70">
            <w:pPr>
              <w:pStyle w:val="TableBody0"/>
              <w:spacing w:line="312" w:lineRule="auto"/>
            </w:pPr>
            <w:r w:rsidRPr="007A3600">
              <w:rPr>
                <w:color w:val="F7EEF7"/>
              </w:rPr>
              <w:t>blank</w:t>
            </w:r>
          </w:p>
        </w:tc>
        <w:tc>
          <w:tcPr>
            <w:tcW w:w="3912" w:type="dxa"/>
          </w:tcPr>
          <w:p w14:paraId="6F650865" w14:textId="77777777" w:rsidR="00E0123B" w:rsidRPr="0054222F" w:rsidRDefault="00E0123B" w:rsidP="00EA3B70">
            <w:pPr>
              <w:pStyle w:val="TableBody0"/>
              <w:spacing w:line="312" w:lineRule="auto"/>
            </w:pPr>
            <w:r w:rsidRPr="007A3600">
              <w:rPr>
                <w:b/>
                <w:bCs/>
                <w:color w:val="3B3B3B"/>
              </w:rPr>
              <w:t>Contents of the annual report</w:t>
            </w:r>
          </w:p>
        </w:tc>
        <w:tc>
          <w:tcPr>
            <w:tcW w:w="1701" w:type="dxa"/>
          </w:tcPr>
          <w:p w14:paraId="11FFF757" w14:textId="77777777" w:rsidR="00E0123B" w:rsidRPr="0054222F" w:rsidRDefault="00E0123B" w:rsidP="00EA3B70">
            <w:pPr>
              <w:pStyle w:val="TableBody0"/>
              <w:spacing w:line="312" w:lineRule="auto"/>
            </w:pPr>
            <w:r w:rsidRPr="007A3600">
              <w:rPr>
                <w:color w:val="F7EEF7"/>
              </w:rPr>
              <w:t>blank</w:t>
            </w:r>
          </w:p>
        </w:tc>
      </w:tr>
      <w:tr w:rsidR="00E0123B" w:rsidRPr="0054222F" w14:paraId="304BC61C"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2BFEF5F4" w14:textId="77777777" w:rsidR="00E0123B" w:rsidRPr="0054222F" w:rsidRDefault="00E0123B" w:rsidP="00EA3B70">
            <w:pPr>
              <w:pStyle w:val="TableBody0"/>
              <w:spacing w:line="312" w:lineRule="auto"/>
            </w:pPr>
            <w:r w:rsidRPr="007A3600">
              <w:rPr>
                <w:color w:val="3B3B3B"/>
              </w:rPr>
              <w:t>17BE(a)</w:t>
            </w:r>
          </w:p>
        </w:tc>
        <w:tc>
          <w:tcPr>
            <w:tcW w:w="1587" w:type="dxa"/>
          </w:tcPr>
          <w:p w14:paraId="6F2E68EE" w14:textId="462ABE59" w:rsidR="00E0123B" w:rsidRPr="0054222F" w:rsidRDefault="00136115" w:rsidP="00EA3B70">
            <w:pPr>
              <w:pStyle w:val="TableBody0"/>
              <w:spacing w:line="312" w:lineRule="auto"/>
            </w:pPr>
            <w:r>
              <w:t>1.5</w:t>
            </w:r>
          </w:p>
        </w:tc>
        <w:tc>
          <w:tcPr>
            <w:tcW w:w="3912" w:type="dxa"/>
          </w:tcPr>
          <w:p w14:paraId="627C63C0" w14:textId="77777777" w:rsidR="00E0123B" w:rsidRPr="0054222F" w:rsidRDefault="00E0123B" w:rsidP="00EA3B70">
            <w:pPr>
              <w:pStyle w:val="TableBody0"/>
              <w:spacing w:line="312" w:lineRule="auto"/>
            </w:pPr>
            <w:r w:rsidRPr="007A3600">
              <w:rPr>
                <w:color w:val="3B3B3B"/>
              </w:rPr>
              <w:t>Details of the legislation establishing the body</w:t>
            </w:r>
          </w:p>
        </w:tc>
        <w:tc>
          <w:tcPr>
            <w:tcW w:w="1701" w:type="dxa"/>
          </w:tcPr>
          <w:p w14:paraId="590BAF2A" w14:textId="77777777" w:rsidR="00E0123B" w:rsidRPr="0054222F" w:rsidRDefault="00E0123B" w:rsidP="00EA3B70">
            <w:pPr>
              <w:pStyle w:val="TableBody0"/>
              <w:spacing w:line="312" w:lineRule="auto"/>
            </w:pPr>
            <w:r w:rsidRPr="007A3600">
              <w:rPr>
                <w:color w:val="3B3B3B"/>
              </w:rPr>
              <w:t>Mandatory</w:t>
            </w:r>
          </w:p>
        </w:tc>
      </w:tr>
      <w:tr w:rsidR="00E0123B" w:rsidRPr="0054222F" w14:paraId="0B589FA8"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65FBF091" w14:textId="77777777" w:rsidR="00E0123B" w:rsidRPr="007A3600" w:rsidRDefault="00E0123B" w:rsidP="00EA3B70">
            <w:pPr>
              <w:pStyle w:val="TableBody0"/>
              <w:spacing w:line="312" w:lineRule="auto"/>
              <w:rPr>
                <w:color w:val="3B3B3B"/>
              </w:rPr>
            </w:pPr>
            <w:r w:rsidRPr="007A3600">
              <w:rPr>
                <w:color w:val="3B3B3B"/>
              </w:rPr>
              <w:t>17BE(b)(i)</w:t>
            </w:r>
          </w:p>
        </w:tc>
        <w:tc>
          <w:tcPr>
            <w:tcW w:w="1587" w:type="dxa"/>
          </w:tcPr>
          <w:p w14:paraId="0D48E70F" w14:textId="5841E11E" w:rsidR="00E0123B" w:rsidRDefault="000866EE" w:rsidP="00EA3B70">
            <w:pPr>
              <w:pStyle w:val="TableBody0"/>
              <w:spacing w:line="312" w:lineRule="auto"/>
            </w:pPr>
            <w:r>
              <w:t>1.4</w:t>
            </w:r>
          </w:p>
        </w:tc>
        <w:tc>
          <w:tcPr>
            <w:tcW w:w="3912" w:type="dxa"/>
          </w:tcPr>
          <w:p w14:paraId="40D4F202" w14:textId="77777777" w:rsidR="00E0123B" w:rsidRPr="007A3600" w:rsidRDefault="00E0123B" w:rsidP="00EA3B70">
            <w:pPr>
              <w:pStyle w:val="TableBody0"/>
              <w:spacing w:line="312" w:lineRule="auto"/>
              <w:rPr>
                <w:color w:val="3B3B3B"/>
              </w:rPr>
            </w:pPr>
            <w:r w:rsidRPr="007A3600">
              <w:rPr>
                <w:color w:val="3B3B3B"/>
              </w:rPr>
              <w:t>A summary of the objects and functions of the entity as set out in legislation</w:t>
            </w:r>
          </w:p>
        </w:tc>
        <w:tc>
          <w:tcPr>
            <w:tcW w:w="1701" w:type="dxa"/>
          </w:tcPr>
          <w:p w14:paraId="4454FC1C" w14:textId="77777777" w:rsidR="00E0123B" w:rsidRPr="007A3600" w:rsidRDefault="00E0123B" w:rsidP="00EA3B70">
            <w:pPr>
              <w:pStyle w:val="TableBody0"/>
              <w:spacing w:line="312" w:lineRule="auto"/>
              <w:rPr>
                <w:color w:val="3B3B3B"/>
              </w:rPr>
            </w:pPr>
            <w:r w:rsidRPr="007A3600">
              <w:rPr>
                <w:color w:val="3B3B3B"/>
              </w:rPr>
              <w:t>Mandatory</w:t>
            </w:r>
          </w:p>
        </w:tc>
      </w:tr>
      <w:tr w:rsidR="00E0123B" w:rsidRPr="0054222F" w14:paraId="5BCB8C3D"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61F1AF92" w14:textId="77777777" w:rsidR="00E0123B" w:rsidRPr="007A3600" w:rsidRDefault="00E0123B" w:rsidP="00EA3B70">
            <w:pPr>
              <w:pStyle w:val="TableBody0"/>
              <w:spacing w:line="312" w:lineRule="auto"/>
              <w:rPr>
                <w:color w:val="3B3B3B"/>
              </w:rPr>
            </w:pPr>
            <w:r w:rsidRPr="007A3600">
              <w:rPr>
                <w:color w:val="3B3B3B"/>
              </w:rPr>
              <w:t>17BE(b)(ii)</w:t>
            </w:r>
          </w:p>
        </w:tc>
        <w:tc>
          <w:tcPr>
            <w:tcW w:w="1587" w:type="dxa"/>
          </w:tcPr>
          <w:p w14:paraId="0FE94F15" w14:textId="19293B44" w:rsidR="00E0123B" w:rsidRDefault="00634014" w:rsidP="00EA3B70">
            <w:pPr>
              <w:pStyle w:val="TableBody0"/>
              <w:spacing w:line="312" w:lineRule="auto"/>
            </w:pPr>
            <w:r>
              <w:t>1.4</w:t>
            </w:r>
          </w:p>
        </w:tc>
        <w:tc>
          <w:tcPr>
            <w:tcW w:w="3912" w:type="dxa"/>
          </w:tcPr>
          <w:p w14:paraId="048B8058" w14:textId="77777777" w:rsidR="00E0123B" w:rsidRPr="007A3600" w:rsidRDefault="00E0123B" w:rsidP="00EA3B70">
            <w:pPr>
              <w:pStyle w:val="TableBody0"/>
              <w:spacing w:line="312" w:lineRule="auto"/>
              <w:rPr>
                <w:color w:val="3B3B3B"/>
              </w:rPr>
            </w:pPr>
            <w:r w:rsidRPr="007A3600">
              <w:rPr>
                <w:color w:val="3B3B3B"/>
              </w:rPr>
              <w:t>The purposes of the entity as included in the entity’s corporate plan for the reporting period</w:t>
            </w:r>
          </w:p>
        </w:tc>
        <w:tc>
          <w:tcPr>
            <w:tcW w:w="1701" w:type="dxa"/>
          </w:tcPr>
          <w:p w14:paraId="76C76DC8" w14:textId="77777777" w:rsidR="00E0123B" w:rsidRPr="007A3600" w:rsidRDefault="00E0123B" w:rsidP="00EA3B70">
            <w:pPr>
              <w:pStyle w:val="TableBody0"/>
              <w:spacing w:line="312" w:lineRule="auto"/>
              <w:rPr>
                <w:color w:val="3B3B3B"/>
              </w:rPr>
            </w:pPr>
            <w:r w:rsidRPr="007A3600">
              <w:rPr>
                <w:color w:val="3B3B3B"/>
              </w:rPr>
              <w:t>Mandatory</w:t>
            </w:r>
          </w:p>
        </w:tc>
      </w:tr>
      <w:tr w:rsidR="00E0123B" w:rsidRPr="0054222F" w14:paraId="2181F3B2"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2ACFE04B" w14:textId="77777777" w:rsidR="00E0123B" w:rsidRPr="007A3600" w:rsidRDefault="00E0123B" w:rsidP="00EA3B70">
            <w:pPr>
              <w:pStyle w:val="TableBody0"/>
              <w:spacing w:line="312" w:lineRule="auto"/>
              <w:rPr>
                <w:color w:val="3B3B3B"/>
              </w:rPr>
            </w:pPr>
            <w:r w:rsidRPr="007A3600">
              <w:rPr>
                <w:color w:val="3B3B3B"/>
              </w:rPr>
              <w:t>17BE(c)</w:t>
            </w:r>
          </w:p>
        </w:tc>
        <w:tc>
          <w:tcPr>
            <w:tcW w:w="1587" w:type="dxa"/>
          </w:tcPr>
          <w:p w14:paraId="03DC78D0" w14:textId="3EDB8565" w:rsidR="00E0123B" w:rsidRDefault="009231B7" w:rsidP="00EA3B70">
            <w:pPr>
              <w:pStyle w:val="TableBody0"/>
              <w:spacing w:line="312" w:lineRule="auto"/>
            </w:pPr>
            <w:r>
              <w:t>4.1</w:t>
            </w:r>
          </w:p>
        </w:tc>
        <w:tc>
          <w:tcPr>
            <w:tcW w:w="3912" w:type="dxa"/>
          </w:tcPr>
          <w:p w14:paraId="3C1375B1" w14:textId="77777777" w:rsidR="00E0123B" w:rsidRPr="007A3600" w:rsidRDefault="00E0123B" w:rsidP="00EA3B70">
            <w:pPr>
              <w:pStyle w:val="TableBody0"/>
              <w:spacing w:line="312" w:lineRule="auto"/>
              <w:rPr>
                <w:color w:val="3B3B3B"/>
              </w:rPr>
            </w:pPr>
            <w:r w:rsidRPr="007A3600">
              <w:rPr>
                <w:color w:val="3B3B3B"/>
              </w:rPr>
              <w:t>The names of the persons holding the position of responsible Minister or responsible Ministers during the reporting period, and the titles of those responsible Ministers</w:t>
            </w:r>
          </w:p>
        </w:tc>
        <w:tc>
          <w:tcPr>
            <w:tcW w:w="1701" w:type="dxa"/>
          </w:tcPr>
          <w:p w14:paraId="5196CEA2" w14:textId="77777777" w:rsidR="00E0123B" w:rsidRPr="007A3600" w:rsidRDefault="00E0123B" w:rsidP="00EA3B70">
            <w:pPr>
              <w:pStyle w:val="TableBody0"/>
              <w:spacing w:line="312" w:lineRule="auto"/>
              <w:rPr>
                <w:color w:val="3B3B3B"/>
              </w:rPr>
            </w:pPr>
            <w:r w:rsidRPr="007A3600">
              <w:rPr>
                <w:color w:val="3B3B3B"/>
              </w:rPr>
              <w:t>Mandatory</w:t>
            </w:r>
          </w:p>
        </w:tc>
      </w:tr>
      <w:tr w:rsidR="00E0123B" w:rsidRPr="0054222F" w14:paraId="212ADE9D"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116EBB26" w14:textId="77777777" w:rsidR="00E0123B" w:rsidRPr="007A3600" w:rsidRDefault="00E0123B" w:rsidP="00EA3B70">
            <w:pPr>
              <w:pStyle w:val="TableBody0"/>
              <w:spacing w:line="312" w:lineRule="auto"/>
              <w:rPr>
                <w:color w:val="3B3B3B"/>
              </w:rPr>
            </w:pPr>
            <w:r w:rsidRPr="007A3600">
              <w:rPr>
                <w:color w:val="3B3B3B"/>
              </w:rPr>
              <w:t>17BE(d)</w:t>
            </w:r>
          </w:p>
        </w:tc>
        <w:tc>
          <w:tcPr>
            <w:tcW w:w="1587" w:type="dxa"/>
          </w:tcPr>
          <w:p w14:paraId="600E5F38" w14:textId="7A0C674E" w:rsidR="00E0123B" w:rsidRDefault="009231B7" w:rsidP="00EA3B70">
            <w:pPr>
              <w:pStyle w:val="TableBody0"/>
              <w:spacing w:line="312" w:lineRule="auto"/>
            </w:pPr>
            <w:r>
              <w:t>4.1</w:t>
            </w:r>
          </w:p>
        </w:tc>
        <w:tc>
          <w:tcPr>
            <w:tcW w:w="3912" w:type="dxa"/>
          </w:tcPr>
          <w:p w14:paraId="2267CCF3" w14:textId="77777777" w:rsidR="00E0123B" w:rsidRPr="007A3600" w:rsidRDefault="00E0123B" w:rsidP="00EA3B70">
            <w:pPr>
              <w:pStyle w:val="TableBody0"/>
              <w:spacing w:line="312" w:lineRule="auto"/>
              <w:rPr>
                <w:color w:val="3B3B3B"/>
              </w:rPr>
            </w:pPr>
            <w:r w:rsidRPr="007A3600">
              <w:rPr>
                <w:color w:val="3B3B3B"/>
              </w:rPr>
              <w:t>Directions given to the entity by the Minister under an Act or instrument during the reporting period</w:t>
            </w:r>
          </w:p>
        </w:tc>
        <w:tc>
          <w:tcPr>
            <w:tcW w:w="1701" w:type="dxa"/>
          </w:tcPr>
          <w:p w14:paraId="032E4572"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4CB1C270"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04AAE95C" w14:textId="77777777" w:rsidR="00E0123B" w:rsidRPr="007A3600" w:rsidRDefault="00E0123B" w:rsidP="00EA3B70">
            <w:pPr>
              <w:pStyle w:val="TableBody0"/>
              <w:spacing w:line="312" w:lineRule="auto"/>
              <w:rPr>
                <w:color w:val="3B3B3B"/>
              </w:rPr>
            </w:pPr>
            <w:r w:rsidRPr="007A3600">
              <w:rPr>
                <w:color w:val="3B3B3B"/>
              </w:rPr>
              <w:t>17BE(e)</w:t>
            </w:r>
          </w:p>
        </w:tc>
        <w:tc>
          <w:tcPr>
            <w:tcW w:w="1587" w:type="dxa"/>
          </w:tcPr>
          <w:p w14:paraId="2BC71B01" w14:textId="63275630" w:rsidR="00E0123B" w:rsidRDefault="009231B7" w:rsidP="00EA3B70">
            <w:pPr>
              <w:pStyle w:val="TableBody0"/>
              <w:spacing w:line="312" w:lineRule="auto"/>
            </w:pPr>
            <w:r>
              <w:t>4.1</w:t>
            </w:r>
          </w:p>
        </w:tc>
        <w:tc>
          <w:tcPr>
            <w:tcW w:w="3912" w:type="dxa"/>
          </w:tcPr>
          <w:p w14:paraId="1063D221" w14:textId="77777777" w:rsidR="00E0123B" w:rsidRPr="007A3600" w:rsidRDefault="00E0123B" w:rsidP="00EA3B70">
            <w:pPr>
              <w:pStyle w:val="TableBody0"/>
              <w:spacing w:line="312" w:lineRule="auto"/>
              <w:rPr>
                <w:color w:val="3B3B3B"/>
              </w:rPr>
            </w:pPr>
            <w:r w:rsidRPr="007A3600">
              <w:rPr>
                <w:color w:val="3B3B3B"/>
              </w:rPr>
              <w:t>Any government policy order that applied in relation to the entity during the reporting period under section 22 of the Act</w:t>
            </w:r>
          </w:p>
        </w:tc>
        <w:tc>
          <w:tcPr>
            <w:tcW w:w="1701" w:type="dxa"/>
          </w:tcPr>
          <w:p w14:paraId="6080EA84"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4A99879B"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5A7D1F86" w14:textId="77777777" w:rsidR="00E0123B" w:rsidRPr="007A3600" w:rsidRDefault="00E0123B" w:rsidP="00EA3B70">
            <w:pPr>
              <w:pStyle w:val="TableBody0"/>
              <w:spacing w:line="312" w:lineRule="auto"/>
              <w:rPr>
                <w:color w:val="3B3B3B"/>
              </w:rPr>
            </w:pPr>
            <w:r w:rsidRPr="007A3600">
              <w:rPr>
                <w:color w:val="3B3B3B"/>
              </w:rPr>
              <w:t>17BE(f)</w:t>
            </w:r>
          </w:p>
        </w:tc>
        <w:tc>
          <w:tcPr>
            <w:tcW w:w="1587" w:type="dxa"/>
          </w:tcPr>
          <w:p w14:paraId="0D2F338C" w14:textId="4EEAFD78" w:rsidR="00E0123B" w:rsidRDefault="008170EF" w:rsidP="00EA3B70">
            <w:pPr>
              <w:pStyle w:val="TableBody0"/>
              <w:spacing w:line="312" w:lineRule="auto"/>
            </w:pPr>
            <w:r>
              <w:t>4.1</w:t>
            </w:r>
          </w:p>
        </w:tc>
        <w:tc>
          <w:tcPr>
            <w:tcW w:w="3912" w:type="dxa"/>
          </w:tcPr>
          <w:p w14:paraId="66D9297F" w14:textId="77777777" w:rsidR="00E0123B" w:rsidRPr="007A3600" w:rsidRDefault="00E0123B" w:rsidP="00EA3B70">
            <w:pPr>
              <w:spacing w:before="60" w:after="0" w:line="312" w:lineRule="auto"/>
              <w:rPr>
                <w:rFonts w:cs="Arial"/>
                <w:color w:val="3B3B3B"/>
              </w:rPr>
            </w:pPr>
            <w:r w:rsidRPr="007A3600">
              <w:rPr>
                <w:rFonts w:cs="Arial"/>
                <w:color w:val="3B3B3B"/>
              </w:rPr>
              <w:t>Particulars of non-compliance with:</w:t>
            </w:r>
          </w:p>
          <w:p w14:paraId="3419CA59" w14:textId="77777777" w:rsidR="00E0123B" w:rsidRPr="007A3600" w:rsidRDefault="00E0123B" w:rsidP="00EA3B70">
            <w:pPr>
              <w:spacing w:before="60" w:after="0" w:line="312" w:lineRule="auto"/>
              <w:ind w:left="397" w:hanging="397"/>
              <w:rPr>
                <w:rFonts w:cs="Arial"/>
                <w:color w:val="3B3B3B"/>
              </w:rPr>
            </w:pPr>
            <w:r w:rsidRPr="007A3600">
              <w:rPr>
                <w:rFonts w:cs="Arial"/>
                <w:color w:val="3B3B3B"/>
              </w:rPr>
              <w:t>(a)</w:t>
            </w:r>
            <w:r w:rsidRPr="007A3600">
              <w:rPr>
                <w:rFonts w:cs="Arial"/>
                <w:color w:val="3B3B3B"/>
              </w:rPr>
              <w:tab/>
              <w:t>a direction given to the entity by the Minister under an Act or instrument during the reporting period; or</w:t>
            </w:r>
          </w:p>
          <w:p w14:paraId="5C7490AC" w14:textId="77777777" w:rsidR="00E0123B" w:rsidRPr="007A3600" w:rsidRDefault="00E0123B" w:rsidP="00EA3B70">
            <w:pPr>
              <w:pStyle w:val="TableBody0"/>
              <w:spacing w:before="60" w:after="0" w:line="312" w:lineRule="auto"/>
              <w:ind w:left="397" w:hanging="397"/>
              <w:rPr>
                <w:color w:val="3B3B3B"/>
              </w:rPr>
            </w:pPr>
            <w:r w:rsidRPr="007A3600">
              <w:rPr>
                <w:color w:val="3B3B3B"/>
              </w:rPr>
              <w:t>(b)</w:t>
            </w:r>
            <w:r w:rsidRPr="007A3600">
              <w:rPr>
                <w:color w:val="3B3B3B"/>
              </w:rPr>
              <w:tab/>
              <w:t>a government policy order that applied in relation to the entity during the reporting period under section 22 of the Act</w:t>
            </w:r>
          </w:p>
        </w:tc>
        <w:tc>
          <w:tcPr>
            <w:tcW w:w="1701" w:type="dxa"/>
          </w:tcPr>
          <w:p w14:paraId="7EDEF63D"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3405F3CB"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7EF4327A" w14:textId="77777777" w:rsidR="00E0123B" w:rsidRPr="007A3600" w:rsidRDefault="00E0123B" w:rsidP="00EA3B70">
            <w:pPr>
              <w:pStyle w:val="TableBody0"/>
              <w:spacing w:line="312" w:lineRule="auto"/>
              <w:rPr>
                <w:color w:val="3B3B3B"/>
              </w:rPr>
            </w:pPr>
            <w:r w:rsidRPr="007A3600">
              <w:rPr>
                <w:color w:val="3B3B3B"/>
              </w:rPr>
              <w:t>17BE(g)</w:t>
            </w:r>
          </w:p>
        </w:tc>
        <w:tc>
          <w:tcPr>
            <w:tcW w:w="1587" w:type="dxa"/>
          </w:tcPr>
          <w:p w14:paraId="7941651B" w14:textId="2BB0F186" w:rsidR="00E0123B" w:rsidRDefault="000A7531" w:rsidP="00EA3B70">
            <w:pPr>
              <w:pStyle w:val="TableBody0"/>
              <w:spacing w:line="312" w:lineRule="auto"/>
            </w:pPr>
            <w:r>
              <w:t>2</w:t>
            </w:r>
          </w:p>
        </w:tc>
        <w:tc>
          <w:tcPr>
            <w:tcW w:w="3912" w:type="dxa"/>
          </w:tcPr>
          <w:p w14:paraId="5CD0C780" w14:textId="77777777" w:rsidR="00E0123B" w:rsidRPr="007A3600" w:rsidRDefault="00E0123B" w:rsidP="00EA3B70">
            <w:pPr>
              <w:pStyle w:val="TableBody0"/>
              <w:spacing w:line="312" w:lineRule="auto"/>
              <w:rPr>
                <w:color w:val="3B3B3B"/>
              </w:rPr>
            </w:pPr>
            <w:r w:rsidRPr="007A3600">
              <w:rPr>
                <w:color w:val="3B3B3B"/>
              </w:rPr>
              <w:t>Annual performance statements in accordance with paragraph 39(1)(b) of the Act and section 16F of the rule</w:t>
            </w:r>
          </w:p>
        </w:tc>
        <w:tc>
          <w:tcPr>
            <w:tcW w:w="1701" w:type="dxa"/>
          </w:tcPr>
          <w:p w14:paraId="50825BBB" w14:textId="77777777" w:rsidR="00E0123B" w:rsidRPr="007A3600" w:rsidRDefault="00E0123B" w:rsidP="00EA3B70">
            <w:pPr>
              <w:pStyle w:val="TableBody0"/>
              <w:spacing w:line="312" w:lineRule="auto"/>
              <w:rPr>
                <w:color w:val="3B3B3B"/>
              </w:rPr>
            </w:pPr>
            <w:r w:rsidRPr="007A3600">
              <w:rPr>
                <w:color w:val="3B3B3B"/>
              </w:rPr>
              <w:t>Mandatory</w:t>
            </w:r>
          </w:p>
        </w:tc>
      </w:tr>
      <w:tr w:rsidR="00E0123B" w:rsidRPr="0054222F" w14:paraId="658DCCFC"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63668AEF" w14:textId="77777777" w:rsidR="00E0123B" w:rsidRPr="007A3600" w:rsidRDefault="00E0123B" w:rsidP="00EA3B70">
            <w:pPr>
              <w:pStyle w:val="TableBody0"/>
              <w:spacing w:line="312" w:lineRule="auto"/>
              <w:rPr>
                <w:color w:val="3B3B3B"/>
              </w:rPr>
            </w:pPr>
            <w:r w:rsidRPr="007A3600">
              <w:rPr>
                <w:color w:val="3B3B3B"/>
              </w:rPr>
              <w:t>17BE(h),</w:t>
            </w:r>
            <w:r w:rsidRPr="007A3600">
              <w:rPr>
                <w:color w:val="3B3B3B"/>
              </w:rPr>
              <w:br/>
              <w:t>17BE(i)</w:t>
            </w:r>
          </w:p>
        </w:tc>
        <w:tc>
          <w:tcPr>
            <w:tcW w:w="1587" w:type="dxa"/>
          </w:tcPr>
          <w:p w14:paraId="6FECEB02" w14:textId="591E28F2" w:rsidR="00E0123B" w:rsidRDefault="00C76D31" w:rsidP="00EA3B70">
            <w:pPr>
              <w:pStyle w:val="TableBody0"/>
              <w:spacing w:line="312" w:lineRule="auto"/>
            </w:pPr>
            <w:r>
              <w:t>4.1</w:t>
            </w:r>
          </w:p>
        </w:tc>
        <w:tc>
          <w:tcPr>
            <w:tcW w:w="3912" w:type="dxa"/>
          </w:tcPr>
          <w:p w14:paraId="6F00930D" w14:textId="77777777" w:rsidR="00E0123B" w:rsidRPr="007A3600" w:rsidRDefault="00E0123B" w:rsidP="00EA3B70">
            <w:pPr>
              <w:pStyle w:val="TableBody0"/>
              <w:spacing w:line="312" w:lineRule="auto"/>
              <w:rPr>
                <w:color w:val="3B3B3B"/>
              </w:rPr>
            </w:pPr>
            <w:r w:rsidRPr="007A3600">
              <w:rPr>
                <w:color w:val="3B3B3B"/>
              </w:rPr>
              <w:t>A statement of significant issues reported to the Minister under paragraph 19(1)(e) of the Act that relates to non-compliance with finance law and action taken to remedy non-compliance</w:t>
            </w:r>
          </w:p>
        </w:tc>
        <w:tc>
          <w:tcPr>
            <w:tcW w:w="1701" w:type="dxa"/>
          </w:tcPr>
          <w:p w14:paraId="04164626"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2A337A86"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0BFDCDB2" w14:textId="77777777" w:rsidR="00E0123B" w:rsidRPr="007A3600" w:rsidRDefault="00E0123B" w:rsidP="00EA3B70">
            <w:pPr>
              <w:pStyle w:val="TableBody0"/>
              <w:spacing w:line="312" w:lineRule="auto"/>
              <w:rPr>
                <w:color w:val="3B3B3B"/>
              </w:rPr>
            </w:pPr>
            <w:r w:rsidRPr="007A3600">
              <w:rPr>
                <w:color w:val="3B3B3B"/>
              </w:rPr>
              <w:t>17BE(j)</w:t>
            </w:r>
          </w:p>
        </w:tc>
        <w:tc>
          <w:tcPr>
            <w:tcW w:w="1587" w:type="dxa"/>
          </w:tcPr>
          <w:p w14:paraId="22C8D997" w14:textId="198AA0E2" w:rsidR="00E0123B" w:rsidRDefault="008170EF" w:rsidP="00EA3B70">
            <w:pPr>
              <w:pStyle w:val="TableBody0"/>
              <w:spacing w:line="312" w:lineRule="auto"/>
            </w:pPr>
            <w:r>
              <w:t>4.1</w:t>
            </w:r>
          </w:p>
        </w:tc>
        <w:tc>
          <w:tcPr>
            <w:tcW w:w="3912" w:type="dxa"/>
          </w:tcPr>
          <w:p w14:paraId="0E504AFA" w14:textId="77777777" w:rsidR="00E0123B" w:rsidRPr="007A3600" w:rsidRDefault="00E0123B" w:rsidP="00EA3B70">
            <w:pPr>
              <w:pStyle w:val="TableBody0"/>
              <w:spacing w:line="312" w:lineRule="auto"/>
              <w:rPr>
                <w:color w:val="3B3B3B"/>
              </w:rPr>
            </w:pPr>
            <w:r w:rsidRPr="007A3600">
              <w:rPr>
                <w:color w:val="3B3B3B"/>
              </w:rPr>
              <w:t>Information on the accountable authority, or each member of the accountable authority, of the entity during the reporting period</w:t>
            </w:r>
          </w:p>
        </w:tc>
        <w:tc>
          <w:tcPr>
            <w:tcW w:w="1701" w:type="dxa"/>
          </w:tcPr>
          <w:p w14:paraId="3959197C" w14:textId="77777777" w:rsidR="00E0123B" w:rsidRPr="007A3600" w:rsidRDefault="00E0123B" w:rsidP="00EA3B70">
            <w:pPr>
              <w:pStyle w:val="TableBody0"/>
              <w:spacing w:line="312" w:lineRule="auto"/>
              <w:rPr>
                <w:color w:val="3B3B3B"/>
              </w:rPr>
            </w:pPr>
            <w:r w:rsidRPr="007A3600">
              <w:rPr>
                <w:color w:val="3B3B3B"/>
              </w:rPr>
              <w:t>Mandatory</w:t>
            </w:r>
          </w:p>
        </w:tc>
      </w:tr>
      <w:tr w:rsidR="00E0123B" w:rsidRPr="0054222F" w14:paraId="3145F6B9"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13F01D4E" w14:textId="77777777" w:rsidR="00E0123B" w:rsidRPr="007A3600" w:rsidRDefault="00E0123B" w:rsidP="00EA3B70">
            <w:pPr>
              <w:pStyle w:val="TableBody0"/>
              <w:spacing w:line="312" w:lineRule="auto"/>
              <w:rPr>
                <w:color w:val="3B3B3B"/>
              </w:rPr>
            </w:pPr>
            <w:r w:rsidRPr="007A3600">
              <w:rPr>
                <w:color w:val="3B3B3B"/>
              </w:rPr>
              <w:t>17BE(k)</w:t>
            </w:r>
          </w:p>
        </w:tc>
        <w:tc>
          <w:tcPr>
            <w:tcW w:w="1587" w:type="dxa"/>
          </w:tcPr>
          <w:p w14:paraId="7DA0FCC5" w14:textId="41DCC8C6" w:rsidR="00E0123B" w:rsidRDefault="00590A5B" w:rsidP="00EA3B70">
            <w:pPr>
              <w:pStyle w:val="TableBody0"/>
              <w:spacing w:line="312" w:lineRule="auto"/>
            </w:pPr>
            <w:r>
              <w:t>4.2</w:t>
            </w:r>
          </w:p>
        </w:tc>
        <w:tc>
          <w:tcPr>
            <w:tcW w:w="3912" w:type="dxa"/>
          </w:tcPr>
          <w:p w14:paraId="240DFDB1" w14:textId="77777777" w:rsidR="00E0123B" w:rsidRPr="007A3600" w:rsidRDefault="00E0123B" w:rsidP="00EA3B70">
            <w:pPr>
              <w:pStyle w:val="TableBody0"/>
              <w:spacing w:line="312" w:lineRule="auto"/>
              <w:rPr>
                <w:color w:val="3B3B3B"/>
              </w:rPr>
            </w:pPr>
            <w:r w:rsidRPr="007A3600">
              <w:rPr>
                <w:color w:val="3B3B3B"/>
              </w:rPr>
              <w:t>Outline of the organisational structure of the entity (including any subsidiaries of the entity)</w:t>
            </w:r>
          </w:p>
        </w:tc>
        <w:tc>
          <w:tcPr>
            <w:tcW w:w="1701" w:type="dxa"/>
          </w:tcPr>
          <w:p w14:paraId="47CA26F9" w14:textId="77777777" w:rsidR="00E0123B" w:rsidRPr="007A3600" w:rsidRDefault="00E0123B" w:rsidP="00EA3B70">
            <w:pPr>
              <w:pStyle w:val="TableBody0"/>
              <w:spacing w:line="312" w:lineRule="auto"/>
              <w:rPr>
                <w:color w:val="3B3B3B"/>
              </w:rPr>
            </w:pPr>
            <w:r w:rsidRPr="007A3600">
              <w:rPr>
                <w:color w:val="3B3B3B"/>
              </w:rPr>
              <w:t>Mandatory</w:t>
            </w:r>
          </w:p>
        </w:tc>
      </w:tr>
      <w:tr w:rsidR="00E0123B" w:rsidRPr="0054222F" w14:paraId="27F1EBCE"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6416EFFF" w14:textId="77777777" w:rsidR="00E0123B" w:rsidRPr="007A3600" w:rsidRDefault="00E0123B" w:rsidP="00EA3B70">
            <w:pPr>
              <w:pStyle w:val="TableBody0"/>
              <w:spacing w:line="312" w:lineRule="auto"/>
              <w:rPr>
                <w:color w:val="3B3B3B"/>
              </w:rPr>
            </w:pPr>
            <w:r w:rsidRPr="007A3600">
              <w:rPr>
                <w:color w:val="3B3B3B"/>
              </w:rPr>
              <w:t>17BE(ka)</w:t>
            </w:r>
          </w:p>
        </w:tc>
        <w:tc>
          <w:tcPr>
            <w:tcW w:w="1587" w:type="dxa"/>
          </w:tcPr>
          <w:p w14:paraId="7A664BC9" w14:textId="77777777" w:rsidR="00E0123B" w:rsidRDefault="00590A5B" w:rsidP="00EA3B70">
            <w:pPr>
              <w:pStyle w:val="TableBody0"/>
              <w:spacing w:line="312" w:lineRule="auto"/>
            </w:pPr>
            <w:r>
              <w:t>5.1</w:t>
            </w:r>
          </w:p>
          <w:p w14:paraId="5F01ECD7" w14:textId="1C70D80E" w:rsidR="00D3017C" w:rsidRDefault="00D3017C" w:rsidP="00EA3B70">
            <w:pPr>
              <w:pStyle w:val="TableBody0"/>
              <w:spacing w:line="312" w:lineRule="auto"/>
            </w:pPr>
            <w:r>
              <w:t>7.1</w:t>
            </w:r>
          </w:p>
        </w:tc>
        <w:tc>
          <w:tcPr>
            <w:tcW w:w="3912" w:type="dxa"/>
          </w:tcPr>
          <w:p w14:paraId="67E7E0D3" w14:textId="77777777" w:rsidR="00E0123B" w:rsidRPr="007A3600" w:rsidRDefault="00E0123B" w:rsidP="00EA3B70">
            <w:pPr>
              <w:spacing w:before="60" w:after="0" w:line="312" w:lineRule="auto"/>
              <w:rPr>
                <w:rFonts w:cs="Arial"/>
                <w:color w:val="3B3B3B"/>
              </w:rPr>
            </w:pPr>
            <w:r w:rsidRPr="007A3600">
              <w:rPr>
                <w:rFonts w:cs="Arial"/>
                <w:color w:val="3B3B3B"/>
              </w:rPr>
              <w:t>Statistics on the entity’s employees on an ongoing and non-ongoing basis, including the following:</w:t>
            </w:r>
          </w:p>
          <w:p w14:paraId="45A8EDFF" w14:textId="77777777" w:rsidR="00E0123B" w:rsidRPr="007A3600" w:rsidRDefault="00E0123B" w:rsidP="00EA3B70">
            <w:pPr>
              <w:spacing w:before="60" w:after="0" w:line="312" w:lineRule="auto"/>
              <w:ind w:left="397" w:hanging="397"/>
              <w:rPr>
                <w:rFonts w:cs="Arial"/>
                <w:color w:val="3B3B3B"/>
              </w:rPr>
            </w:pPr>
            <w:r w:rsidRPr="007A3600">
              <w:rPr>
                <w:rFonts w:cs="Arial"/>
                <w:color w:val="3B3B3B"/>
              </w:rPr>
              <w:t>(a)</w:t>
            </w:r>
            <w:r w:rsidRPr="007A3600">
              <w:rPr>
                <w:rFonts w:cs="Arial"/>
                <w:color w:val="3B3B3B"/>
              </w:rPr>
              <w:tab/>
              <w:t xml:space="preserve"> statistics on full-time employees;</w:t>
            </w:r>
          </w:p>
          <w:p w14:paraId="7CBF2653" w14:textId="77777777" w:rsidR="00E0123B" w:rsidRPr="007A3600" w:rsidRDefault="00E0123B" w:rsidP="00EA3B70">
            <w:pPr>
              <w:spacing w:before="60" w:after="0" w:line="312" w:lineRule="auto"/>
              <w:ind w:left="397" w:hanging="397"/>
              <w:rPr>
                <w:rFonts w:cs="Arial"/>
                <w:color w:val="3B3B3B"/>
              </w:rPr>
            </w:pPr>
            <w:r w:rsidRPr="007A3600">
              <w:rPr>
                <w:rFonts w:cs="Arial"/>
                <w:color w:val="3B3B3B"/>
              </w:rPr>
              <w:t>(b)</w:t>
            </w:r>
            <w:r w:rsidRPr="007A3600">
              <w:rPr>
                <w:rFonts w:cs="Arial"/>
                <w:color w:val="3B3B3B"/>
              </w:rPr>
              <w:tab/>
              <w:t>statistics on part-time employees;</w:t>
            </w:r>
          </w:p>
          <w:p w14:paraId="4C2E446C" w14:textId="77777777" w:rsidR="00E0123B" w:rsidRPr="007A3600" w:rsidRDefault="00E0123B" w:rsidP="00EA3B70">
            <w:pPr>
              <w:spacing w:before="60" w:after="0" w:line="312" w:lineRule="auto"/>
              <w:ind w:left="397" w:hanging="397"/>
              <w:rPr>
                <w:rFonts w:cs="Arial"/>
                <w:color w:val="3B3B3B"/>
              </w:rPr>
            </w:pPr>
            <w:r w:rsidRPr="007A3600">
              <w:rPr>
                <w:rFonts w:cs="Arial"/>
                <w:color w:val="3B3B3B"/>
              </w:rPr>
              <w:t>(c)</w:t>
            </w:r>
            <w:r w:rsidRPr="007A3600">
              <w:rPr>
                <w:rFonts w:cs="Arial"/>
                <w:color w:val="3B3B3B"/>
              </w:rPr>
              <w:tab/>
              <w:t>statistics on gender;</w:t>
            </w:r>
          </w:p>
          <w:p w14:paraId="2603D042" w14:textId="77777777" w:rsidR="00E0123B" w:rsidRPr="007A3600" w:rsidRDefault="00E0123B" w:rsidP="00EA3B70">
            <w:pPr>
              <w:pStyle w:val="TableBody0"/>
              <w:spacing w:before="60" w:after="0" w:line="312" w:lineRule="auto"/>
              <w:ind w:left="397" w:hanging="397"/>
              <w:rPr>
                <w:color w:val="3B3B3B"/>
              </w:rPr>
            </w:pPr>
            <w:r w:rsidRPr="007A3600">
              <w:rPr>
                <w:color w:val="3B3B3B"/>
              </w:rPr>
              <w:t>(d)</w:t>
            </w:r>
            <w:r w:rsidRPr="007A3600">
              <w:rPr>
                <w:color w:val="3B3B3B"/>
              </w:rPr>
              <w:tab/>
              <w:t>statistics on staff location</w:t>
            </w:r>
          </w:p>
        </w:tc>
        <w:tc>
          <w:tcPr>
            <w:tcW w:w="1701" w:type="dxa"/>
          </w:tcPr>
          <w:p w14:paraId="7B593277" w14:textId="77777777" w:rsidR="00E0123B" w:rsidRPr="007A3600" w:rsidRDefault="00E0123B" w:rsidP="00EA3B70">
            <w:pPr>
              <w:pStyle w:val="TableBody0"/>
              <w:spacing w:line="312" w:lineRule="auto"/>
              <w:rPr>
                <w:color w:val="3B3B3B"/>
              </w:rPr>
            </w:pPr>
            <w:r w:rsidRPr="007A3600">
              <w:rPr>
                <w:color w:val="3B3B3B"/>
              </w:rPr>
              <w:t>Mandatory</w:t>
            </w:r>
          </w:p>
        </w:tc>
      </w:tr>
      <w:tr w:rsidR="00E0123B" w:rsidRPr="0054222F" w14:paraId="4A6550CC"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06EFF8F5" w14:textId="77777777" w:rsidR="00E0123B" w:rsidRPr="007A3600" w:rsidRDefault="00E0123B" w:rsidP="00EA3B70">
            <w:pPr>
              <w:pStyle w:val="TableBody0"/>
              <w:spacing w:line="312" w:lineRule="auto"/>
              <w:rPr>
                <w:color w:val="3B3B3B"/>
              </w:rPr>
            </w:pPr>
            <w:r w:rsidRPr="007A3600">
              <w:rPr>
                <w:color w:val="3B3B3B"/>
              </w:rPr>
              <w:t>17BE(l)</w:t>
            </w:r>
          </w:p>
        </w:tc>
        <w:tc>
          <w:tcPr>
            <w:tcW w:w="1587" w:type="dxa"/>
          </w:tcPr>
          <w:p w14:paraId="3F2E8E8B" w14:textId="381D89F7" w:rsidR="00E0123B" w:rsidRDefault="00361BAA" w:rsidP="00EA3B70">
            <w:pPr>
              <w:pStyle w:val="TableBody0"/>
              <w:spacing w:line="312" w:lineRule="auto"/>
            </w:pPr>
            <w:r>
              <w:t>1.1</w:t>
            </w:r>
          </w:p>
        </w:tc>
        <w:tc>
          <w:tcPr>
            <w:tcW w:w="3912" w:type="dxa"/>
          </w:tcPr>
          <w:p w14:paraId="781F4588" w14:textId="77777777" w:rsidR="00E0123B" w:rsidRPr="007A3600" w:rsidRDefault="00E0123B" w:rsidP="00EA3B70">
            <w:pPr>
              <w:pStyle w:val="TableBody0"/>
              <w:spacing w:line="312" w:lineRule="auto"/>
              <w:rPr>
                <w:color w:val="3B3B3B"/>
              </w:rPr>
            </w:pPr>
            <w:r w:rsidRPr="007A3600">
              <w:rPr>
                <w:color w:val="3B3B3B"/>
              </w:rPr>
              <w:t>Outline of the location (whether or not in Australia) of major activities or facilities of the entity</w:t>
            </w:r>
          </w:p>
        </w:tc>
        <w:tc>
          <w:tcPr>
            <w:tcW w:w="1701" w:type="dxa"/>
          </w:tcPr>
          <w:p w14:paraId="62BB66D8" w14:textId="77777777" w:rsidR="00E0123B" w:rsidRPr="007A3600" w:rsidRDefault="00E0123B" w:rsidP="00EA3B70">
            <w:pPr>
              <w:pStyle w:val="TableBody0"/>
              <w:spacing w:line="312" w:lineRule="auto"/>
              <w:rPr>
                <w:color w:val="3B3B3B"/>
              </w:rPr>
            </w:pPr>
            <w:r w:rsidRPr="007A3600">
              <w:rPr>
                <w:color w:val="3B3B3B"/>
              </w:rPr>
              <w:t>Mandatory</w:t>
            </w:r>
          </w:p>
        </w:tc>
      </w:tr>
      <w:tr w:rsidR="00E0123B" w:rsidRPr="0054222F" w14:paraId="0D5EA70C"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2BD98444" w14:textId="77777777" w:rsidR="00E0123B" w:rsidRPr="007A3600" w:rsidRDefault="00E0123B" w:rsidP="00EA3B70">
            <w:pPr>
              <w:pStyle w:val="TableBody0"/>
              <w:spacing w:line="312" w:lineRule="auto"/>
              <w:rPr>
                <w:color w:val="3B3B3B"/>
              </w:rPr>
            </w:pPr>
            <w:r w:rsidRPr="007A3600">
              <w:rPr>
                <w:color w:val="3B3B3B"/>
              </w:rPr>
              <w:t>17BE(m)</w:t>
            </w:r>
          </w:p>
        </w:tc>
        <w:tc>
          <w:tcPr>
            <w:tcW w:w="1587" w:type="dxa"/>
          </w:tcPr>
          <w:p w14:paraId="52B3FC98" w14:textId="06E8526F" w:rsidR="00E0123B" w:rsidRDefault="009231B7" w:rsidP="00EA3B70">
            <w:pPr>
              <w:pStyle w:val="TableBody0"/>
              <w:spacing w:line="312" w:lineRule="auto"/>
            </w:pPr>
            <w:r>
              <w:t>4.1</w:t>
            </w:r>
          </w:p>
        </w:tc>
        <w:tc>
          <w:tcPr>
            <w:tcW w:w="3912" w:type="dxa"/>
          </w:tcPr>
          <w:p w14:paraId="5DEE2F87" w14:textId="77777777" w:rsidR="00E0123B" w:rsidRPr="007A3600" w:rsidRDefault="00E0123B" w:rsidP="00EA3B70">
            <w:pPr>
              <w:pStyle w:val="TableBody0"/>
              <w:spacing w:line="312" w:lineRule="auto"/>
              <w:rPr>
                <w:color w:val="3B3B3B"/>
              </w:rPr>
            </w:pPr>
            <w:r w:rsidRPr="007A3600">
              <w:rPr>
                <w:color w:val="3B3B3B"/>
              </w:rPr>
              <w:t>Information relating to the main corporate governance practices used by the entity during the reporting period</w:t>
            </w:r>
          </w:p>
        </w:tc>
        <w:tc>
          <w:tcPr>
            <w:tcW w:w="1701" w:type="dxa"/>
          </w:tcPr>
          <w:p w14:paraId="15A245DB" w14:textId="77777777" w:rsidR="00E0123B" w:rsidRPr="007A3600" w:rsidRDefault="00E0123B" w:rsidP="00EA3B70">
            <w:pPr>
              <w:pStyle w:val="TableBody0"/>
              <w:spacing w:line="312" w:lineRule="auto"/>
              <w:rPr>
                <w:color w:val="3B3B3B"/>
              </w:rPr>
            </w:pPr>
            <w:r w:rsidRPr="007A3600">
              <w:rPr>
                <w:color w:val="3B3B3B"/>
              </w:rPr>
              <w:t>Mandatory</w:t>
            </w:r>
          </w:p>
        </w:tc>
      </w:tr>
      <w:tr w:rsidR="00E0123B" w:rsidRPr="0054222F" w14:paraId="1E10F629"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033B2B97" w14:textId="77777777" w:rsidR="00E0123B" w:rsidRPr="007A3600" w:rsidRDefault="00E0123B" w:rsidP="00EA3B70">
            <w:pPr>
              <w:pStyle w:val="TableBody0"/>
              <w:spacing w:line="312" w:lineRule="auto"/>
              <w:rPr>
                <w:color w:val="3B3B3B"/>
              </w:rPr>
            </w:pPr>
            <w:r w:rsidRPr="007A3600">
              <w:rPr>
                <w:color w:val="3B3B3B"/>
              </w:rPr>
              <w:t>17BE(n),</w:t>
            </w:r>
            <w:r w:rsidRPr="007A3600">
              <w:rPr>
                <w:color w:val="3B3B3B"/>
              </w:rPr>
              <w:br/>
              <w:t>17BE(o)</w:t>
            </w:r>
          </w:p>
        </w:tc>
        <w:tc>
          <w:tcPr>
            <w:tcW w:w="1587" w:type="dxa"/>
          </w:tcPr>
          <w:p w14:paraId="1003E420" w14:textId="5310BDA7" w:rsidR="00E0123B" w:rsidRDefault="00EE193F" w:rsidP="00EA3B70">
            <w:pPr>
              <w:pStyle w:val="TableBody0"/>
              <w:spacing w:line="312" w:lineRule="auto"/>
            </w:pPr>
            <w:r>
              <w:t>6.2</w:t>
            </w:r>
          </w:p>
        </w:tc>
        <w:tc>
          <w:tcPr>
            <w:tcW w:w="3912" w:type="dxa"/>
          </w:tcPr>
          <w:p w14:paraId="00534FCF" w14:textId="77777777" w:rsidR="00E0123B" w:rsidRPr="007A3600" w:rsidRDefault="00E0123B" w:rsidP="00EA3B70">
            <w:pPr>
              <w:spacing w:before="60" w:after="0" w:line="312" w:lineRule="auto"/>
              <w:rPr>
                <w:rFonts w:cs="Arial"/>
                <w:color w:val="3B3B3B"/>
              </w:rPr>
            </w:pPr>
            <w:r w:rsidRPr="007A3600">
              <w:rPr>
                <w:rFonts w:cs="Arial"/>
                <w:color w:val="3B3B3B"/>
              </w:rPr>
              <w:t>For transactions with a related Commonwealth entity or related company where the value of the transaction, or if there is more than one transaction, the aggregate of those transactions, is more than $10,000 (inclusive of GST):</w:t>
            </w:r>
          </w:p>
          <w:p w14:paraId="17297AD0" w14:textId="77777777" w:rsidR="00E0123B" w:rsidRPr="007A3600" w:rsidRDefault="00E0123B" w:rsidP="00EA3B70">
            <w:pPr>
              <w:spacing w:before="60" w:after="0" w:line="312" w:lineRule="auto"/>
              <w:ind w:left="397" w:hanging="397"/>
              <w:rPr>
                <w:rFonts w:cs="Arial"/>
                <w:color w:val="3B3B3B"/>
              </w:rPr>
            </w:pPr>
            <w:r w:rsidRPr="007A3600">
              <w:rPr>
                <w:rFonts w:cs="Arial"/>
                <w:color w:val="3B3B3B"/>
              </w:rPr>
              <w:t>(a)</w:t>
            </w:r>
            <w:r w:rsidRPr="007A3600">
              <w:rPr>
                <w:rFonts w:cs="Arial"/>
                <w:color w:val="3B3B3B"/>
              </w:rPr>
              <w:tab/>
              <w:t>the decision-making process undertaken by the accountable authority to approve the entity paying for a good or service from, or providing a grant to, the related Commonwealth entity or related company; and</w:t>
            </w:r>
          </w:p>
          <w:p w14:paraId="2D594366" w14:textId="77777777" w:rsidR="00E0123B" w:rsidRPr="007A3600" w:rsidRDefault="00E0123B" w:rsidP="00EA3B70">
            <w:pPr>
              <w:pStyle w:val="TableBody0"/>
              <w:spacing w:before="60" w:after="0" w:line="312" w:lineRule="auto"/>
              <w:ind w:left="397" w:hanging="397"/>
              <w:rPr>
                <w:color w:val="3B3B3B"/>
              </w:rPr>
            </w:pPr>
            <w:r w:rsidRPr="007A3600">
              <w:rPr>
                <w:color w:val="3B3B3B"/>
              </w:rPr>
              <w:t>(b)</w:t>
            </w:r>
            <w:r w:rsidRPr="007A3600">
              <w:rPr>
                <w:color w:val="3B3B3B"/>
              </w:rPr>
              <w:tab/>
            </w:r>
            <w:r w:rsidRPr="007A3600">
              <w:rPr>
                <w:rFonts w:eastAsia="FSMePro"/>
                <w:color w:val="3B3B3B"/>
                <w:szCs w:val="24"/>
              </w:rPr>
              <w:t>the value of the transaction, or if there is more than one transaction, the number of transactions and the aggregate of value of the transactions</w:t>
            </w:r>
          </w:p>
        </w:tc>
        <w:tc>
          <w:tcPr>
            <w:tcW w:w="1701" w:type="dxa"/>
          </w:tcPr>
          <w:p w14:paraId="547B6CFD"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104845BC"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0BC04AFB" w14:textId="77777777" w:rsidR="00E0123B" w:rsidRPr="007A3600" w:rsidRDefault="00E0123B" w:rsidP="00EA3B70">
            <w:pPr>
              <w:pStyle w:val="TableBody0"/>
              <w:spacing w:line="312" w:lineRule="auto"/>
              <w:rPr>
                <w:color w:val="3B3B3B"/>
              </w:rPr>
            </w:pPr>
            <w:r w:rsidRPr="007A3600">
              <w:rPr>
                <w:color w:val="3B3B3B"/>
              </w:rPr>
              <w:t>17BE(p)</w:t>
            </w:r>
          </w:p>
        </w:tc>
        <w:tc>
          <w:tcPr>
            <w:tcW w:w="1587" w:type="dxa"/>
          </w:tcPr>
          <w:p w14:paraId="2D462F1C" w14:textId="77777777" w:rsidR="00E0123B" w:rsidRDefault="00E41CA0" w:rsidP="00EA3B70">
            <w:pPr>
              <w:pStyle w:val="TableBody0"/>
              <w:spacing w:line="312" w:lineRule="auto"/>
            </w:pPr>
            <w:r>
              <w:t>1.5</w:t>
            </w:r>
          </w:p>
          <w:p w14:paraId="6B09289E" w14:textId="60BDBADA" w:rsidR="00EE193F" w:rsidRDefault="00EE193F" w:rsidP="00EA3B70">
            <w:pPr>
              <w:pStyle w:val="TableBody0"/>
              <w:spacing w:line="312" w:lineRule="auto"/>
            </w:pPr>
            <w:r>
              <w:t>6.2</w:t>
            </w:r>
          </w:p>
        </w:tc>
        <w:tc>
          <w:tcPr>
            <w:tcW w:w="3912" w:type="dxa"/>
          </w:tcPr>
          <w:p w14:paraId="59682065" w14:textId="77777777" w:rsidR="00E0123B" w:rsidRPr="007A3600" w:rsidRDefault="00E0123B" w:rsidP="00EA3B70">
            <w:pPr>
              <w:pStyle w:val="TableBody0"/>
              <w:spacing w:line="312" w:lineRule="auto"/>
              <w:rPr>
                <w:color w:val="3B3B3B"/>
              </w:rPr>
            </w:pPr>
            <w:r w:rsidRPr="007A3600">
              <w:rPr>
                <w:color w:val="3B3B3B"/>
              </w:rPr>
              <w:t>Any significant activities and changes that affected the operation or structure of the entity during the reporting period</w:t>
            </w:r>
          </w:p>
        </w:tc>
        <w:tc>
          <w:tcPr>
            <w:tcW w:w="1701" w:type="dxa"/>
          </w:tcPr>
          <w:p w14:paraId="0AAFAB38"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54B2EFCD"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3FA7EE3A" w14:textId="77777777" w:rsidR="00E0123B" w:rsidRPr="007A3600" w:rsidRDefault="00E0123B" w:rsidP="00EA3B70">
            <w:pPr>
              <w:pStyle w:val="TableBody0"/>
              <w:spacing w:line="312" w:lineRule="auto"/>
              <w:rPr>
                <w:color w:val="3B3B3B"/>
              </w:rPr>
            </w:pPr>
            <w:r w:rsidRPr="007A3600">
              <w:rPr>
                <w:color w:val="3B3B3B"/>
              </w:rPr>
              <w:t>17BE(q)</w:t>
            </w:r>
          </w:p>
        </w:tc>
        <w:tc>
          <w:tcPr>
            <w:tcW w:w="1587" w:type="dxa"/>
          </w:tcPr>
          <w:p w14:paraId="286AF200" w14:textId="54B08D02" w:rsidR="00E0123B" w:rsidRDefault="00D3017C" w:rsidP="00EA3B70">
            <w:pPr>
              <w:pStyle w:val="TableBody0"/>
              <w:spacing w:line="312" w:lineRule="auto"/>
            </w:pPr>
            <w:r>
              <w:t>7.3</w:t>
            </w:r>
          </w:p>
        </w:tc>
        <w:tc>
          <w:tcPr>
            <w:tcW w:w="3912" w:type="dxa"/>
          </w:tcPr>
          <w:p w14:paraId="29D2B60E" w14:textId="77777777" w:rsidR="00E0123B" w:rsidRPr="007A3600" w:rsidRDefault="00E0123B" w:rsidP="00EA3B70">
            <w:pPr>
              <w:pStyle w:val="TableBody0"/>
              <w:spacing w:line="312" w:lineRule="auto"/>
              <w:rPr>
                <w:color w:val="3B3B3B"/>
              </w:rPr>
            </w:pPr>
            <w:r w:rsidRPr="007A3600">
              <w:rPr>
                <w:color w:val="3B3B3B"/>
              </w:rPr>
              <w:t>Particulars of judicial decisions or decisions of administrative tribunals that may have a significant effect on the operations of the entity</w:t>
            </w:r>
          </w:p>
        </w:tc>
        <w:tc>
          <w:tcPr>
            <w:tcW w:w="1701" w:type="dxa"/>
          </w:tcPr>
          <w:p w14:paraId="139EF894"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148EF434"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6FA6617D" w14:textId="77777777" w:rsidR="00E0123B" w:rsidRPr="007A3600" w:rsidRDefault="00E0123B" w:rsidP="00EA3B70">
            <w:pPr>
              <w:pStyle w:val="TableBody0"/>
              <w:spacing w:line="312" w:lineRule="auto"/>
              <w:rPr>
                <w:color w:val="3B3B3B"/>
              </w:rPr>
            </w:pPr>
            <w:r w:rsidRPr="007A3600">
              <w:rPr>
                <w:color w:val="3B3B3B"/>
              </w:rPr>
              <w:t>17BE(r)</w:t>
            </w:r>
          </w:p>
        </w:tc>
        <w:tc>
          <w:tcPr>
            <w:tcW w:w="1587" w:type="dxa"/>
          </w:tcPr>
          <w:p w14:paraId="2FF79EFF" w14:textId="77777777" w:rsidR="00E0123B" w:rsidRDefault="00D3017C" w:rsidP="00EA3B70">
            <w:pPr>
              <w:pStyle w:val="TableBody0"/>
              <w:spacing w:line="312" w:lineRule="auto"/>
            </w:pPr>
            <w:r>
              <w:t>7.3</w:t>
            </w:r>
          </w:p>
          <w:p w14:paraId="5CF6E654" w14:textId="2C5CA37E" w:rsidR="00A966FB" w:rsidRDefault="00A966FB" w:rsidP="00EA3B70">
            <w:pPr>
              <w:pStyle w:val="TableBody0"/>
              <w:spacing w:line="312" w:lineRule="auto"/>
            </w:pPr>
            <w:r>
              <w:t>7.4</w:t>
            </w:r>
          </w:p>
        </w:tc>
        <w:tc>
          <w:tcPr>
            <w:tcW w:w="3912" w:type="dxa"/>
          </w:tcPr>
          <w:p w14:paraId="06EF1057" w14:textId="77777777" w:rsidR="00E0123B" w:rsidRPr="007A3600" w:rsidRDefault="00E0123B" w:rsidP="00EA3B70">
            <w:pPr>
              <w:spacing w:before="60" w:after="0" w:line="312" w:lineRule="auto"/>
              <w:rPr>
                <w:rFonts w:cs="Arial"/>
                <w:color w:val="3B3B3B"/>
              </w:rPr>
            </w:pPr>
            <w:r w:rsidRPr="007A3600">
              <w:rPr>
                <w:rFonts w:cs="Arial"/>
                <w:color w:val="3B3B3B"/>
              </w:rPr>
              <w:t>Particulars of any reports on the entity given by:</w:t>
            </w:r>
          </w:p>
          <w:p w14:paraId="1C529BB2" w14:textId="77777777" w:rsidR="00E0123B" w:rsidRPr="007A3600" w:rsidRDefault="00E0123B" w:rsidP="00EA3B70">
            <w:pPr>
              <w:spacing w:before="60" w:after="0" w:line="312" w:lineRule="auto"/>
              <w:ind w:left="397" w:hanging="397"/>
              <w:rPr>
                <w:rFonts w:cs="Arial"/>
                <w:color w:val="3B3B3B"/>
              </w:rPr>
            </w:pPr>
            <w:r w:rsidRPr="007A3600">
              <w:rPr>
                <w:rFonts w:cs="Arial"/>
                <w:color w:val="3B3B3B"/>
              </w:rPr>
              <w:t>(a)</w:t>
            </w:r>
            <w:r w:rsidRPr="007A3600">
              <w:rPr>
                <w:rFonts w:cs="Arial"/>
                <w:color w:val="3B3B3B"/>
              </w:rPr>
              <w:tab/>
              <w:t>the Auditor-General (other than a report under section 43 of the Act); or</w:t>
            </w:r>
          </w:p>
          <w:p w14:paraId="282BB715" w14:textId="77777777" w:rsidR="00E0123B" w:rsidRPr="007A3600" w:rsidRDefault="00E0123B" w:rsidP="00EA3B70">
            <w:pPr>
              <w:spacing w:before="60" w:after="0" w:line="312" w:lineRule="auto"/>
              <w:ind w:left="397" w:hanging="397"/>
              <w:rPr>
                <w:rFonts w:cs="Arial"/>
                <w:color w:val="3B3B3B"/>
              </w:rPr>
            </w:pPr>
            <w:r w:rsidRPr="007A3600">
              <w:rPr>
                <w:rFonts w:cs="Arial"/>
                <w:color w:val="3B3B3B"/>
              </w:rPr>
              <w:t>(b)</w:t>
            </w:r>
            <w:r w:rsidRPr="007A3600">
              <w:rPr>
                <w:rFonts w:cs="Arial"/>
                <w:color w:val="3B3B3B"/>
              </w:rPr>
              <w:tab/>
              <w:t>a Parliamentary Committee; or</w:t>
            </w:r>
          </w:p>
          <w:p w14:paraId="301B7C0B" w14:textId="77777777" w:rsidR="00E0123B" w:rsidRPr="007A3600" w:rsidRDefault="00E0123B" w:rsidP="00EA3B70">
            <w:pPr>
              <w:spacing w:before="60" w:after="0" w:line="312" w:lineRule="auto"/>
              <w:ind w:left="397" w:hanging="397"/>
              <w:rPr>
                <w:rFonts w:cs="Arial"/>
                <w:color w:val="3B3B3B"/>
              </w:rPr>
            </w:pPr>
            <w:r w:rsidRPr="007A3600">
              <w:rPr>
                <w:rFonts w:cs="Arial"/>
                <w:color w:val="3B3B3B"/>
              </w:rPr>
              <w:t>(c)</w:t>
            </w:r>
            <w:r w:rsidRPr="007A3600">
              <w:rPr>
                <w:rFonts w:cs="Arial"/>
                <w:color w:val="3B3B3B"/>
              </w:rPr>
              <w:tab/>
              <w:t>the Commonwealth Ombudsman; or</w:t>
            </w:r>
          </w:p>
          <w:p w14:paraId="29727C8D" w14:textId="77777777" w:rsidR="00E0123B" w:rsidRPr="007A3600" w:rsidRDefault="00E0123B" w:rsidP="00EA3B70">
            <w:pPr>
              <w:pStyle w:val="TableBody0"/>
              <w:spacing w:before="60" w:after="0" w:line="312" w:lineRule="auto"/>
              <w:ind w:left="397" w:hanging="397"/>
              <w:rPr>
                <w:color w:val="3B3B3B"/>
              </w:rPr>
            </w:pPr>
            <w:r w:rsidRPr="007A3600">
              <w:rPr>
                <w:color w:val="3B3B3B"/>
              </w:rPr>
              <w:t>(d)</w:t>
            </w:r>
            <w:r w:rsidRPr="007A3600">
              <w:rPr>
                <w:color w:val="3B3B3B"/>
              </w:rPr>
              <w:tab/>
              <w:t>the Office of the Australian Information Commissioner</w:t>
            </w:r>
          </w:p>
        </w:tc>
        <w:tc>
          <w:tcPr>
            <w:tcW w:w="1701" w:type="dxa"/>
          </w:tcPr>
          <w:p w14:paraId="2820FCCC"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79FEE3A5"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4B3B3D6A" w14:textId="77777777" w:rsidR="00E0123B" w:rsidRPr="007A3600" w:rsidRDefault="00E0123B" w:rsidP="00EA3B70">
            <w:pPr>
              <w:pStyle w:val="TableBody0"/>
              <w:spacing w:line="312" w:lineRule="auto"/>
              <w:rPr>
                <w:color w:val="3B3B3B"/>
              </w:rPr>
            </w:pPr>
            <w:r w:rsidRPr="007A3600">
              <w:rPr>
                <w:color w:val="3B3B3B"/>
              </w:rPr>
              <w:t>17BE(s)</w:t>
            </w:r>
          </w:p>
        </w:tc>
        <w:tc>
          <w:tcPr>
            <w:tcW w:w="1587" w:type="dxa"/>
          </w:tcPr>
          <w:p w14:paraId="3AAFF322" w14:textId="77777777" w:rsidR="00E0123B" w:rsidRDefault="00E0123B" w:rsidP="00EA3B70">
            <w:pPr>
              <w:pStyle w:val="TableBody0"/>
              <w:spacing w:line="312" w:lineRule="auto"/>
            </w:pPr>
            <w:r w:rsidRPr="007A3600">
              <w:t>N/A</w:t>
            </w:r>
          </w:p>
        </w:tc>
        <w:tc>
          <w:tcPr>
            <w:tcW w:w="3912" w:type="dxa"/>
          </w:tcPr>
          <w:p w14:paraId="0B0F4136" w14:textId="77777777" w:rsidR="00E0123B" w:rsidRPr="007A3600" w:rsidRDefault="00E0123B" w:rsidP="00EA3B70">
            <w:pPr>
              <w:pStyle w:val="TableBody0"/>
              <w:spacing w:line="312" w:lineRule="auto"/>
              <w:rPr>
                <w:color w:val="3B3B3B"/>
              </w:rPr>
            </w:pPr>
            <w:r w:rsidRPr="007A3600">
              <w:rPr>
                <w:color w:val="3B3B3B"/>
              </w:rPr>
              <w:t>An explanation of information not obtained from a subsidiary of the entity and the effect of not having the information on the annual report</w:t>
            </w:r>
          </w:p>
        </w:tc>
        <w:tc>
          <w:tcPr>
            <w:tcW w:w="1701" w:type="dxa"/>
          </w:tcPr>
          <w:p w14:paraId="634570A2"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492F9466"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42702741" w14:textId="77777777" w:rsidR="00E0123B" w:rsidRPr="007A3600" w:rsidRDefault="00E0123B" w:rsidP="00EA3B70">
            <w:pPr>
              <w:pStyle w:val="TableBody0"/>
              <w:spacing w:line="312" w:lineRule="auto"/>
              <w:rPr>
                <w:color w:val="3B3B3B"/>
              </w:rPr>
            </w:pPr>
            <w:r w:rsidRPr="007A3600">
              <w:rPr>
                <w:color w:val="3B3B3B"/>
              </w:rPr>
              <w:t>17BE(t)</w:t>
            </w:r>
          </w:p>
        </w:tc>
        <w:tc>
          <w:tcPr>
            <w:tcW w:w="1587" w:type="dxa"/>
          </w:tcPr>
          <w:p w14:paraId="639EBB42" w14:textId="0FD18300" w:rsidR="00E0123B" w:rsidRDefault="00C76D31" w:rsidP="00EA3B70">
            <w:pPr>
              <w:pStyle w:val="TableBody0"/>
              <w:spacing w:line="312" w:lineRule="auto"/>
            </w:pPr>
            <w:r>
              <w:t>4.1</w:t>
            </w:r>
          </w:p>
        </w:tc>
        <w:tc>
          <w:tcPr>
            <w:tcW w:w="3912" w:type="dxa"/>
          </w:tcPr>
          <w:p w14:paraId="5B82BA3A" w14:textId="77777777" w:rsidR="00E0123B" w:rsidRPr="007A3600" w:rsidRDefault="00E0123B" w:rsidP="00EA3B70">
            <w:pPr>
              <w:pStyle w:val="TableBody0"/>
              <w:spacing w:line="312" w:lineRule="auto"/>
              <w:rPr>
                <w:color w:val="3B3B3B"/>
              </w:rPr>
            </w:pPr>
            <w:r w:rsidRPr="007A3600">
              <w:rPr>
                <w:color w:val="3B3B3B"/>
              </w:rPr>
              <w:t>Details of any indemnity that applied during the reporting period to the accountable authority, any member of the accountable authority or officer of the entity against a liability (including premiums paid, or agreed to be paid, for insurance against the authority, member or officer’s liability for legal costs)</w:t>
            </w:r>
          </w:p>
        </w:tc>
        <w:tc>
          <w:tcPr>
            <w:tcW w:w="1701" w:type="dxa"/>
          </w:tcPr>
          <w:p w14:paraId="412F2873"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45EC26E3"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415CF7FA" w14:textId="77777777" w:rsidR="00E0123B" w:rsidRPr="007A3600" w:rsidRDefault="00E0123B" w:rsidP="00EA3B70">
            <w:pPr>
              <w:pStyle w:val="TableBody0"/>
              <w:spacing w:line="312" w:lineRule="auto"/>
              <w:rPr>
                <w:color w:val="3B3B3B"/>
              </w:rPr>
            </w:pPr>
            <w:r w:rsidRPr="007A3600">
              <w:rPr>
                <w:color w:val="3B3B3B"/>
              </w:rPr>
              <w:t>17BE(taa)</w:t>
            </w:r>
          </w:p>
        </w:tc>
        <w:tc>
          <w:tcPr>
            <w:tcW w:w="1587" w:type="dxa"/>
          </w:tcPr>
          <w:p w14:paraId="26A21361" w14:textId="170A9C56" w:rsidR="00E0123B" w:rsidRDefault="008170EF" w:rsidP="00EA3B70">
            <w:pPr>
              <w:pStyle w:val="TableBody0"/>
              <w:spacing w:line="312" w:lineRule="auto"/>
            </w:pPr>
            <w:r>
              <w:t>4.1</w:t>
            </w:r>
          </w:p>
        </w:tc>
        <w:tc>
          <w:tcPr>
            <w:tcW w:w="3912" w:type="dxa"/>
          </w:tcPr>
          <w:p w14:paraId="32CE36BF" w14:textId="1674647E" w:rsidR="00E0123B" w:rsidRPr="007A3600" w:rsidRDefault="00E0123B" w:rsidP="00EA3B70">
            <w:pPr>
              <w:spacing w:before="60" w:after="0" w:line="312" w:lineRule="auto"/>
              <w:rPr>
                <w:rFonts w:cs="Arial"/>
                <w:color w:val="3B3B3B"/>
              </w:rPr>
            </w:pPr>
            <w:r w:rsidRPr="007A3600">
              <w:rPr>
                <w:rFonts w:cs="Arial"/>
                <w:color w:val="3B3B3B"/>
              </w:rPr>
              <w:t>The following information about the audit committee for the entity:</w:t>
            </w:r>
          </w:p>
          <w:p w14:paraId="2C17144E" w14:textId="0F60802D" w:rsidR="00E0123B" w:rsidRPr="007A3600" w:rsidRDefault="00E0123B" w:rsidP="00EA3B70">
            <w:pPr>
              <w:spacing w:before="60" w:after="0" w:line="312" w:lineRule="auto"/>
              <w:ind w:left="396" w:hanging="396"/>
              <w:rPr>
                <w:rFonts w:cs="Arial"/>
                <w:color w:val="3B3B3B"/>
              </w:rPr>
            </w:pPr>
            <w:r w:rsidRPr="007A3600">
              <w:rPr>
                <w:rFonts w:cs="Arial"/>
                <w:color w:val="3B3B3B"/>
              </w:rPr>
              <w:t>(a)</w:t>
            </w:r>
            <w:r w:rsidRPr="007A3600">
              <w:rPr>
                <w:rFonts w:cs="Arial"/>
                <w:color w:val="3B3B3B"/>
              </w:rPr>
              <w:tab/>
              <w:t>a direct electronic address of the charter determining the functions of the audit committee;</w:t>
            </w:r>
          </w:p>
          <w:p w14:paraId="0C72C2CA" w14:textId="77777777" w:rsidR="00E0123B" w:rsidRPr="007A3600" w:rsidRDefault="00E0123B" w:rsidP="00EA3B70">
            <w:pPr>
              <w:spacing w:before="60" w:after="0" w:line="312" w:lineRule="auto"/>
              <w:ind w:left="396" w:hanging="396"/>
              <w:rPr>
                <w:rFonts w:cs="Arial"/>
                <w:color w:val="3B3B3B"/>
              </w:rPr>
            </w:pPr>
            <w:r w:rsidRPr="007A3600">
              <w:rPr>
                <w:rFonts w:cs="Arial"/>
                <w:color w:val="3B3B3B"/>
              </w:rPr>
              <w:t>(b)</w:t>
            </w:r>
            <w:r w:rsidRPr="007A3600">
              <w:rPr>
                <w:rFonts w:cs="Arial"/>
                <w:color w:val="3B3B3B"/>
              </w:rPr>
              <w:tab/>
              <w:t>the name of each member of the audit committee;</w:t>
            </w:r>
          </w:p>
          <w:p w14:paraId="29A779AE" w14:textId="77777777" w:rsidR="00E0123B" w:rsidRPr="007A3600" w:rsidRDefault="00E0123B" w:rsidP="00EA3B70">
            <w:pPr>
              <w:spacing w:before="60" w:after="0" w:line="312" w:lineRule="auto"/>
              <w:ind w:left="396" w:hanging="396"/>
              <w:rPr>
                <w:rFonts w:cs="Arial"/>
                <w:color w:val="3B3B3B"/>
              </w:rPr>
            </w:pPr>
            <w:r w:rsidRPr="007A3600">
              <w:rPr>
                <w:rFonts w:cs="Arial"/>
                <w:color w:val="3B3B3B"/>
              </w:rPr>
              <w:t>(c)</w:t>
            </w:r>
            <w:r w:rsidRPr="007A3600">
              <w:rPr>
                <w:rFonts w:cs="Arial"/>
                <w:color w:val="3B3B3B"/>
              </w:rPr>
              <w:tab/>
              <w:t>the qualifications, knowledge, skills or experience of each member of the audit committee;</w:t>
            </w:r>
          </w:p>
          <w:p w14:paraId="18F3C7D4" w14:textId="77777777" w:rsidR="00E0123B" w:rsidRPr="007A3600" w:rsidRDefault="00E0123B" w:rsidP="00EA3B70">
            <w:pPr>
              <w:spacing w:before="60" w:after="0" w:line="312" w:lineRule="auto"/>
              <w:ind w:left="396" w:hanging="396"/>
              <w:rPr>
                <w:rFonts w:cs="Arial"/>
                <w:color w:val="3B3B3B"/>
              </w:rPr>
            </w:pPr>
            <w:r w:rsidRPr="007A3600">
              <w:rPr>
                <w:rFonts w:cs="Arial"/>
                <w:color w:val="3B3B3B"/>
              </w:rPr>
              <w:t>(d)</w:t>
            </w:r>
            <w:r w:rsidRPr="007A3600">
              <w:rPr>
                <w:rFonts w:cs="Arial"/>
                <w:color w:val="3B3B3B"/>
              </w:rPr>
              <w:tab/>
              <w:t>information about each member’s attendance at meetings of the audit committee;</w:t>
            </w:r>
          </w:p>
          <w:p w14:paraId="5B45CBA8" w14:textId="77777777" w:rsidR="00E0123B" w:rsidRPr="007A3600" w:rsidRDefault="00E0123B" w:rsidP="00EA3B70">
            <w:pPr>
              <w:pStyle w:val="TableBody0"/>
              <w:spacing w:before="60" w:after="0" w:line="312" w:lineRule="auto"/>
              <w:ind w:left="397" w:hanging="397"/>
              <w:rPr>
                <w:color w:val="3B3B3B"/>
              </w:rPr>
            </w:pPr>
            <w:r w:rsidRPr="007A3600">
              <w:rPr>
                <w:color w:val="3B3B3B"/>
              </w:rPr>
              <w:t>(e)</w:t>
            </w:r>
            <w:r w:rsidRPr="007A3600">
              <w:rPr>
                <w:color w:val="3B3B3B"/>
              </w:rPr>
              <w:tab/>
              <w:t>the remuneration of each member of the audit committee</w:t>
            </w:r>
          </w:p>
        </w:tc>
        <w:tc>
          <w:tcPr>
            <w:tcW w:w="1701" w:type="dxa"/>
          </w:tcPr>
          <w:p w14:paraId="1FA2DC5A" w14:textId="77777777" w:rsidR="00E0123B" w:rsidRPr="007A3600" w:rsidRDefault="00E0123B" w:rsidP="00EA3B70">
            <w:pPr>
              <w:pStyle w:val="TableBody0"/>
              <w:spacing w:line="312" w:lineRule="auto"/>
              <w:rPr>
                <w:color w:val="3B3B3B"/>
              </w:rPr>
            </w:pPr>
            <w:r w:rsidRPr="007A3600">
              <w:rPr>
                <w:color w:val="3B3B3B"/>
              </w:rPr>
              <w:t>Mandatory</w:t>
            </w:r>
          </w:p>
        </w:tc>
      </w:tr>
      <w:tr w:rsidR="00E0123B" w:rsidRPr="0054222F" w14:paraId="40A9B95C"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0F9CA32A" w14:textId="77777777" w:rsidR="00E0123B" w:rsidRPr="007A3600" w:rsidRDefault="00E0123B" w:rsidP="00EA3B70">
            <w:pPr>
              <w:pStyle w:val="TableBody0"/>
              <w:spacing w:line="312" w:lineRule="auto"/>
              <w:rPr>
                <w:color w:val="3B3B3B"/>
              </w:rPr>
            </w:pPr>
            <w:r w:rsidRPr="007A3600">
              <w:rPr>
                <w:color w:val="3B3B3B"/>
              </w:rPr>
              <w:t>17BE(ta)</w:t>
            </w:r>
          </w:p>
        </w:tc>
        <w:tc>
          <w:tcPr>
            <w:tcW w:w="1587" w:type="dxa"/>
          </w:tcPr>
          <w:p w14:paraId="71DB6BF1" w14:textId="77777777" w:rsidR="00E0123B" w:rsidRDefault="00EE193F" w:rsidP="00EA3B70">
            <w:pPr>
              <w:pStyle w:val="TableBody0"/>
              <w:spacing w:line="312" w:lineRule="auto"/>
            </w:pPr>
            <w:r>
              <w:t>5.7</w:t>
            </w:r>
          </w:p>
          <w:p w14:paraId="072C4DCA" w14:textId="407D977E" w:rsidR="00D3017C" w:rsidRDefault="00D3017C" w:rsidP="00EA3B70">
            <w:pPr>
              <w:pStyle w:val="TableBody0"/>
              <w:spacing w:line="312" w:lineRule="auto"/>
            </w:pPr>
            <w:r>
              <w:t>7.2</w:t>
            </w:r>
          </w:p>
        </w:tc>
        <w:tc>
          <w:tcPr>
            <w:tcW w:w="3912" w:type="dxa"/>
          </w:tcPr>
          <w:p w14:paraId="49B0F574" w14:textId="77777777" w:rsidR="00E0123B" w:rsidRPr="007A3600" w:rsidRDefault="00E0123B" w:rsidP="00EA3B70">
            <w:pPr>
              <w:pStyle w:val="TableBody0"/>
              <w:spacing w:line="312" w:lineRule="auto"/>
              <w:rPr>
                <w:color w:val="3B3B3B"/>
              </w:rPr>
            </w:pPr>
            <w:r w:rsidRPr="007A3600">
              <w:rPr>
                <w:color w:val="3B3B3B"/>
              </w:rPr>
              <w:t>Information about executive remuneration</w:t>
            </w:r>
          </w:p>
        </w:tc>
        <w:tc>
          <w:tcPr>
            <w:tcW w:w="1701" w:type="dxa"/>
          </w:tcPr>
          <w:p w14:paraId="24C55063" w14:textId="77777777" w:rsidR="00E0123B" w:rsidRPr="007A3600" w:rsidRDefault="00E0123B" w:rsidP="00EA3B70">
            <w:pPr>
              <w:pStyle w:val="TableBody0"/>
              <w:spacing w:line="312" w:lineRule="auto"/>
              <w:rPr>
                <w:color w:val="3B3B3B"/>
              </w:rPr>
            </w:pPr>
            <w:r w:rsidRPr="007A3600">
              <w:rPr>
                <w:color w:val="3B3B3B"/>
              </w:rPr>
              <w:t>Mandatory</w:t>
            </w:r>
          </w:p>
        </w:tc>
      </w:tr>
      <w:tr w:rsidR="00E0123B" w:rsidRPr="0054222F" w14:paraId="3D076BC4"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4A38DEA1" w14:textId="77777777" w:rsidR="00E0123B" w:rsidRPr="007A3600" w:rsidRDefault="00E0123B" w:rsidP="00EA3B70">
            <w:pPr>
              <w:pStyle w:val="TableBody0"/>
              <w:spacing w:line="312" w:lineRule="auto"/>
              <w:rPr>
                <w:color w:val="3B3B3B"/>
              </w:rPr>
            </w:pPr>
            <w:r w:rsidRPr="007A3600">
              <w:rPr>
                <w:b/>
                <w:bCs/>
                <w:lang w:val="en-GB"/>
              </w:rPr>
              <w:t>17BF</w:t>
            </w:r>
          </w:p>
        </w:tc>
        <w:tc>
          <w:tcPr>
            <w:tcW w:w="1587" w:type="dxa"/>
          </w:tcPr>
          <w:p w14:paraId="02C1A906" w14:textId="77777777" w:rsidR="00E0123B" w:rsidRDefault="00E0123B" w:rsidP="00EA3B70">
            <w:pPr>
              <w:pStyle w:val="TableBody0"/>
              <w:spacing w:line="312" w:lineRule="auto"/>
            </w:pPr>
            <w:r w:rsidRPr="007A3600">
              <w:rPr>
                <w:color w:val="FFFFFF"/>
                <w:lang w:val="en-GB"/>
              </w:rPr>
              <w:t>blank</w:t>
            </w:r>
          </w:p>
        </w:tc>
        <w:tc>
          <w:tcPr>
            <w:tcW w:w="3912" w:type="dxa"/>
          </w:tcPr>
          <w:p w14:paraId="5A7DF92F" w14:textId="77777777" w:rsidR="00E0123B" w:rsidRPr="007A3600" w:rsidRDefault="00E0123B" w:rsidP="00EA3B70">
            <w:pPr>
              <w:pStyle w:val="TableBody0"/>
              <w:spacing w:line="312" w:lineRule="auto"/>
              <w:rPr>
                <w:color w:val="3B3B3B"/>
              </w:rPr>
            </w:pPr>
            <w:r w:rsidRPr="007A3600">
              <w:rPr>
                <w:b/>
                <w:bCs/>
                <w:lang w:val="en-GB"/>
              </w:rPr>
              <w:t>Disclosure requirements for government business enterprises</w:t>
            </w:r>
          </w:p>
        </w:tc>
        <w:tc>
          <w:tcPr>
            <w:tcW w:w="1701" w:type="dxa"/>
          </w:tcPr>
          <w:p w14:paraId="2DCD6E26" w14:textId="77777777" w:rsidR="00E0123B" w:rsidRPr="007A3600" w:rsidRDefault="00E0123B" w:rsidP="00EA3B70">
            <w:pPr>
              <w:pStyle w:val="TableBody0"/>
              <w:spacing w:line="312" w:lineRule="auto"/>
              <w:rPr>
                <w:color w:val="3B3B3B"/>
              </w:rPr>
            </w:pPr>
            <w:r w:rsidRPr="007A3600">
              <w:rPr>
                <w:color w:val="FFFFFF"/>
                <w:lang w:val="en-GB"/>
              </w:rPr>
              <w:t>blank</w:t>
            </w:r>
          </w:p>
        </w:tc>
      </w:tr>
      <w:tr w:rsidR="00E0123B" w:rsidRPr="0054222F" w14:paraId="4F05D614"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60BE0E60" w14:textId="77777777" w:rsidR="00E0123B" w:rsidRPr="007A3600" w:rsidRDefault="00E0123B" w:rsidP="00EA3B70">
            <w:pPr>
              <w:pStyle w:val="TableBody0"/>
              <w:spacing w:line="312" w:lineRule="auto"/>
              <w:rPr>
                <w:color w:val="3B3B3B"/>
              </w:rPr>
            </w:pPr>
            <w:r w:rsidRPr="007A3600">
              <w:rPr>
                <w:color w:val="3B3B3B"/>
              </w:rPr>
              <w:t>17BF(1)(a)(i)</w:t>
            </w:r>
          </w:p>
        </w:tc>
        <w:tc>
          <w:tcPr>
            <w:tcW w:w="1587" w:type="dxa"/>
          </w:tcPr>
          <w:p w14:paraId="763A6059" w14:textId="0A75A978" w:rsidR="00E0123B" w:rsidRDefault="00261202" w:rsidP="00EA3B70">
            <w:pPr>
              <w:pStyle w:val="TableBody0"/>
              <w:spacing w:line="312" w:lineRule="auto"/>
            </w:pPr>
            <w:r>
              <w:t>6.2</w:t>
            </w:r>
          </w:p>
        </w:tc>
        <w:tc>
          <w:tcPr>
            <w:tcW w:w="3912" w:type="dxa"/>
          </w:tcPr>
          <w:p w14:paraId="388F309E" w14:textId="77777777" w:rsidR="00E0123B" w:rsidRPr="007A3600" w:rsidRDefault="00E0123B" w:rsidP="00EA3B70">
            <w:pPr>
              <w:pStyle w:val="TableBody0"/>
              <w:spacing w:line="312" w:lineRule="auto"/>
              <w:rPr>
                <w:color w:val="3B3B3B"/>
              </w:rPr>
            </w:pPr>
            <w:r w:rsidRPr="007A3600">
              <w:rPr>
                <w:color w:val="3B3B3B"/>
              </w:rPr>
              <w:t>An assessment of significant changes in the entity’s overall financial structure and financial conditions</w:t>
            </w:r>
          </w:p>
        </w:tc>
        <w:tc>
          <w:tcPr>
            <w:tcW w:w="1701" w:type="dxa"/>
          </w:tcPr>
          <w:p w14:paraId="6848E1A8"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3B2D90B8"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2DF29442" w14:textId="77777777" w:rsidR="00E0123B" w:rsidRPr="007A3600" w:rsidRDefault="00E0123B" w:rsidP="00EA3B70">
            <w:pPr>
              <w:pStyle w:val="TableBody0"/>
              <w:spacing w:line="312" w:lineRule="auto"/>
              <w:rPr>
                <w:color w:val="3B3B3B"/>
              </w:rPr>
            </w:pPr>
            <w:r w:rsidRPr="007A3600">
              <w:rPr>
                <w:color w:val="3B3B3B"/>
              </w:rPr>
              <w:t>17BF(1)(a)(ii)</w:t>
            </w:r>
          </w:p>
        </w:tc>
        <w:tc>
          <w:tcPr>
            <w:tcW w:w="1587" w:type="dxa"/>
          </w:tcPr>
          <w:p w14:paraId="4E2E7D65" w14:textId="0C876F22" w:rsidR="00E0123B" w:rsidRDefault="00261202" w:rsidP="00EA3B70">
            <w:pPr>
              <w:pStyle w:val="TableBody0"/>
              <w:spacing w:line="312" w:lineRule="auto"/>
            </w:pPr>
            <w:r>
              <w:t>6.2</w:t>
            </w:r>
          </w:p>
        </w:tc>
        <w:tc>
          <w:tcPr>
            <w:tcW w:w="3912" w:type="dxa"/>
          </w:tcPr>
          <w:p w14:paraId="688D683A" w14:textId="77777777" w:rsidR="00E0123B" w:rsidRPr="007A3600" w:rsidRDefault="00E0123B" w:rsidP="00EA3B70">
            <w:pPr>
              <w:pStyle w:val="TableBody0"/>
              <w:spacing w:line="312" w:lineRule="auto"/>
              <w:rPr>
                <w:color w:val="3B3B3B"/>
              </w:rPr>
            </w:pPr>
            <w:r w:rsidRPr="007A3600">
              <w:rPr>
                <w:color w:val="3B3B3B"/>
              </w:rPr>
              <w:t>An assessment of any events or risks that could cause financial information that is reported not to be indicative of future operations or financial conditions</w:t>
            </w:r>
          </w:p>
        </w:tc>
        <w:tc>
          <w:tcPr>
            <w:tcW w:w="1701" w:type="dxa"/>
          </w:tcPr>
          <w:p w14:paraId="13E45F6D"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2A12E1CC"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5E15BE8E" w14:textId="77777777" w:rsidR="00E0123B" w:rsidRPr="007A3600" w:rsidRDefault="00E0123B" w:rsidP="00EA3B70">
            <w:pPr>
              <w:pStyle w:val="TableBody0"/>
              <w:spacing w:line="312" w:lineRule="auto"/>
              <w:rPr>
                <w:color w:val="3B3B3B"/>
              </w:rPr>
            </w:pPr>
            <w:r w:rsidRPr="007A3600">
              <w:rPr>
                <w:color w:val="3B3B3B"/>
              </w:rPr>
              <w:t>17BF(1)(b)</w:t>
            </w:r>
          </w:p>
        </w:tc>
        <w:tc>
          <w:tcPr>
            <w:tcW w:w="1587" w:type="dxa"/>
          </w:tcPr>
          <w:p w14:paraId="033C3404" w14:textId="27001EE9" w:rsidR="00E0123B" w:rsidRDefault="00261202" w:rsidP="00EA3B70">
            <w:pPr>
              <w:pStyle w:val="TableBody0"/>
              <w:spacing w:line="312" w:lineRule="auto"/>
            </w:pPr>
            <w:r>
              <w:t>6.2</w:t>
            </w:r>
          </w:p>
        </w:tc>
        <w:tc>
          <w:tcPr>
            <w:tcW w:w="3912" w:type="dxa"/>
          </w:tcPr>
          <w:p w14:paraId="37A43C8B" w14:textId="77777777" w:rsidR="00E0123B" w:rsidRPr="007A3600" w:rsidRDefault="00E0123B" w:rsidP="00EA3B70">
            <w:pPr>
              <w:pStyle w:val="TableBody0"/>
              <w:spacing w:line="312" w:lineRule="auto"/>
              <w:rPr>
                <w:color w:val="3B3B3B"/>
              </w:rPr>
            </w:pPr>
            <w:r w:rsidRPr="007A3600">
              <w:rPr>
                <w:color w:val="3B3B3B"/>
              </w:rPr>
              <w:t>Information on dividends paid or recommended</w:t>
            </w:r>
          </w:p>
        </w:tc>
        <w:tc>
          <w:tcPr>
            <w:tcW w:w="1701" w:type="dxa"/>
          </w:tcPr>
          <w:p w14:paraId="32B37817"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49392002"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316D27FA" w14:textId="77777777" w:rsidR="00E0123B" w:rsidRPr="007A3600" w:rsidRDefault="00E0123B" w:rsidP="00EA3B70">
            <w:pPr>
              <w:pStyle w:val="TableBody0"/>
              <w:spacing w:line="312" w:lineRule="auto"/>
              <w:rPr>
                <w:color w:val="3B3B3B"/>
              </w:rPr>
            </w:pPr>
            <w:r w:rsidRPr="007A3600">
              <w:rPr>
                <w:color w:val="3B3B3B"/>
              </w:rPr>
              <w:t>17BF(1)(c)</w:t>
            </w:r>
          </w:p>
        </w:tc>
        <w:tc>
          <w:tcPr>
            <w:tcW w:w="1587" w:type="dxa"/>
          </w:tcPr>
          <w:p w14:paraId="43A365A1" w14:textId="11C94F12" w:rsidR="00E0123B" w:rsidRDefault="00261202" w:rsidP="00EA3B70">
            <w:pPr>
              <w:pStyle w:val="TableBody0"/>
              <w:spacing w:line="312" w:lineRule="auto"/>
            </w:pPr>
            <w:r>
              <w:t>6.2</w:t>
            </w:r>
          </w:p>
        </w:tc>
        <w:tc>
          <w:tcPr>
            <w:tcW w:w="3912" w:type="dxa"/>
          </w:tcPr>
          <w:p w14:paraId="6E7EBA16" w14:textId="77777777" w:rsidR="00E0123B" w:rsidRPr="007A3600" w:rsidRDefault="00E0123B" w:rsidP="00EA3B70">
            <w:pPr>
              <w:spacing w:before="60" w:after="0" w:line="312" w:lineRule="auto"/>
              <w:rPr>
                <w:rFonts w:cs="Arial"/>
                <w:color w:val="3B3B3B"/>
              </w:rPr>
            </w:pPr>
            <w:r w:rsidRPr="007A3600">
              <w:rPr>
                <w:rFonts w:cs="Arial"/>
                <w:color w:val="3B3B3B"/>
              </w:rPr>
              <w:t>Details of any community service obligations the government business enterprise has including:</w:t>
            </w:r>
          </w:p>
          <w:p w14:paraId="0EB5CDB7" w14:textId="77777777" w:rsidR="00E0123B" w:rsidRPr="007A3600" w:rsidRDefault="00E0123B" w:rsidP="00EA3B70">
            <w:pPr>
              <w:spacing w:before="60" w:after="0" w:line="312" w:lineRule="auto"/>
              <w:ind w:left="397" w:hanging="397"/>
              <w:rPr>
                <w:rFonts w:cs="Arial"/>
                <w:color w:val="3B3B3B"/>
              </w:rPr>
            </w:pPr>
            <w:r w:rsidRPr="007A3600">
              <w:rPr>
                <w:rFonts w:cs="Arial"/>
                <w:color w:val="3B3B3B"/>
              </w:rPr>
              <w:t>(a)</w:t>
            </w:r>
            <w:r w:rsidRPr="007A3600">
              <w:rPr>
                <w:rFonts w:cs="Arial"/>
                <w:color w:val="3B3B3B"/>
              </w:rPr>
              <w:tab/>
              <w:t>an outline of actions taken to fulfil those obligations; and</w:t>
            </w:r>
          </w:p>
          <w:p w14:paraId="6FA1925C" w14:textId="77777777" w:rsidR="00E0123B" w:rsidRPr="007A3600" w:rsidRDefault="00E0123B" w:rsidP="00EA3B70">
            <w:pPr>
              <w:pStyle w:val="TableBody0"/>
              <w:spacing w:before="60" w:after="0" w:line="312" w:lineRule="auto"/>
              <w:ind w:left="397" w:hanging="397"/>
              <w:rPr>
                <w:color w:val="3B3B3B"/>
              </w:rPr>
            </w:pPr>
            <w:r w:rsidRPr="007A3600">
              <w:rPr>
                <w:color w:val="3B3B3B"/>
              </w:rPr>
              <w:t>(b)</w:t>
            </w:r>
            <w:r w:rsidRPr="007A3600">
              <w:rPr>
                <w:color w:val="3B3B3B"/>
              </w:rPr>
              <w:tab/>
              <w:t>an assessment of the cost of fulfilling those obligations</w:t>
            </w:r>
          </w:p>
        </w:tc>
        <w:tc>
          <w:tcPr>
            <w:tcW w:w="1701" w:type="dxa"/>
          </w:tcPr>
          <w:p w14:paraId="2478CC0F" w14:textId="77777777" w:rsidR="00E0123B" w:rsidRPr="007A3600" w:rsidRDefault="00E0123B" w:rsidP="00EA3B70">
            <w:pPr>
              <w:pStyle w:val="TableBody0"/>
              <w:spacing w:line="312" w:lineRule="auto"/>
              <w:rPr>
                <w:color w:val="3B3B3B"/>
              </w:rPr>
            </w:pPr>
            <w:r w:rsidRPr="007A3600">
              <w:rPr>
                <w:color w:val="3B3B3B"/>
              </w:rPr>
              <w:t>If applicable, mandatory</w:t>
            </w:r>
          </w:p>
        </w:tc>
      </w:tr>
      <w:tr w:rsidR="00E0123B" w:rsidRPr="0054222F" w14:paraId="5B4E6915"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2F8DCE49" w14:textId="77777777" w:rsidR="00E0123B" w:rsidRPr="007A3600" w:rsidRDefault="00E0123B" w:rsidP="00EA3B70">
            <w:pPr>
              <w:pStyle w:val="TableBody0"/>
              <w:spacing w:line="312" w:lineRule="auto"/>
              <w:rPr>
                <w:color w:val="3B3B3B"/>
              </w:rPr>
            </w:pPr>
            <w:r w:rsidRPr="007A3600">
              <w:rPr>
                <w:color w:val="000000"/>
              </w:rPr>
              <w:t>17BF(2)</w:t>
            </w:r>
          </w:p>
        </w:tc>
        <w:tc>
          <w:tcPr>
            <w:tcW w:w="1587" w:type="dxa"/>
          </w:tcPr>
          <w:p w14:paraId="6E2F8D06" w14:textId="1884A316" w:rsidR="00E0123B" w:rsidRDefault="00261202" w:rsidP="00EA3B70">
            <w:pPr>
              <w:pStyle w:val="TableBody0"/>
              <w:spacing w:line="312" w:lineRule="auto"/>
            </w:pPr>
            <w:r>
              <w:t>6.2</w:t>
            </w:r>
          </w:p>
        </w:tc>
        <w:tc>
          <w:tcPr>
            <w:tcW w:w="3912" w:type="dxa"/>
          </w:tcPr>
          <w:p w14:paraId="31421C76" w14:textId="77777777" w:rsidR="00E0123B" w:rsidRPr="007A3600" w:rsidRDefault="00E0123B" w:rsidP="00EA3B70">
            <w:pPr>
              <w:pStyle w:val="TableBody0"/>
              <w:spacing w:line="312" w:lineRule="auto"/>
              <w:rPr>
                <w:color w:val="3B3B3B"/>
              </w:rPr>
            </w:pPr>
            <w:r w:rsidRPr="007A3600">
              <w:rPr>
                <w:color w:val="000000"/>
              </w:rPr>
              <w:t>A statement regarding the exclusion of information on the grounds that the information is commercially sensitive and would be likely to result in unreasonable commercial prejudice to the government business enterprise</w:t>
            </w:r>
          </w:p>
        </w:tc>
        <w:tc>
          <w:tcPr>
            <w:tcW w:w="1701" w:type="dxa"/>
          </w:tcPr>
          <w:p w14:paraId="504AA951" w14:textId="77777777" w:rsidR="00E0123B" w:rsidRPr="007A3600" w:rsidRDefault="00E0123B" w:rsidP="00EA3B70">
            <w:pPr>
              <w:pStyle w:val="TableBody0"/>
              <w:spacing w:line="312" w:lineRule="auto"/>
              <w:rPr>
                <w:color w:val="3B3B3B"/>
              </w:rPr>
            </w:pPr>
            <w:r w:rsidRPr="007A3600">
              <w:rPr>
                <w:color w:val="000000"/>
              </w:rPr>
              <w:t>If applicable, mandatory</w:t>
            </w:r>
          </w:p>
        </w:tc>
      </w:tr>
      <w:tr w:rsidR="008E2832" w:rsidRPr="0054222F" w14:paraId="4352D89A" w14:textId="77777777" w:rsidTr="00CF3D88">
        <w:trPr>
          <w:cnfStyle w:val="000000010000" w:firstRow="0" w:lastRow="0" w:firstColumn="0" w:lastColumn="0" w:oddVBand="0" w:evenVBand="0" w:oddHBand="0" w:evenHBand="1" w:firstRowFirstColumn="0" w:firstRowLastColumn="0" w:lastRowFirstColumn="0" w:lastRowLastColumn="0"/>
          <w:cantSplit/>
        </w:trPr>
        <w:tc>
          <w:tcPr>
            <w:tcW w:w="2098" w:type="dxa"/>
          </w:tcPr>
          <w:p w14:paraId="62CDC838" w14:textId="761A5A05" w:rsidR="008E2832" w:rsidRPr="007A3600" w:rsidRDefault="008E2832" w:rsidP="00CF3D88">
            <w:pPr>
              <w:pStyle w:val="TableBody0"/>
              <w:spacing w:line="312" w:lineRule="auto"/>
              <w:rPr>
                <w:color w:val="3B3B3B"/>
              </w:rPr>
            </w:pPr>
            <w:r w:rsidRPr="007A3600">
              <w:rPr>
                <w:b/>
                <w:bCs/>
                <w:lang w:val="en-GB"/>
              </w:rPr>
              <w:t>17B</w:t>
            </w:r>
            <w:r w:rsidR="00F145A9">
              <w:rPr>
                <w:b/>
                <w:bCs/>
                <w:lang w:val="en-GB"/>
              </w:rPr>
              <w:t>G</w:t>
            </w:r>
          </w:p>
        </w:tc>
        <w:tc>
          <w:tcPr>
            <w:tcW w:w="1587" w:type="dxa"/>
          </w:tcPr>
          <w:p w14:paraId="0B86E86F" w14:textId="77777777" w:rsidR="008E2832" w:rsidRDefault="008E2832" w:rsidP="00CF3D88">
            <w:pPr>
              <w:pStyle w:val="TableBody0"/>
              <w:spacing w:line="312" w:lineRule="auto"/>
            </w:pPr>
            <w:r w:rsidRPr="007A3600">
              <w:rPr>
                <w:color w:val="FFFFFF"/>
                <w:lang w:val="en-GB"/>
              </w:rPr>
              <w:t>blank</w:t>
            </w:r>
          </w:p>
        </w:tc>
        <w:tc>
          <w:tcPr>
            <w:tcW w:w="3912" w:type="dxa"/>
          </w:tcPr>
          <w:p w14:paraId="518FA6DE" w14:textId="44A93BA1" w:rsidR="008E2832" w:rsidRPr="007A3600" w:rsidRDefault="00F145A9" w:rsidP="00CF3D88">
            <w:pPr>
              <w:pStyle w:val="TableBody0"/>
              <w:spacing w:line="312" w:lineRule="auto"/>
              <w:rPr>
                <w:color w:val="3B3B3B"/>
              </w:rPr>
            </w:pPr>
            <w:r w:rsidRPr="00F145A9">
              <w:rPr>
                <w:b/>
                <w:bCs/>
                <w:lang w:val="en-GB"/>
              </w:rPr>
              <w:t>Additional requirement for prescribed corporate Commonwealth entities</w:t>
            </w:r>
          </w:p>
        </w:tc>
        <w:tc>
          <w:tcPr>
            <w:tcW w:w="1701" w:type="dxa"/>
          </w:tcPr>
          <w:p w14:paraId="0F016380" w14:textId="77777777" w:rsidR="008E2832" w:rsidRPr="007A3600" w:rsidRDefault="008E2832" w:rsidP="00CF3D88">
            <w:pPr>
              <w:pStyle w:val="TableBody0"/>
              <w:spacing w:line="312" w:lineRule="auto"/>
              <w:rPr>
                <w:color w:val="3B3B3B"/>
              </w:rPr>
            </w:pPr>
            <w:r w:rsidRPr="007A3600">
              <w:rPr>
                <w:color w:val="FFFFFF"/>
                <w:lang w:val="en-GB"/>
              </w:rPr>
              <w:t>blank</w:t>
            </w:r>
          </w:p>
        </w:tc>
      </w:tr>
      <w:tr w:rsidR="008E2832" w:rsidRPr="0054222F" w14:paraId="1255FDCB" w14:textId="77777777" w:rsidTr="00CF3D88">
        <w:trPr>
          <w:cnfStyle w:val="000000100000" w:firstRow="0" w:lastRow="0" w:firstColumn="0" w:lastColumn="0" w:oddVBand="0" w:evenVBand="0" w:oddHBand="1" w:evenHBand="0" w:firstRowFirstColumn="0" w:firstRowLastColumn="0" w:lastRowFirstColumn="0" w:lastRowLastColumn="0"/>
          <w:cantSplit/>
        </w:trPr>
        <w:tc>
          <w:tcPr>
            <w:tcW w:w="2098" w:type="dxa"/>
          </w:tcPr>
          <w:p w14:paraId="5C4C6123" w14:textId="03D40718" w:rsidR="008E2832" w:rsidRPr="007A3600" w:rsidRDefault="00F145A9" w:rsidP="00CF3D88">
            <w:pPr>
              <w:pStyle w:val="TableBody0"/>
              <w:spacing w:line="312" w:lineRule="auto"/>
              <w:rPr>
                <w:color w:val="3B3B3B"/>
              </w:rPr>
            </w:pPr>
            <w:r w:rsidRPr="00F145A9">
              <w:rPr>
                <w:color w:val="3B3B3B"/>
              </w:rPr>
              <w:t>17BG(2)</w:t>
            </w:r>
          </w:p>
        </w:tc>
        <w:tc>
          <w:tcPr>
            <w:tcW w:w="1587" w:type="dxa"/>
          </w:tcPr>
          <w:p w14:paraId="793769B5" w14:textId="379752B6" w:rsidR="008E2832" w:rsidRDefault="00F145A9" w:rsidP="00CF3D88">
            <w:pPr>
              <w:pStyle w:val="TableBody0"/>
              <w:spacing w:line="312" w:lineRule="auto"/>
            </w:pPr>
            <w:r>
              <w:t>N/A</w:t>
            </w:r>
          </w:p>
        </w:tc>
        <w:tc>
          <w:tcPr>
            <w:tcW w:w="3912" w:type="dxa"/>
          </w:tcPr>
          <w:p w14:paraId="5DDF3778" w14:textId="4B544BA9" w:rsidR="008E2832" w:rsidRPr="007A3600" w:rsidRDefault="00206346" w:rsidP="00CF3D88">
            <w:pPr>
              <w:pStyle w:val="TableBody0"/>
              <w:spacing w:line="312" w:lineRule="auto"/>
              <w:rPr>
                <w:color w:val="3B3B3B"/>
              </w:rPr>
            </w:pPr>
            <w:r w:rsidRPr="00206346">
              <w:rPr>
                <w:color w:val="3B3B3B"/>
              </w:rPr>
              <w:t xml:space="preserve">An assessment of the entity’s performance </w:t>
            </w:r>
            <w:r w:rsidR="000A2A8D" w:rsidRPr="00206346">
              <w:rPr>
                <w:color w:val="3B3B3B"/>
              </w:rPr>
              <w:t xml:space="preserve">against the Commonwealth Procurement Rules </w:t>
            </w:r>
            <w:r w:rsidRPr="00206346">
              <w:rPr>
                <w:color w:val="3B3B3B"/>
              </w:rPr>
              <w:t xml:space="preserve">during the </w:t>
            </w:r>
            <w:r w:rsidR="000A2A8D">
              <w:rPr>
                <w:color w:val="3B3B3B"/>
              </w:rPr>
              <w:t xml:space="preserve">reporting </w:t>
            </w:r>
            <w:r w:rsidRPr="00206346">
              <w:rPr>
                <w:color w:val="3B3B3B"/>
              </w:rPr>
              <w:t xml:space="preserve">period </w:t>
            </w:r>
          </w:p>
        </w:tc>
        <w:tc>
          <w:tcPr>
            <w:tcW w:w="1701" w:type="dxa"/>
          </w:tcPr>
          <w:p w14:paraId="575FD407" w14:textId="77777777" w:rsidR="008E2832" w:rsidRPr="007A3600" w:rsidRDefault="008E2832" w:rsidP="00CF3D88">
            <w:pPr>
              <w:pStyle w:val="TableBody0"/>
              <w:spacing w:line="312" w:lineRule="auto"/>
              <w:rPr>
                <w:color w:val="3B3B3B"/>
              </w:rPr>
            </w:pPr>
            <w:r w:rsidRPr="007A3600">
              <w:rPr>
                <w:color w:val="3B3B3B"/>
              </w:rPr>
              <w:t>If applicable, mandatory</w:t>
            </w:r>
          </w:p>
        </w:tc>
      </w:tr>
    </w:tbl>
    <w:p w14:paraId="6A22309B" w14:textId="76E01563" w:rsidR="00B008D3" w:rsidRDefault="00202A44" w:rsidP="00F020B8">
      <w:pPr>
        <w:pStyle w:val="Heading4"/>
      </w:pPr>
      <w:r w:rsidRPr="00202A44">
        <w:t>The NDIS Act</w:t>
      </w:r>
      <w:bookmarkEnd w:id="134"/>
    </w:p>
    <w:p w14:paraId="3CAF8C51" w14:textId="61247189" w:rsidR="00EE28A3" w:rsidRDefault="00EE28A3" w:rsidP="00EE28A3">
      <w:pPr>
        <w:pStyle w:val="Caption"/>
      </w:pPr>
      <w:r>
        <w:t xml:space="preserve">Table </w:t>
      </w:r>
      <w:r w:rsidR="00D51B17">
        <w:t>3</w:t>
      </w:r>
      <w:r w:rsidR="0068179C">
        <w:t>8</w:t>
      </w:r>
      <w:r w:rsidR="00BF0688">
        <w:t xml:space="preserve">. </w:t>
      </w:r>
      <w:r w:rsidR="00425720">
        <w:t xml:space="preserve">Compliance with </w:t>
      </w:r>
      <w:r w:rsidR="008343F1">
        <w:t>the</w:t>
      </w:r>
      <w:r w:rsidR="00A57EBB" w:rsidRPr="00AF34E3">
        <w:rPr>
          <w:i/>
          <w:iCs/>
        </w:rPr>
        <w:t xml:space="preserve"> National Disability Insurance Scheme Act 2013</w:t>
      </w:r>
    </w:p>
    <w:tbl>
      <w:tblPr>
        <w:tblStyle w:val="NDISTable1"/>
        <w:tblW w:w="9298" w:type="dxa"/>
        <w:tblLayout w:type="fixed"/>
        <w:tblCellMar>
          <w:left w:w="57" w:type="dxa"/>
          <w:right w:w="57" w:type="dxa"/>
        </w:tblCellMar>
        <w:tblLook w:val="0420" w:firstRow="1" w:lastRow="0" w:firstColumn="0" w:lastColumn="0" w:noHBand="0" w:noVBand="1"/>
        <w:tblDescription w:val="[Insert table description] with columns for [Insert column headings]. The table has [insert number] columns and [insert number] rows."/>
      </w:tblPr>
      <w:tblGrid>
        <w:gridCol w:w="2098"/>
        <w:gridCol w:w="1587"/>
        <w:gridCol w:w="3912"/>
        <w:gridCol w:w="1701"/>
      </w:tblGrid>
      <w:tr w:rsidR="0064208D" w:rsidRPr="00982555" w14:paraId="3C43B0FD" w14:textId="77777777" w:rsidTr="00131004">
        <w:trPr>
          <w:cnfStyle w:val="100000000000" w:firstRow="1" w:lastRow="0" w:firstColumn="0" w:lastColumn="0" w:oddVBand="0" w:evenVBand="0" w:oddHBand="0" w:evenHBand="0" w:firstRowFirstColumn="0" w:firstRowLastColumn="0" w:lastRowFirstColumn="0" w:lastRowLastColumn="0"/>
        </w:trPr>
        <w:tc>
          <w:tcPr>
            <w:tcW w:w="2098" w:type="dxa"/>
          </w:tcPr>
          <w:p w14:paraId="35A6C962" w14:textId="77777777" w:rsidR="00BF0688" w:rsidRPr="00982555" w:rsidRDefault="00BF0688" w:rsidP="00EA3B70">
            <w:pPr>
              <w:pStyle w:val="TableBody0"/>
              <w:spacing w:line="312" w:lineRule="auto"/>
              <w:rPr>
                <w:b/>
                <w:bCs/>
              </w:rPr>
            </w:pPr>
            <w:r w:rsidRPr="00982555">
              <w:rPr>
                <w:bCs/>
              </w:rPr>
              <w:t>Section of NDIS Act</w:t>
            </w:r>
          </w:p>
        </w:tc>
        <w:tc>
          <w:tcPr>
            <w:tcW w:w="1587" w:type="dxa"/>
          </w:tcPr>
          <w:p w14:paraId="5A8872CA" w14:textId="77777777" w:rsidR="00BF0688" w:rsidRPr="00982555" w:rsidRDefault="00BF0688" w:rsidP="00EA3B70">
            <w:pPr>
              <w:pStyle w:val="TableBody0"/>
              <w:spacing w:line="312" w:lineRule="auto"/>
              <w:rPr>
                <w:b/>
                <w:bCs/>
              </w:rPr>
            </w:pPr>
            <w:r w:rsidRPr="00982555">
              <w:rPr>
                <w:bCs/>
              </w:rPr>
              <w:t>Part of report</w:t>
            </w:r>
          </w:p>
        </w:tc>
        <w:tc>
          <w:tcPr>
            <w:tcW w:w="3912" w:type="dxa"/>
          </w:tcPr>
          <w:p w14:paraId="3FA8A672" w14:textId="77777777" w:rsidR="00BF0688" w:rsidRPr="00982555" w:rsidRDefault="00BF0688" w:rsidP="00EA3B70">
            <w:pPr>
              <w:pStyle w:val="TableBody0"/>
              <w:spacing w:line="312" w:lineRule="auto"/>
              <w:rPr>
                <w:b/>
                <w:bCs/>
              </w:rPr>
            </w:pPr>
            <w:r w:rsidRPr="00982555">
              <w:rPr>
                <w:bCs/>
              </w:rPr>
              <w:t>Description</w:t>
            </w:r>
          </w:p>
        </w:tc>
        <w:tc>
          <w:tcPr>
            <w:tcW w:w="1701" w:type="dxa"/>
          </w:tcPr>
          <w:p w14:paraId="44062EF1" w14:textId="77777777" w:rsidR="00BF0688" w:rsidRPr="00982555" w:rsidRDefault="00BF0688" w:rsidP="00EA3B70">
            <w:pPr>
              <w:pStyle w:val="TableBody0"/>
              <w:spacing w:line="312" w:lineRule="auto"/>
              <w:rPr>
                <w:b/>
                <w:bCs/>
              </w:rPr>
            </w:pPr>
            <w:r w:rsidRPr="00982555">
              <w:rPr>
                <w:bCs/>
              </w:rPr>
              <w:t>Requirement</w:t>
            </w:r>
          </w:p>
        </w:tc>
      </w:tr>
      <w:tr w:rsidR="0035303E" w:rsidRPr="0054222F" w14:paraId="2C7D7618"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0BE9A0CC" w14:textId="77777777" w:rsidR="0035303E" w:rsidRPr="0054222F" w:rsidRDefault="0035303E" w:rsidP="00EA3B70">
            <w:pPr>
              <w:pStyle w:val="TableBody0"/>
              <w:spacing w:line="312" w:lineRule="auto"/>
            </w:pPr>
            <w:r w:rsidRPr="007A3600">
              <w:rPr>
                <w:b/>
                <w:bCs/>
                <w:color w:val="000000"/>
                <w:szCs w:val="24"/>
                <w:lang w:val="en-GB"/>
              </w:rPr>
              <w:t>Chapter 6, Part 5, subsection 172</w:t>
            </w:r>
          </w:p>
        </w:tc>
        <w:tc>
          <w:tcPr>
            <w:tcW w:w="1587" w:type="dxa"/>
          </w:tcPr>
          <w:p w14:paraId="1CCA5F25" w14:textId="77777777" w:rsidR="0035303E" w:rsidRPr="0054222F" w:rsidRDefault="0035303E" w:rsidP="00EA3B70">
            <w:pPr>
              <w:pStyle w:val="TableBody0"/>
              <w:spacing w:line="312" w:lineRule="auto"/>
            </w:pPr>
            <w:r w:rsidRPr="007A3600">
              <w:rPr>
                <w:color w:val="F7EEF7"/>
                <w:lang w:val="en-GB"/>
              </w:rPr>
              <w:t>blank</w:t>
            </w:r>
          </w:p>
        </w:tc>
        <w:tc>
          <w:tcPr>
            <w:tcW w:w="3912" w:type="dxa"/>
          </w:tcPr>
          <w:p w14:paraId="1AB0C84A" w14:textId="77777777" w:rsidR="0035303E" w:rsidRPr="0054222F" w:rsidRDefault="0035303E" w:rsidP="00EA3B70">
            <w:pPr>
              <w:pStyle w:val="TableBody0"/>
              <w:spacing w:line="312" w:lineRule="auto"/>
            </w:pPr>
            <w:r w:rsidRPr="007A3600">
              <w:rPr>
                <w:color w:val="F7EEF7"/>
                <w:lang w:val="en-GB"/>
              </w:rPr>
              <w:t>blank</w:t>
            </w:r>
          </w:p>
        </w:tc>
        <w:tc>
          <w:tcPr>
            <w:tcW w:w="1701" w:type="dxa"/>
          </w:tcPr>
          <w:p w14:paraId="0B007B0E" w14:textId="77777777" w:rsidR="0035303E" w:rsidRPr="0054222F" w:rsidRDefault="0035303E" w:rsidP="00EA3B70">
            <w:pPr>
              <w:pStyle w:val="TableBody0"/>
              <w:spacing w:line="312" w:lineRule="auto"/>
            </w:pPr>
            <w:r w:rsidRPr="007A3600">
              <w:rPr>
                <w:color w:val="F7EEF7"/>
                <w:lang w:val="en-GB"/>
              </w:rPr>
              <w:t>blank</w:t>
            </w:r>
          </w:p>
        </w:tc>
      </w:tr>
      <w:tr w:rsidR="0035303E" w:rsidRPr="0054222F" w14:paraId="1AFEE505"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64283E6C" w14:textId="77777777" w:rsidR="0035303E" w:rsidRPr="0054222F" w:rsidRDefault="0035303E" w:rsidP="00EA3B70">
            <w:pPr>
              <w:pStyle w:val="TableBody0"/>
              <w:spacing w:line="312" w:lineRule="auto"/>
            </w:pPr>
            <w:r w:rsidRPr="007A3600">
              <w:rPr>
                <w:color w:val="000000"/>
                <w:szCs w:val="24"/>
                <w:lang w:val="en-GB"/>
              </w:rPr>
              <w:t>(2)(a)</w:t>
            </w:r>
          </w:p>
        </w:tc>
        <w:tc>
          <w:tcPr>
            <w:tcW w:w="1587" w:type="dxa"/>
          </w:tcPr>
          <w:p w14:paraId="76EFAEEA" w14:textId="7AC7CCE1" w:rsidR="0035303E" w:rsidRPr="0054222F" w:rsidRDefault="00E41CA0" w:rsidP="00EA3B70">
            <w:pPr>
              <w:pStyle w:val="TableBody0"/>
              <w:spacing w:line="312" w:lineRule="auto"/>
            </w:pPr>
            <w:r>
              <w:t>1.5</w:t>
            </w:r>
          </w:p>
        </w:tc>
        <w:tc>
          <w:tcPr>
            <w:tcW w:w="3912" w:type="dxa"/>
          </w:tcPr>
          <w:p w14:paraId="6416469C" w14:textId="77777777" w:rsidR="0035303E" w:rsidRPr="0054222F" w:rsidRDefault="0035303E" w:rsidP="00EA3B70">
            <w:pPr>
              <w:pStyle w:val="TableBody0"/>
              <w:spacing w:line="312" w:lineRule="auto"/>
            </w:pPr>
            <w:r w:rsidRPr="007A3600">
              <w:rPr>
                <w:color w:val="000000"/>
                <w:szCs w:val="24"/>
                <w:lang w:val="en-GB"/>
              </w:rPr>
              <w:t>Details of any directions given under section 121 in the period</w:t>
            </w:r>
          </w:p>
        </w:tc>
        <w:tc>
          <w:tcPr>
            <w:tcW w:w="1701" w:type="dxa"/>
          </w:tcPr>
          <w:p w14:paraId="459FB566" w14:textId="77777777" w:rsidR="0035303E" w:rsidRPr="0054222F" w:rsidRDefault="0035303E" w:rsidP="00EA3B70">
            <w:pPr>
              <w:pStyle w:val="TableBody0"/>
              <w:spacing w:line="312" w:lineRule="auto"/>
            </w:pPr>
            <w:r w:rsidRPr="007A3600">
              <w:rPr>
                <w:color w:val="000000"/>
                <w:szCs w:val="24"/>
                <w:lang w:val="en-GB"/>
              </w:rPr>
              <w:t>Mandatory</w:t>
            </w:r>
          </w:p>
        </w:tc>
      </w:tr>
      <w:tr w:rsidR="0035303E" w:rsidRPr="0054222F" w14:paraId="5355079B"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3FA4B7EC" w14:textId="77777777" w:rsidR="0035303E" w:rsidRPr="0054222F" w:rsidRDefault="0035303E" w:rsidP="00EA3B70">
            <w:pPr>
              <w:pStyle w:val="TableBody0"/>
              <w:spacing w:line="312" w:lineRule="auto"/>
            </w:pPr>
            <w:r w:rsidRPr="007A3600">
              <w:rPr>
                <w:color w:val="000000"/>
                <w:szCs w:val="24"/>
                <w:lang w:val="en-GB"/>
              </w:rPr>
              <w:t>(2)(b)</w:t>
            </w:r>
          </w:p>
        </w:tc>
        <w:tc>
          <w:tcPr>
            <w:tcW w:w="1587" w:type="dxa"/>
          </w:tcPr>
          <w:p w14:paraId="2D30C109" w14:textId="07B272E6" w:rsidR="0035303E" w:rsidRPr="0054222F" w:rsidRDefault="00E41CA0" w:rsidP="00EA3B70">
            <w:pPr>
              <w:pStyle w:val="TableBody0"/>
              <w:spacing w:line="312" w:lineRule="auto"/>
            </w:pPr>
            <w:r>
              <w:t>1.5</w:t>
            </w:r>
          </w:p>
        </w:tc>
        <w:tc>
          <w:tcPr>
            <w:tcW w:w="3912" w:type="dxa"/>
          </w:tcPr>
          <w:p w14:paraId="426A4A1D" w14:textId="77777777" w:rsidR="0035303E" w:rsidRPr="0054222F" w:rsidRDefault="0035303E" w:rsidP="00EA3B70">
            <w:pPr>
              <w:pStyle w:val="TableBody0"/>
              <w:spacing w:line="312" w:lineRule="auto"/>
            </w:pPr>
            <w:r w:rsidRPr="007A3600">
              <w:rPr>
                <w:color w:val="000000"/>
                <w:szCs w:val="24"/>
                <w:lang w:val="en-GB"/>
              </w:rPr>
              <w:t>Details of any statements given under section 125 in the period</w:t>
            </w:r>
          </w:p>
        </w:tc>
        <w:tc>
          <w:tcPr>
            <w:tcW w:w="1701" w:type="dxa"/>
          </w:tcPr>
          <w:p w14:paraId="02AA1E32" w14:textId="77777777" w:rsidR="0035303E" w:rsidRPr="0054222F" w:rsidRDefault="0035303E" w:rsidP="00EA3B70">
            <w:pPr>
              <w:pStyle w:val="TableBody0"/>
              <w:spacing w:line="312" w:lineRule="auto"/>
            </w:pPr>
            <w:r w:rsidRPr="007A3600">
              <w:rPr>
                <w:color w:val="000000"/>
                <w:szCs w:val="24"/>
                <w:lang w:val="en-GB"/>
              </w:rPr>
              <w:t>Mandatory</w:t>
            </w:r>
          </w:p>
        </w:tc>
      </w:tr>
      <w:tr w:rsidR="0035303E" w:rsidRPr="0054222F" w14:paraId="73FF6D7E"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00119BEF" w14:textId="77777777" w:rsidR="0035303E" w:rsidRPr="0054222F" w:rsidRDefault="0035303E" w:rsidP="00EA3B70">
            <w:pPr>
              <w:pStyle w:val="TableBody0"/>
              <w:spacing w:line="312" w:lineRule="auto"/>
            </w:pPr>
            <w:r w:rsidRPr="007A3600">
              <w:rPr>
                <w:color w:val="000000"/>
                <w:szCs w:val="24"/>
                <w:lang w:val="en-GB"/>
              </w:rPr>
              <w:t>(2)(c)</w:t>
            </w:r>
          </w:p>
        </w:tc>
        <w:tc>
          <w:tcPr>
            <w:tcW w:w="1587" w:type="dxa"/>
          </w:tcPr>
          <w:p w14:paraId="04E62AA9" w14:textId="77777777" w:rsidR="0035303E" w:rsidRDefault="00C316CE" w:rsidP="00EA3B70">
            <w:pPr>
              <w:pStyle w:val="TableBody0"/>
              <w:spacing w:line="312" w:lineRule="auto"/>
            </w:pPr>
            <w:r>
              <w:t>3</w:t>
            </w:r>
          </w:p>
          <w:p w14:paraId="3E97C30A" w14:textId="664396A2" w:rsidR="00A47AA4" w:rsidRPr="0054222F" w:rsidRDefault="00A47AA4" w:rsidP="00EA3B70">
            <w:pPr>
              <w:pStyle w:val="TableBody0"/>
              <w:spacing w:line="312" w:lineRule="auto"/>
            </w:pPr>
            <w:r>
              <w:t>6.2</w:t>
            </w:r>
          </w:p>
        </w:tc>
        <w:tc>
          <w:tcPr>
            <w:tcW w:w="3912" w:type="dxa"/>
          </w:tcPr>
          <w:p w14:paraId="5F223EB5" w14:textId="77777777" w:rsidR="0035303E" w:rsidRPr="007A3600" w:rsidRDefault="0035303E" w:rsidP="00EA3B70">
            <w:pPr>
              <w:pStyle w:val="Pa11"/>
              <w:spacing w:before="60" w:line="312" w:lineRule="auto"/>
              <w:rPr>
                <w:rFonts w:ascii="Arial" w:hAnsi="Arial" w:cs="Arial"/>
                <w:color w:val="000000"/>
                <w:lang w:val="en-GB"/>
              </w:rPr>
            </w:pPr>
            <w:r w:rsidRPr="007A3600">
              <w:rPr>
                <w:rFonts w:ascii="Arial" w:hAnsi="Arial" w:cs="Arial"/>
                <w:color w:val="000000"/>
                <w:lang w:val="en-GB"/>
              </w:rPr>
              <w:t>Information (including statistics) and analysis that relates to either or both of the following in the period:</w:t>
            </w:r>
          </w:p>
          <w:p w14:paraId="3FCC98B2" w14:textId="17B5743B" w:rsidR="0035303E" w:rsidRPr="007A3600" w:rsidRDefault="0035303E" w:rsidP="00254E68">
            <w:pPr>
              <w:pStyle w:val="TableBody0"/>
              <w:spacing w:before="60" w:after="0" w:line="312" w:lineRule="auto"/>
              <w:ind w:left="397" w:hanging="397"/>
              <w:rPr>
                <w:color w:val="000000"/>
                <w:lang w:val="en-GB"/>
              </w:rPr>
            </w:pPr>
            <w:r w:rsidRPr="007A3600">
              <w:rPr>
                <w:color w:val="000000"/>
                <w:lang w:val="en-GB"/>
              </w:rPr>
              <w:t>(i)</w:t>
            </w:r>
            <w:r w:rsidRPr="007A3600">
              <w:rPr>
                <w:color w:val="000000"/>
                <w:lang w:val="en-GB"/>
              </w:rPr>
              <w:tab/>
            </w:r>
            <w:r w:rsidRPr="0035303E">
              <w:rPr>
                <w:lang w:val="en-GB"/>
              </w:rPr>
              <w:t>participants</w:t>
            </w:r>
            <w:r w:rsidRPr="007A3600">
              <w:rPr>
                <w:color w:val="000000"/>
                <w:lang w:val="en-GB"/>
              </w:rPr>
              <w:t>;</w:t>
            </w:r>
          </w:p>
          <w:p w14:paraId="270AB091" w14:textId="77777777" w:rsidR="0035303E" w:rsidRPr="0054222F" w:rsidRDefault="0035303E" w:rsidP="00254E68">
            <w:pPr>
              <w:pStyle w:val="TableBody0"/>
              <w:spacing w:before="60" w:after="0" w:line="312" w:lineRule="auto"/>
              <w:ind w:left="397" w:hanging="397"/>
            </w:pPr>
            <w:r w:rsidRPr="007A3600">
              <w:rPr>
                <w:color w:val="000000"/>
                <w:lang w:val="en-GB"/>
              </w:rPr>
              <w:t>(ii)</w:t>
            </w:r>
            <w:r w:rsidRPr="007A3600">
              <w:rPr>
                <w:color w:val="000000"/>
                <w:lang w:val="en-GB"/>
              </w:rPr>
              <w:tab/>
            </w:r>
            <w:r w:rsidRPr="0035303E">
              <w:rPr>
                <w:lang w:val="en-GB"/>
              </w:rPr>
              <w:t>funding</w:t>
            </w:r>
            <w:r w:rsidRPr="007A3600">
              <w:rPr>
                <w:color w:val="000000"/>
                <w:lang w:val="en-GB"/>
              </w:rPr>
              <w:t xml:space="preserve"> or provision of supports by the Agency</w:t>
            </w:r>
          </w:p>
        </w:tc>
        <w:tc>
          <w:tcPr>
            <w:tcW w:w="1701" w:type="dxa"/>
          </w:tcPr>
          <w:p w14:paraId="60248497" w14:textId="77777777" w:rsidR="0035303E" w:rsidRPr="0054222F" w:rsidRDefault="0035303E" w:rsidP="00EA3B70">
            <w:pPr>
              <w:pStyle w:val="TableBody0"/>
              <w:spacing w:line="312" w:lineRule="auto"/>
            </w:pPr>
            <w:r w:rsidRPr="007A3600">
              <w:rPr>
                <w:color w:val="000000"/>
                <w:szCs w:val="24"/>
                <w:lang w:val="en-GB"/>
              </w:rPr>
              <w:t>Mandatory</w:t>
            </w:r>
          </w:p>
        </w:tc>
      </w:tr>
      <w:tr w:rsidR="0035303E" w:rsidRPr="0054222F" w14:paraId="455099B2"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29187668" w14:textId="77777777" w:rsidR="0035303E" w:rsidRPr="0054222F" w:rsidRDefault="0035303E" w:rsidP="00EA3B70">
            <w:pPr>
              <w:pStyle w:val="TableBody0"/>
              <w:spacing w:line="312" w:lineRule="auto"/>
            </w:pPr>
            <w:r w:rsidRPr="007A3600">
              <w:rPr>
                <w:color w:val="000000"/>
                <w:szCs w:val="24"/>
                <w:lang w:val="en-GB"/>
              </w:rPr>
              <w:t>(3)</w:t>
            </w:r>
          </w:p>
        </w:tc>
        <w:tc>
          <w:tcPr>
            <w:tcW w:w="1587" w:type="dxa"/>
          </w:tcPr>
          <w:p w14:paraId="2A834288" w14:textId="4DEB57A2" w:rsidR="0035303E" w:rsidRPr="0054222F" w:rsidRDefault="00C316CE" w:rsidP="00EA3B70">
            <w:pPr>
              <w:pStyle w:val="TableBody0"/>
              <w:spacing w:line="312" w:lineRule="auto"/>
            </w:pPr>
            <w:r>
              <w:t>3</w:t>
            </w:r>
          </w:p>
        </w:tc>
        <w:tc>
          <w:tcPr>
            <w:tcW w:w="3912" w:type="dxa"/>
          </w:tcPr>
          <w:p w14:paraId="089C3194" w14:textId="77777777" w:rsidR="0035303E" w:rsidRPr="0054222F" w:rsidRDefault="0035303E" w:rsidP="00EA3B70">
            <w:pPr>
              <w:pStyle w:val="TableBody0"/>
              <w:spacing w:line="312" w:lineRule="auto"/>
            </w:pPr>
            <w:r w:rsidRPr="007A3600">
              <w:rPr>
                <w:color w:val="000000"/>
                <w:szCs w:val="24"/>
                <w:lang w:val="en-GB"/>
              </w:rPr>
              <w:t>The Minister may, by legislative instrument, prescribe particular information, or analysis, described in paragraph (2)(c) that must be included in the annual report.</w:t>
            </w:r>
          </w:p>
        </w:tc>
        <w:tc>
          <w:tcPr>
            <w:tcW w:w="1701" w:type="dxa"/>
          </w:tcPr>
          <w:p w14:paraId="6B26A9E5" w14:textId="77777777" w:rsidR="0035303E" w:rsidRPr="0054222F" w:rsidRDefault="0035303E" w:rsidP="00EA3B70">
            <w:pPr>
              <w:pStyle w:val="TableBody0"/>
              <w:spacing w:line="312" w:lineRule="auto"/>
            </w:pPr>
            <w:r w:rsidRPr="007A3600">
              <w:rPr>
                <w:color w:val="000000"/>
                <w:szCs w:val="24"/>
                <w:lang w:val="en-GB"/>
              </w:rPr>
              <w:t>Mandatory (if applicable)</w:t>
            </w:r>
          </w:p>
        </w:tc>
      </w:tr>
      <w:tr w:rsidR="0035303E" w:rsidRPr="0054222F" w14:paraId="1BB1C337"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402523E5" w14:textId="77777777" w:rsidR="0035303E" w:rsidRPr="0054222F" w:rsidRDefault="0035303E" w:rsidP="00EA3B70">
            <w:pPr>
              <w:pStyle w:val="TableBody0"/>
              <w:spacing w:line="312" w:lineRule="auto"/>
            </w:pPr>
            <w:r w:rsidRPr="007A3600">
              <w:rPr>
                <w:color w:val="000000"/>
                <w:szCs w:val="24"/>
                <w:lang w:val="en-GB"/>
              </w:rPr>
              <w:t>(4)(a)</w:t>
            </w:r>
          </w:p>
        </w:tc>
        <w:tc>
          <w:tcPr>
            <w:tcW w:w="1587" w:type="dxa"/>
          </w:tcPr>
          <w:p w14:paraId="6BDEE70C" w14:textId="4F41367A" w:rsidR="0035303E" w:rsidRPr="0054222F" w:rsidRDefault="00C316CE" w:rsidP="00EA3B70">
            <w:pPr>
              <w:pStyle w:val="TableBody0"/>
              <w:spacing w:line="312" w:lineRule="auto"/>
            </w:pPr>
            <w:r>
              <w:t>3</w:t>
            </w:r>
          </w:p>
        </w:tc>
        <w:tc>
          <w:tcPr>
            <w:tcW w:w="3912" w:type="dxa"/>
          </w:tcPr>
          <w:p w14:paraId="6152B5E9" w14:textId="77777777" w:rsidR="0035303E" w:rsidRPr="0054222F" w:rsidRDefault="0035303E" w:rsidP="00EA3B70">
            <w:pPr>
              <w:pStyle w:val="TableBody0"/>
              <w:spacing w:line="312" w:lineRule="auto"/>
            </w:pPr>
            <w:r w:rsidRPr="007A3600">
              <w:rPr>
                <w:color w:val="000000"/>
                <w:szCs w:val="24"/>
                <w:lang w:val="en-GB"/>
              </w:rPr>
              <w:t>The summary, that was prepared under section 180B when the annual report was being prepared, of the annual financial sustainability report prepared then</w:t>
            </w:r>
          </w:p>
        </w:tc>
        <w:tc>
          <w:tcPr>
            <w:tcW w:w="1701" w:type="dxa"/>
          </w:tcPr>
          <w:p w14:paraId="3D19A3E8" w14:textId="77777777" w:rsidR="0035303E" w:rsidRPr="0054222F" w:rsidRDefault="0035303E" w:rsidP="00EA3B70">
            <w:pPr>
              <w:pStyle w:val="TableBody0"/>
              <w:spacing w:line="312" w:lineRule="auto"/>
            </w:pPr>
            <w:r w:rsidRPr="007A3600">
              <w:rPr>
                <w:color w:val="000000"/>
                <w:szCs w:val="24"/>
                <w:lang w:val="en-GB"/>
              </w:rPr>
              <w:t xml:space="preserve">Mandatory </w:t>
            </w:r>
          </w:p>
        </w:tc>
      </w:tr>
      <w:tr w:rsidR="0035303E" w:rsidRPr="0054222F" w14:paraId="3C1A9011"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0D9AD6D9" w14:textId="77777777" w:rsidR="0035303E" w:rsidRPr="0054222F" w:rsidRDefault="0035303E" w:rsidP="00EA3B70">
            <w:pPr>
              <w:pStyle w:val="TableBody0"/>
              <w:spacing w:line="312" w:lineRule="auto"/>
            </w:pPr>
            <w:r w:rsidRPr="007A3600">
              <w:rPr>
                <w:color w:val="000000"/>
                <w:szCs w:val="24"/>
                <w:lang w:val="en-GB"/>
              </w:rPr>
              <w:t>(4)(b)</w:t>
            </w:r>
          </w:p>
        </w:tc>
        <w:tc>
          <w:tcPr>
            <w:tcW w:w="1587" w:type="dxa"/>
          </w:tcPr>
          <w:p w14:paraId="0830E959" w14:textId="00B3A3CA" w:rsidR="0035303E" w:rsidRPr="0054222F" w:rsidRDefault="00C316CE" w:rsidP="00EA3B70">
            <w:pPr>
              <w:pStyle w:val="TableBody0"/>
              <w:spacing w:line="312" w:lineRule="auto"/>
            </w:pPr>
            <w:r>
              <w:t>3.</w:t>
            </w:r>
            <w:r w:rsidR="00EA67F1">
              <w:t>5</w:t>
            </w:r>
          </w:p>
        </w:tc>
        <w:tc>
          <w:tcPr>
            <w:tcW w:w="3912" w:type="dxa"/>
          </w:tcPr>
          <w:p w14:paraId="5774BCBE" w14:textId="77777777" w:rsidR="0035303E" w:rsidRPr="0054222F" w:rsidRDefault="0035303E" w:rsidP="00EA3B70">
            <w:pPr>
              <w:pStyle w:val="TableBody0"/>
              <w:spacing w:line="312" w:lineRule="auto"/>
            </w:pPr>
            <w:r w:rsidRPr="007A3600">
              <w:rPr>
                <w:color w:val="000000"/>
                <w:szCs w:val="24"/>
                <w:lang w:val="en-GB"/>
              </w:rPr>
              <w:t>The report of the reviewing actuary’s review under subsection 180E(2) of the summary mentioned in paragraph (4)(a)</w:t>
            </w:r>
          </w:p>
        </w:tc>
        <w:tc>
          <w:tcPr>
            <w:tcW w:w="1701" w:type="dxa"/>
          </w:tcPr>
          <w:p w14:paraId="3479B4D1" w14:textId="77777777" w:rsidR="0035303E" w:rsidRPr="0054222F" w:rsidRDefault="0035303E" w:rsidP="00EA3B70">
            <w:pPr>
              <w:pStyle w:val="TableBody0"/>
              <w:spacing w:line="312" w:lineRule="auto"/>
            </w:pPr>
            <w:r w:rsidRPr="007A3600">
              <w:rPr>
                <w:color w:val="000000"/>
                <w:szCs w:val="24"/>
                <w:lang w:val="en-GB"/>
              </w:rPr>
              <w:t>Mandatory</w:t>
            </w:r>
          </w:p>
        </w:tc>
      </w:tr>
      <w:tr w:rsidR="0035303E" w:rsidRPr="0054222F" w14:paraId="20580929"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6215A35B" w14:textId="77777777" w:rsidR="0035303E" w:rsidRPr="0054222F" w:rsidRDefault="0035303E" w:rsidP="00EA3B70">
            <w:pPr>
              <w:pStyle w:val="TableBody0"/>
              <w:spacing w:line="312" w:lineRule="auto"/>
            </w:pPr>
            <w:r w:rsidRPr="007A3600">
              <w:rPr>
                <w:b/>
                <w:bCs/>
                <w:color w:val="000000"/>
                <w:szCs w:val="24"/>
                <w:lang w:val="en-GB"/>
              </w:rPr>
              <w:t>Chapter 6, Part 6A, subsection 180b</w:t>
            </w:r>
          </w:p>
        </w:tc>
        <w:tc>
          <w:tcPr>
            <w:tcW w:w="1587" w:type="dxa"/>
          </w:tcPr>
          <w:p w14:paraId="7328C953" w14:textId="77777777" w:rsidR="0035303E" w:rsidRPr="0054222F" w:rsidRDefault="0035303E" w:rsidP="00EA3B70">
            <w:pPr>
              <w:pStyle w:val="TableBody0"/>
              <w:spacing w:line="312" w:lineRule="auto"/>
            </w:pPr>
            <w:r w:rsidRPr="007A3600">
              <w:rPr>
                <w:color w:val="FFFFFF"/>
                <w:lang w:val="en-GB"/>
              </w:rPr>
              <w:t>blank</w:t>
            </w:r>
          </w:p>
        </w:tc>
        <w:tc>
          <w:tcPr>
            <w:tcW w:w="3912" w:type="dxa"/>
          </w:tcPr>
          <w:p w14:paraId="7EC06B3C" w14:textId="77777777" w:rsidR="0035303E" w:rsidRPr="0054222F" w:rsidRDefault="0035303E" w:rsidP="00EA3B70">
            <w:pPr>
              <w:pStyle w:val="TableBody0"/>
              <w:spacing w:line="312" w:lineRule="auto"/>
            </w:pPr>
            <w:r w:rsidRPr="007A3600">
              <w:rPr>
                <w:color w:val="FFFFFF"/>
                <w:lang w:val="en-GB"/>
              </w:rPr>
              <w:t>blank</w:t>
            </w:r>
          </w:p>
        </w:tc>
        <w:tc>
          <w:tcPr>
            <w:tcW w:w="1701" w:type="dxa"/>
          </w:tcPr>
          <w:p w14:paraId="36DEE731" w14:textId="77777777" w:rsidR="0035303E" w:rsidRPr="0054222F" w:rsidRDefault="0035303E" w:rsidP="00EA3B70">
            <w:pPr>
              <w:pStyle w:val="TableBody0"/>
              <w:spacing w:line="312" w:lineRule="auto"/>
            </w:pPr>
            <w:r w:rsidRPr="007A3600">
              <w:rPr>
                <w:color w:val="FFFFFF"/>
                <w:lang w:val="en-GB"/>
              </w:rPr>
              <w:t>blank</w:t>
            </w:r>
          </w:p>
        </w:tc>
      </w:tr>
      <w:tr w:rsidR="0035303E" w:rsidRPr="0054222F" w14:paraId="140DA52D"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6C6432DF" w14:textId="77777777" w:rsidR="0035303E" w:rsidRPr="0054222F" w:rsidRDefault="0035303E" w:rsidP="00EA3B70">
            <w:pPr>
              <w:pStyle w:val="TableBody0"/>
              <w:spacing w:line="312" w:lineRule="auto"/>
            </w:pPr>
            <w:r w:rsidRPr="007A3600">
              <w:rPr>
                <w:color w:val="000000"/>
                <w:szCs w:val="24"/>
                <w:lang w:val="en-GB"/>
              </w:rPr>
              <w:t>(1)(a)</w:t>
            </w:r>
          </w:p>
        </w:tc>
        <w:tc>
          <w:tcPr>
            <w:tcW w:w="1587" w:type="dxa"/>
          </w:tcPr>
          <w:p w14:paraId="5B009211" w14:textId="1D9A3768" w:rsidR="0035303E" w:rsidRPr="0054222F" w:rsidRDefault="00C316CE" w:rsidP="00EA3B70">
            <w:pPr>
              <w:pStyle w:val="TableBody0"/>
              <w:spacing w:line="312" w:lineRule="auto"/>
            </w:pPr>
            <w:r>
              <w:t>3</w:t>
            </w:r>
          </w:p>
        </w:tc>
        <w:tc>
          <w:tcPr>
            <w:tcW w:w="3912" w:type="dxa"/>
          </w:tcPr>
          <w:p w14:paraId="3FF07629" w14:textId="6BB20F25" w:rsidR="0035303E" w:rsidRPr="007A3600" w:rsidRDefault="0035303E" w:rsidP="00EA3B70">
            <w:pPr>
              <w:pStyle w:val="TableBody0"/>
              <w:spacing w:before="60" w:after="0" w:line="312" w:lineRule="auto"/>
              <w:rPr>
                <w:lang w:val="en-GB"/>
              </w:rPr>
            </w:pPr>
            <w:r w:rsidRPr="007A3600">
              <w:rPr>
                <w:lang w:val="en-GB"/>
              </w:rPr>
              <w:t>(1) The scheme actuary must do all of the following each time an annual report is being prepared by the Board members under section</w:t>
            </w:r>
            <w:r w:rsidR="00463231">
              <w:rPr>
                <w:lang w:val="en-GB"/>
              </w:rPr>
              <w:t xml:space="preserve"> </w:t>
            </w:r>
            <w:r w:rsidRPr="007A3600">
              <w:rPr>
                <w:lang w:val="en-GB"/>
              </w:rPr>
              <w:t>46 of the</w:t>
            </w:r>
            <w:r w:rsidR="00463231">
              <w:rPr>
                <w:lang w:val="en-GB"/>
              </w:rPr>
              <w:t xml:space="preserve"> </w:t>
            </w:r>
            <w:r w:rsidRPr="00021FF6">
              <w:rPr>
                <w:i/>
                <w:iCs/>
                <w:lang w:val="en-GB"/>
              </w:rPr>
              <w:t>Public Governance, Performance and Accountability Act 2013</w:t>
            </w:r>
            <w:r w:rsidRPr="007A3600">
              <w:rPr>
                <w:lang w:val="en-GB"/>
              </w:rPr>
              <w:t>:</w:t>
            </w:r>
          </w:p>
          <w:p w14:paraId="06F1D086" w14:textId="77777777" w:rsidR="0035303E" w:rsidRPr="007A3600" w:rsidRDefault="0035303E" w:rsidP="00254E68">
            <w:pPr>
              <w:pStyle w:val="TableBody0"/>
              <w:spacing w:before="60" w:after="0" w:line="312" w:lineRule="auto"/>
              <w:ind w:left="397" w:hanging="397"/>
              <w:rPr>
                <w:lang w:val="en-GB"/>
              </w:rPr>
            </w:pPr>
            <w:r w:rsidRPr="007A3600">
              <w:rPr>
                <w:lang w:val="en-GB"/>
              </w:rPr>
              <w:t>(a)</w:t>
            </w:r>
            <w:r w:rsidRPr="007A3600">
              <w:rPr>
                <w:lang w:val="en-GB"/>
              </w:rPr>
              <w:tab/>
              <w:t>assess:</w:t>
            </w:r>
          </w:p>
          <w:p w14:paraId="05D95F0D" w14:textId="77777777" w:rsidR="0035303E" w:rsidRPr="007A3600" w:rsidRDefault="0035303E" w:rsidP="00254E68">
            <w:pPr>
              <w:pStyle w:val="TableBody0"/>
              <w:spacing w:before="60" w:after="0" w:line="312" w:lineRule="auto"/>
              <w:ind w:left="794" w:hanging="397"/>
              <w:rPr>
                <w:lang w:val="en-GB"/>
              </w:rPr>
            </w:pPr>
            <w:r w:rsidRPr="007A3600">
              <w:rPr>
                <w:lang w:val="en-GB"/>
              </w:rPr>
              <w:t>(i)</w:t>
            </w:r>
            <w:r w:rsidRPr="007A3600">
              <w:rPr>
                <w:lang w:val="en-GB"/>
              </w:rPr>
              <w:tab/>
              <w:t>the financial sustainability of the National Disability Insurance Scheme</w:t>
            </w:r>
          </w:p>
          <w:p w14:paraId="7F203C4D" w14:textId="77777777" w:rsidR="0035303E" w:rsidRPr="007A3600" w:rsidRDefault="0035303E" w:rsidP="00254E68">
            <w:pPr>
              <w:pStyle w:val="TableBody0"/>
              <w:spacing w:before="60" w:after="0" w:line="312" w:lineRule="auto"/>
              <w:ind w:left="794" w:hanging="397"/>
              <w:rPr>
                <w:lang w:val="en-GB"/>
              </w:rPr>
            </w:pPr>
            <w:r w:rsidRPr="007A3600">
              <w:rPr>
                <w:lang w:val="en-GB"/>
              </w:rPr>
              <w:t>(ii)</w:t>
            </w:r>
            <w:r w:rsidRPr="007A3600">
              <w:rPr>
                <w:lang w:val="en-GB"/>
              </w:rPr>
              <w:tab/>
              <w:t>risks to that sustainability</w:t>
            </w:r>
          </w:p>
          <w:p w14:paraId="12B65A39" w14:textId="77777777" w:rsidR="0035303E" w:rsidRPr="0054222F" w:rsidRDefault="0035303E" w:rsidP="00254E68">
            <w:pPr>
              <w:pStyle w:val="TableBody0"/>
              <w:spacing w:before="60" w:after="0" w:line="312" w:lineRule="auto"/>
              <w:ind w:left="794" w:hanging="397"/>
            </w:pPr>
            <w:r w:rsidRPr="007A3600">
              <w:rPr>
                <w:lang w:val="en-GB"/>
              </w:rPr>
              <w:t>(iii)</w:t>
            </w:r>
            <w:r w:rsidRPr="007A3600">
              <w:rPr>
                <w:lang w:val="en-GB"/>
              </w:rPr>
              <w:tab/>
              <w:t>on the basis of information held by the Agency, any trends in provision of supports to people with disability;</w:t>
            </w:r>
          </w:p>
        </w:tc>
        <w:tc>
          <w:tcPr>
            <w:tcW w:w="1701" w:type="dxa"/>
          </w:tcPr>
          <w:p w14:paraId="78B0071C" w14:textId="77777777" w:rsidR="0035303E" w:rsidRPr="0054222F" w:rsidRDefault="0035303E" w:rsidP="00EA3B70">
            <w:pPr>
              <w:pStyle w:val="TableBody0"/>
              <w:spacing w:line="312" w:lineRule="auto"/>
            </w:pPr>
            <w:r w:rsidRPr="007A3600">
              <w:rPr>
                <w:lang w:val="en-GB"/>
              </w:rPr>
              <w:t>Mandatory</w:t>
            </w:r>
          </w:p>
        </w:tc>
      </w:tr>
      <w:tr w:rsidR="0035303E" w:rsidRPr="0054222F" w14:paraId="43605C19"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6A866751" w14:textId="77777777" w:rsidR="0035303E" w:rsidRPr="0054222F" w:rsidRDefault="0035303E" w:rsidP="00EA3B70">
            <w:pPr>
              <w:pStyle w:val="TableBody0"/>
              <w:spacing w:line="312" w:lineRule="auto"/>
            </w:pPr>
            <w:r w:rsidRPr="007A3600">
              <w:rPr>
                <w:color w:val="000000"/>
                <w:szCs w:val="24"/>
                <w:lang w:val="en-GB"/>
              </w:rPr>
              <w:t>(1)(b)</w:t>
            </w:r>
          </w:p>
        </w:tc>
        <w:tc>
          <w:tcPr>
            <w:tcW w:w="1587" w:type="dxa"/>
          </w:tcPr>
          <w:p w14:paraId="41368291" w14:textId="404C6168" w:rsidR="0035303E" w:rsidRPr="0054222F" w:rsidRDefault="00C316CE" w:rsidP="00EA3B70">
            <w:pPr>
              <w:pStyle w:val="TableBody0"/>
              <w:spacing w:line="312" w:lineRule="auto"/>
            </w:pPr>
            <w:r>
              <w:t>3</w:t>
            </w:r>
          </w:p>
        </w:tc>
        <w:tc>
          <w:tcPr>
            <w:tcW w:w="3912" w:type="dxa"/>
          </w:tcPr>
          <w:p w14:paraId="633BBCFB" w14:textId="77777777" w:rsidR="0035303E" w:rsidRPr="0054222F" w:rsidRDefault="0035303E" w:rsidP="00EA3B70">
            <w:pPr>
              <w:pStyle w:val="TableBody0"/>
              <w:spacing w:before="60" w:after="0" w:line="312" w:lineRule="auto"/>
              <w:ind w:left="480" w:hanging="480"/>
            </w:pPr>
            <w:r w:rsidRPr="007A3600">
              <w:rPr>
                <w:lang w:val="en-GB"/>
              </w:rPr>
              <w:t>(b)</w:t>
            </w:r>
            <w:r w:rsidRPr="007A3600">
              <w:rPr>
                <w:lang w:val="en-GB"/>
              </w:rPr>
              <w:tab/>
              <w:t>consider the causes of those risks and trends;</w:t>
            </w:r>
          </w:p>
        </w:tc>
        <w:tc>
          <w:tcPr>
            <w:tcW w:w="1701" w:type="dxa"/>
          </w:tcPr>
          <w:p w14:paraId="05CDCDE4" w14:textId="77777777" w:rsidR="0035303E" w:rsidRPr="0054222F" w:rsidRDefault="0035303E" w:rsidP="00EA3B70">
            <w:pPr>
              <w:pStyle w:val="TableBody0"/>
              <w:spacing w:line="312" w:lineRule="auto"/>
            </w:pPr>
            <w:r w:rsidRPr="007A3600">
              <w:rPr>
                <w:lang w:val="en-GB"/>
              </w:rPr>
              <w:t>Mandatory</w:t>
            </w:r>
          </w:p>
        </w:tc>
      </w:tr>
      <w:tr w:rsidR="0035303E" w:rsidRPr="0054222F" w14:paraId="3C3ECA3A"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62BA14BB" w14:textId="77777777" w:rsidR="0035303E" w:rsidRPr="0054222F" w:rsidRDefault="0035303E" w:rsidP="00EA3B70">
            <w:pPr>
              <w:pStyle w:val="TableBody0"/>
              <w:spacing w:line="312" w:lineRule="auto"/>
            </w:pPr>
            <w:r w:rsidRPr="007A3600">
              <w:rPr>
                <w:color w:val="000000"/>
                <w:szCs w:val="24"/>
                <w:lang w:val="en-GB"/>
              </w:rPr>
              <w:t>(1)(c)</w:t>
            </w:r>
          </w:p>
        </w:tc>
        <w:tc>
          <w:tcPr>
            <w:tcW w:w="1587" w:type="dxa"/>
          </w:tcPr>
          <w:p w14:paraId="17BA281F" w14:textId="4D419757" w:rsidR="0035303E" w:rsidRPr="0054222F" w:rsidRDefault="00C316CE" w:rsidP="00EA3B70">
            <w:pPr>
              <w:pStyle w:val="TableBody0"/>
              <w:spacing w:line="312" w:lineRule="auto"/>
            </w:pPr>
            <w:r>
              <w:t>3</w:t>
            </w:r>
          </w:p>
        </w:tc>
        <w:tc>
          <w:tcPr>
            <w:tcW w:w="3912" w:type="dxa"/>
          </w:tcPr>
          <w:p w14:paraId="5BA1ED19" w14:textId="77777777" w:rsidR="0035303E" w:rsidRPr="0054222F" w:rsidRDefault="0035303E" w:rsidP="00EA3B70">
            <w:pPr>
              <w:pStyle w:val="TableBody0"/>
              <w:spacing w:before="60" w:after="0" w:line="312" w:lineRule="auto"/>
              <w:ind w:left="480" w:hanging="480"/>
            </w:pPr>
            <w:r w:rsidRPr="007A3600">
              <w:rPr>
                <w:lang w:val="en-GB"/>
              </w:rPr>
              <w:t>(c)</w:t>
            </w:r>
            <w:r w:rsidRPr="007A3600">
              <w:rPr>
                <w:lang w:val="en-GB"/>
              </w:rPr>
              <w:tab/>
              <w:t>make estimates of future expenditure of the National Disability Insurance Scheme;</w:t>
            </w:r>
          </w:p>
        </w:tc>
        <w:tc>
          <w:tcPr>
            <w:tcW w:w="1701" w:type="dxa"/>
          </w:tcPr>
          <w:p w14:paraId="6E11CEFE" w14:textId="77777777" w:rsidR="0035303E" w:rsidRPr="0054222F" w:rsidRDefault="0035303E" w:rsidP="00EA3B70">
            <w:pPr>
              <w:pStyle w:val="TableBody0"/>
              <w:spacing w:line="312" w:lineRule="auto"/>
            </w:pPr>
            <w:r w:rsidRPr="007A3600">
              <w:rPr>
                <w:lang w:val="en-GB"/>
              </w:rPr>
              <w:t>Mandatory</w:t>
            </w:r>
          </w:p>
        </w:tc>
      </w:tr>
      <w:tr w:rsidR="0035303E" w:rsidRPr="0054222F" w14:paraId="646E12F5" w14:textId="77777777" w:rsidTr="00131004">
        <w:trPr>
          <w:cnfStyle w:val="000000010000" w:firstRow="0" w:lastRow="0" w:firstColumn="0" w:lastColumn="0" w:oddVBand="0" w:evenVBand="0" w:oddHBand="0" w:evenHBand="1" w:firstRowFirstColumn="0" w:firstRowLastColumn="0" w:lastRowFirstColumn="0" w:lastRowLastColumn="0"/>
          <w:cantSplit/>
        </w:trPr>
        <w:tc>
          <w:tcPr>
            <w:tcW w:w="2098" w:type="dxa"/>
          </w:tcPr>
          <w:p w14:paraId="4FE0F8E6" w14:textId="77777777" w:rsidR="0035303E" w:rsidRPr="0054222F" w:rsidRDefault="0035303E" w:rsidP="00EA3B70">
            <w:pPr>
              <w:pStyle w:val="TableBody0"/>
              <w:spacing w:line="312" w:lineRule="auto"/>
            </w:pPr>
            <w:r w:rsidRPr="007A3600">
              <w:rPr>
                <w:color w:val="000000"/>
                <w:szCs w:val="24"/>
                <w:lang w:val="en-GB"/>
              </w:rPr>
              <w:t>(1)(d)</w:t>
            </w:r>
          </w:p>
        </w:tc>
        <w:tc>
          <w:tcPr>
            <w:tcW w:w="1587" w:type="dxa"/>
          </w:tcPr>
          <w:p w14:paraId="04B963A1" w14:textId="6857C629" w:rsidR="0035303E" w:rsidRPr="0054222F" w:rsidRDefault="00C316CE" w:rsidP="00EA3B70">
            <w:pPr>
              <w:pStyle w:val="TableBody0"/>
              <w:spacing w:line="312" w:lineRule="auto"/>
            </w:pPr>
            <w:r>
              <w:t>3</w:t>
            </w:r>
          </w:p>
        </w:tc>
        <w:tc>
          <w:tcPr>
            <w:tcW w:w="3912" w:type="dxa"/>
          </w:tcPr>
          <w:p w14:paraId="572FC352" w14:textId="77777777" w:rsidR="0035303E" w:rsidRPr="0054222F" w:rsidRDefault="0035303E" w:rsidP="00EA3B70">
            <w:pPr>
              <w:pStyle w:val="TableBody0"/>
              <w:spacing w:before="60" w:after="0" w:line="312" w:lineRule="auto"/>
              <w:ind w:left="480" w:hanging="480"/>
            </w:pPr>
            <w:r w:rsidRPr="007A3600">
              <w:rPr>
                <w:lang w:val="en-GB"/>
              </w:rPr>
              <w:t>(d)</w:t>
            </w:r>
            <w:r w:rsidRPr="007A3600">
              <w:rPr>
                <w:lang w:val="en-GB"/>
              </w:rPr>
              <w:tab/>
              <w:t>prepare a report of that assessment, consideration and estimation;</w:t>
            </w:r>
          </w:p>
        </w:tc>
        <w:tc>
          <w:tcPr>
            <w:tcW w:w="1701" w:type="dxa"/>
          </w:tcPr>
          <w:p w14:paraId="5E650498" w14:textId="77777777" w:rsidR="0035303E" w:rsidRPr="0054222F" w:rsidRDefault="0035303E" w:rsidP="00EA3B70">
            <w:pPr>
              <w:pStyle w:val="TableBody0"/>
              <w:spacing w:line="312" w:lineRule="auto"/>
            </w:pPr>
            <w:r w:rsidRPr="007A3600">
              <w:rPr>
                <w:lang w:val="en-GB"/>
              </w:rPr>
              <w:t>Mandatory</w:t>
            </w:r>
          </w:p>
        </w:tc>
      </w:tr>
      <w:tr w:rsidR="0035303E" w:rsidRPr="0054222F" w14:paraId="51059067" w14:textId="77777777" w:rsidTr="00131004">
        <w:trPr>
          <w:cnfStyle w:val="000000100000" w:firstRow="0" w:lastRow="0" w:firstColumn="0" w:lastColumn="0" w:oddVBand="0" w:evenVBand="0" w:oddHBand="1" w:evenHBand="0" w:firstRowFirstColumn="0" w:firstRowLastColumn="0" w:lastRowFirstColumn="0" w:lastRowLastColumn="0"/>
          <w:cantSplit/>
        </w:trPr>
        <w:tc>
          <w:tcPr>
            <w:tcW w:w="2098" w:type="dxa"/>
          </w:tcPr>
          <w:p w14:paraId="6DDA35BD" w14:textId="77777777" w:rsidR="0035303E" w:rsidRPr="0054222F" w:rsidRDefault="0035303E" w:rsidP="00EA3B70">
            <w:pPr>
              <w:pStyle w:val="TableBody0"/>
              <w:spacing w:line="312" w:lineRule="auto"/>
            </w:pPr>
            <w:r w:rsidRPr="007A3600">
              <w:rPr>
                <w:color w:val="000000"/>
                <w:szCs w:val="24"/>
                <w:lang w:val="en-GB"/>
              </w:rPr>
              <w:t>(1)(e)</w:t>
            </w:r>
          </w:p>
        </w:tc>
        <w:tc>
          <w:tcPr>
            <w:tcW w:w="1587" w:type="dxa"/>
          </w:tcPr>
          <w:p w14:paraId="674C93B6" w14:textId="0A59FFC5" w:rsidR="0035303E" w:rsidRPr="0054222F" w:rsidRDefault="00C316CE" w:rsidP="00EA3B70">
            <w:pPr>
              <w:pStyle w:val="TableBody0"/>
              <w:spacing w:line="312" w:lineRule="auto"/>
            </w:pPr>
            <w:r>
              <w:t>3</w:t>
            </w:r>
          </w:p>
        </w:tc>
        <w:tc>
          <w:tcPr>
            <w:tcW w:w="3912" w:type="dxa"/>
          </w:tcPr>
          <w:p w14:paraId="7FCB9749" w14:textId="0152CA07" w:rsidR="0035303E" w:rsidRPr="0054222F" w:rsidRDefault="0035303E" w:rsidP="00EA3B70">
            <w:pPr>
              <w:pStyle w:val="TableBody0"/>
              <w:spacing w:before="60" w:after="0" w:line="312" w:lineRule="auto"/>
              <w:ind w:left="480" w:hanging="480"/>
            </w:pPr>
            <w:r w:rsidRPr="007A3600">
              <w:rPr>
                <w:lang w:val="en-GB"/>
              </w:rPr>
              <w:t>(e)</w:t>
            </w:r>
            <w:r w:rsidRPr="007A3600">
              <w:rPr>
                <w:lang w:val="en-GB"/>
              </w:rPr>
              <w:tab/>
              <w:t>prepare a summary of that report that includes the estimates described in paragraph</w:t>
            </w:r>
            <w:r w:rsidR="00463231">
              <w:rPr>
                <w:lang w:val="en-GB"/>
              </w:rPr>
              <w:t xml:space="preserve"> </w:t>
            </w:r>
            <w:r w:rsidRPr="007A3600">
              <w:rPr>
                <w:lang w:val="en-GB"/>
              </w:rPr>
              <w:t>(c).</w:t>
            </w:r>
          </w:p>
        </w:tc>
        <w:tc>
          <w:tcPr>
            <w:tcW w:w="1701" w:type="dxa"/>
          </w:tcPr>
          <w:p w14:paraId="4077DA7C" w14:textId="77777777" w:rsidR="0035303E" w:rsidRPr="0054222F" w:rsidRDefault="0035303E" w:rsidP="00EA3B70">
            <w:pPr>
              <w:pStyle w:val="TableBody0"/>
              <w:spacing w:line="312" w:lineRule="auto"/>
            </w:pPr>
            <w:r w:rsidRPr="007A3600">
              <w:rPr>
                <w:lang w:val="en-GB"/>
              </w:rPr>
              <w:t>Mandatory</w:t>
            </w:r>
          </w:p>
        </w:tc>
      </w:tr>
    </w:tbl>
    <w:p w14:paraId="4EE17628" w14:textId="77777777" w:rsidR="004530D1" w:rsidRDefault="004530D1">
      <w:pPr>
        <w:spacing w:before="120" w:line="288" w:lineRule="auto"/>
      </w:pPr>
      <w:r>
        <w:br w:type="page"/>
      </w:r>
    </w:p>
    <w:p w14:paraId="4B10E354" w14:textId="77777777" w:rsidR="001946FE" w:rsidRPr="00E8103A" w:rsidRDefault="0085626E" w:rsidP="00741632">
      <w:pPr>
        <w:rPr>
          <w:rStyle w:val="Strong"/>
        </w:rPr>
      </w:pPr>
      <w:r w:rsidRPr="00E8103A">
        <w:rPr>
          <w:rStyle w:val="Strong"/>
        </w:rPr>
        <w:t>Disclaimer</w:t>
      </w:r>
    </w:p>
    <w:p w14:paraId="4BEAAF1D" w14:textId="57A4F417" w:rsidR="003B588F" w:rsidRPr="00AE78C2" w:rsidRDefault="0012692C" w:rsidP="00741632">
      <w:r w:rsidRPr="00AE78C2">
        <w:t>The material in this document, with the exception of logos, trademarks, third party materials and other content as specified is licensed under Creative Commons CC-BY-NC</w:t>
      </w:r>
      <w:r w:rsidR="005D770B">
        <w:t>-</w:t>
      </w:r>
      <w:r w:rsidRPr="00AE78C2">
        <w:t>ND licence, version 4.0 International. You may share, copy and redistribute the document in any format. You must acknowledge the National Disability Insurance Agency as the owner of all intellectual property rights in the reproduced material by using ‘© National Disability Insurance Agency’ and you must not use the material for commercial purposes. If you remix, transform or build upon the material contained in this document, you must not distribute the modified material.</w:t>
      </w:r>
    </w:p>
    <w:p w14:paraId="3A7ECB6D" w14:textId="098EC624" w:rsidR="003C1BEB" w:rsidRPr="00741632" w:rsidRDefault="003B588F" w:rsidP="00741632">
      <w:r w:rsidRPr="00AE78C2">
        <w:rPr>
          <w:rFonts w:eastAsia="Times New Roman"/>
          <w:noProof/>
          <w:lang w:val="en-GB" w:eastAsia="ja-JP"/>
        </w:rPr>
        <w:drawing>
          <wp:inline distT="0" distB="0" distL="0" distR="0" wp14:anchorId="5EDBBAC9" wp14:editId="2E999F64">
            <wp:extent cx="1394460" cy="480060"/>
            <wp:effectExtent l="0" t="0" r="0" b="0"/>
            <wp:docPr id="1033969000" name="Picture 1" descr="Image for the Creative Commons license with the symbols for CC: Creative Commons, BY: credit must be given to the creator, NC: only non-commercial uses of the work are permitted; ND: No derivatives or adaptations of the work are permitted.">
              <a:extLst xmlns:a="http://schemas.openxmlformats.org/drawingml/2006/main">
                <a:ext uri="{FF2B5EF4-FFF2-40B4-BE49-F238E27FC236}">
                  <a16:creationId xmlns:a16="http://schemas.microsoft.com/office/drawing/2014/main" id="{834AD89F-606E-43C0-9AC8-F0B4B6F465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69000" name="Picture 1" descr="Image for the Creative Commons license with the symbols for CC: Creative Commons, BY: credit must be given to the creator, NC: only non-commercial uses of the work are permitted; ND: No derivatives or adaptations of the work are permit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394460" cy="480060"/>
                    </a:xfrm>
                    <a:prstGeom prst="rect">
                      <a:avLst/>
                    </a:prstGeom>
                    <a:noFill/>
                    <a:ln>
                      <a:noFill/>
                    </a:ln>
                  </pic:spPr>
                </pic:pic>
              </a:graphicData>
            </a:graphic>
          </wp:inline>
        </w:drawing>
      </w:r>
      <w:bookmarkEnd w:id="79"/>
    </w:p>
    <w:sectPr w:rsidR="003C1BEB" w:rsidRPr="00741632" w:rsidSect="00EB1047">
      <w:type w:val="continuous"/>
      <w:pgSz w:w="11906" w:h="16838" w:code="9"/>
      <w:pgMar w:top="1247" w:right="1440" w:bottom="1247" w:left="1440"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292A2" w14:textId="77777777" w:rsidR="009B756B" w:rsidRDefault="009B756B">
      <w:pPr>
        <w:spacing w:after="0" w:line="240" w:lineRule="auto"/>
      </w:pPr>
      <w:r>
        <w:separator/>
      </w:r>
    </w:p>
  </w:endnote>
  <w:endnote w:type="continuationSeparator" w:id="0">
    <w:p w14:paraId="57886E98" w14:textId="77777777" w:rsidR="009B756B" w:rsidRDefault="009B7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SMePro">
    <w:altName w:val="Calibri"/>
    <w:charset w:val="00"/>
    <w:family w:val="auto"/>
    <w:pitch w:val="variable"/>
    <w:sig w:usb0="A00002EF" w:usb1="4000606A" w:usb2="00000000" w:usb3="00000000" w:csb0="0000009F" w:csb1="00000000"/>
  </w:font>
  <w:font w:name="Arial Bold">
    <w:altName w:val="Arial"/>
    <w:panose1 w:val="020B0704020202020204"/>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FS Me Pro">
    <w:altName w:val="Calibri"/>
    <w:charset w:val="00"/>
    <w:family w:val="auto"/>
    <w:pitch w:val="variable"/>
    <w:sig w:usb0="A00002EF" w:usb1="4000606A"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566974"/>
      <w:docPartObj>
        <w:docPartGallery w:val="Page Numbers (Bottom of Page)"/>
        <w:docPartUnique/>
      </w:docPartObj>
    </w:sdtPr>
    <w:sdtEndPr/>
    <w:sdtContent>
      <w:p w14:paraId="4FF8F62F" w14:textId="3D494328" w:rsidR="001F7E06" w:rsidRPr="001F7E06" w:rsidRDefault="001F7E06" w:rsidP="00E87B16">
        <w:pPr>
          <w:pStyle w:val="Footer-bar"/>
          <w:tabs>
            <w:tab w:val="clear" w:pos="9026"/>
            <w:tab w:val="right" w:pos="9184"/>
          </w:tabs>
          <w:rPr>
            <w:color w:val="auto"/>
          </w:rPr>
        </w:pPr>
        <w:r w:rsidRPr="009F4E02">
          <w:t>ndis.gov.au</w:t>
        </w:r>
        <w:r w:rsidR="00C254FF">
          <w:tab/>
        </w:r>
        <w:r w:rsidR="00C5623B">
          <w:rPr>
            <w:b w:val="0"/>
            <w:bCs/>
          </w:rPr>
          <w:t>NDIA Annual Report 2025–26</w:t>
        </w:r>
        <w:r w:rsidRPr="009F4E02">
          <w:tab/>
        </w:r>
        <w:r w:rsidRPr="009F4E02">
          <w:fldChar w:fldCharType="begin"/>
        </w:r>
        <w:r w:rsidRPr="009F4E02">
          <w:instrText xml:space="preserve"> PAGE </w:instrText>
        </w:r>
        <w:r w:rsidRPr="009F4E02">
          <w:fldChar w:fldCharType="separate"/>
        </w:r>
        <w:r>
          <w:t>2</w:t>
        </w:r>
        <w:r w:rsidRPr="009F4E02">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0311057"/>
      <w:docPartObj>
        <w:docPartGallery w:val="Page Numbers (Bottom of Page)"/>
        <w:docPartUnique/>
      </w:docPartObj>
    </w:sdtPr>
    <w:sdtEndPr>
      <w:rPr>
        <w:rStyle w:val="PageNumber"/>
      </w:rPr>
    </w:sdtEndPr>
    <w:sdtContent>
      <w:p w14:paraId="02B46A80" w14:textId="77777777" w:rsidR="001F7E06" w:rsidRDefault="001F7E06" w:rsidP="001F7E06">
        <w:pPr>
          <w:pStyle w:val="Footer"/>
          <w:spacing w:after="200"/>
        </w:pPr>
        <w:r w:rsidRPr="0008609C">
          <w:t>ndis.gov.a</w:t>
        </w:r>
        <w:r>
          <w:t>u</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206765"/>
      <w:docPartObj>
        <w:docPartGallery w:val="Page Numbers (Bottom of Page)"/>
        <w:docPartUnique/>
      </w:docPartObj>
    </w:sdtPr>
    <w:sdtEndPr/>
    <w:sdtContent>
      <w:p w14:paraId="30C0A351" w14:textId="64C0F942" w:rsidR="0096130D" w:rsidRPr="001F7E06" w:rsidRDefault="0096130D" w:rsidP="00E87B16">
        <w:pPr>
          <w:pStyle w:val="Footer-bar"/>
          <w:tabs>
            <w:tab w:val="clear" w:pos="9026"/>
            <w:tab w:val="right" w:pos="9184"/>
          </w:tabs>
          <w:rPr>
            <w:color w:val="auto"/>
          </w:rPr>
        </w:pPr>
        <w:r w:rsidRPr="009F4E02">
          <w:t>ndis.gov.au</w:t>
        </w:r>
        <w:r w:rsidR="000F0729">
          <w:tab/>
        </w:r>
        <w:r w:rsidR="00E4306F">
          <w:rPr>
            <w:b w:val="0"/>
            <w:bCs/>
          </w:rPr>
          <w:t>NDIA Annual Report 2025–26</w:t>
        </w:r>
        <w:r w:rsidRPr="009F4E02">
          <w:tab/>
        </w:r>
        <w:r w:rsidRPr="009F4E02">
          <w:fldChar w:fldCharType="begin"/>
        </w:r>
        <w:r w:rsidRPr="009F4E02">
          <w:instrText xml:space="preserve"> PAGE </w:instrText>
        </w:r>
        <w:r w:rsidRPr="009F4E02">
          <w:fldChar w:fldCharType="separate"/>
        </w:r>
        <w:r>
          <w:t>2</w:t>
        </w:r>
        <w:r w:rsidRPr="009F4E02">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1F739" w14:textId="77777777" w:rsidR="0096130D" w:rsidRPr="00CB6A42" w:rsidRDefault="0096130D" w:rsidP="001F7E06">
    <w:pPr>
      <w:pStyle w:val="Header"/>
    </w:pPr>
    <w:r w:rsidRPr="00CB6A42">
      <w:t>OFFICIAL</w:t>
    </w:r>
  </w:p>
  <w:sdt>
    <w:sdtPr>
      <w:rPr>
        <w:rStyle w:val="PageNumber"/>
      </w:rPr>
      <w:id w:val="-679194834"/>
      <w:docPartObj>
        <w:docPartGallery w:val="Page Numbers (Bottom of Page)"/>
        <w:docPartUnique/>
      </w:docPartObj>
    </w:sdtPr>
    <w:sdtEndPr>
      <w:rPr>
        <w:rStyle w:val="PageNumber"/>
      </w:rPr>
    </w:sdtEndPr>
    <w:sdtContent>
      <w:p w14:paraId="72F64BFA" w14:textId="77777777" w:rsidR="0096130D" w:rsidRDefault="0096130D" w:rsidP="001F7E06">
        <w:pPr>
          <w:pStyle w:val="Footer"/>
          <w:spacing w:after="200"/>
        </w:pPr>
        <w:r w:rsidRPr="0008609C">
          <w:t>ndis.gov.a</w:t>
        </w:r>
        <w:r>
          <w:t>u</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4457788"/>
      <w:docPartObj>
        <w:docPartGallery w:val="Page Numbers (Bottom of Page)"/>
        <w:docPartUnique/>
      </w:docPartObj>
    </w:sdtPr>
    <w:sdtEndPr/>
    <w:sdtContent>
      <w:p w14:paraId="5854B280" w14:textId="01BAF343" w:rsidR="00E228A7" w:rsidRPr="001F7E06" w:rsidRDefault="00E228A7" w:rsidP="00E87B16">
        <w:pPr>
          <w:pStyle w:val="Footer-bar"/>
          <w:tabs>
            <w:tab w:val="clear" w:pos="4536"/>
            <w:tab w:val="clear" w:pos="9026"/>
            <w:tab w:val="center" w:pos="7088"/>
            <w:tab w:val="right" w:pos="14175"/>
          </w:tabs>
          <w:rPr>
            <w:color w:val="auto"/>
          </w:rPr>
        </w:pPr>
        <w:r w:rsidRPr="009F4E02">
          <w:t>ndis.gov.au</w:t>
        </w:r>
        <w:r w:rsidRPr="009F4E02">
          <w:tab/>
        </w:r>
        <w:r w:rsidR="00E4306F">
          <w:rPr>
            <w:b w:val="0"/>
            <w:bCs/>
          </w:rPr>
          <w:t>NDIA Annual Report 2025–26</w:t>
        </w:r>
        <w:r w:rsidRPr="009F4E02">
          <w:tab/>
        </w:r>
        <w:r w:rsidRPr="009F4E02">
          <w:fldChar w:fldCharType="begin"/>
        </w:r>
        <w:r w:rsidRPr="009F4E02">
          <w:instrText xml:space="preserve"> PAGE </w:instrText>
        </w:r>
        <w:r w:rsidRPr="009F4E02">
          <w:fldChar w:fldCharType="separate"/>
        </w:r>
        <w:r>
          <w:t>2</w:t>
        </w:r>
        <w:r w:rsidRPr="009F4E02">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099075"/>
      <w:docPartObj>
        <w:docPartGallery w:val="Page Numbers (Bottom of Page)"/>
        <w:docPartUnique/>
      </w:docPartObj>
    </w:sdtPr>
    <w:sdtEndPr/>
    <w:sdtContent>
      <w:p w14:paraId="02EECD09" w14:textId="0DB9F2ED" w:rsidR="00CF2CC0" w:rsidRPr="001F7E06" w:rsidRDefault="00CF2CC0" w:rsidP="00E87B16">
        <w:pPr>
          <w:pStyle w:val="Footer-bar"/>
          <w:tabs>
            <w:tab w:val="clear" w:pos="9026"/>
            <w:tab w:val="right" w:pos="9184"/>
          </w:tabs>
          <w:rPr>
            <w:color w:val="auto"/>
          </w:rPr>
        </w:pPr>
        <w:r w:rsidRPr="009F4E02">
          <w:t>ndis.gov.au</w:t>
        </w:r>
        <w:r w:rsidR="000F0729">
          <w:tab/>
        </w:r>
        <w:r w:rsidR="00E4306F">
          <w:rPr>
            <w:b w:val="0"/>
            <w:bCs/>
          </w:rPr>
          <w:t>NDIA Annual Report 2025–26</w:t>
        </w:r>
        <w:r w:rsidRPr="009F4E02">
          <w:tab/>
        </w:r>
        <w:r w:rsidRPr="009F4E02">
          <w:fldChar w:fldCharType="begin"/>
        </w:r>
        <w:r w:rsidRPr="009F4E02">
          <w:instrText xml:space="preserve"> PAGE </w:instrText>
        </w:r>
        <w:r w:rsidRPr="009F4E02">
          <w:fldChar w:fldCharType="separate"/>
        </w:r>
        <w:r>
          <w:t>2</w:t>
        </w:r>
        <w:r w:rsidRPr="009F4E02">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521613"/>
      <w:docPartObj>
        <w:docPartGallery w:val="Page Numbers (Bottom of Page)"/>
        <w:docPartUnique/>
      </w:docPartObj>
    </w:sdtPr>
    <w:sdtEndPr/>
    <w:sdtContent>
      <w:p w14:paraId="79890856" w14:textId="690B1CB1" w:rsidR="00C0586E" w:rsidRPr="006A43C8" w:rsidRDefault="00C0586E" w:rsidP="00E87B16">
        <w:pPr>
          <w:pStyle w:val="Footer-bar"/>
          <w:tabs>
            <w:tab w:val="clear" w:pos="9026"/>
            <w:tab w:val="right" w:pos="9184"/>
          </w:tabs>
          <w:rPr>
            <w:color w:val="auto"/>
          </w:rPr>
        </w:pPr>
        <w:r w:rsidRPr="009F4E02">
          <w:t>ndis.gov.au</w:t>
        </w:r>
        <w:r w:rsidR="00646CC1">
          <w:tab/>
        </w:r>
        <w:r w:rsidR="00E4306F">
          <w:rPr>
            <w:b w:val="0"/>
            <w:bCs/>
          </w:rPr>
          <w:t>NDIA Annual Report 2025–26</w:t>
        </w:r>
        <w:r w:rsidRPr="009F4E02">
          <w:tab/>
        </w:r>
        <w:r w:rsidRPr="009F4E02">
          <w:fldChar w:fldCharType="begin"/>
        </w:r>
        <w:r w:rsidRPr="009F4E02">
          <w:instrText xml:space="preserve"> PAGE </w:instrText>
        </w:r>
        <w:r w:rsidRPr="009F4E02">
          <w:fldChar w:fldCharType="separate"/>
        </w:r>
        <w:r>
          <w:t>79</w:t>
        </w:r>
        <w:r w:rsidRPr="009F4E02">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06446"/>
      <w:docPartObj>
        <w:docPartGallery w:val="Page Numbers (Bottom of Page)"/>
        <w:docPartUnique/>
      </w:docPartObj>
    </w:sdtPr>
    <w:sdtEndPr/>
    <w:sdtContent>
      <w:p w14:paraId="0DBD3C7F" w14:textId="13E37F26" w:rsidR="00FA2A35" w:rsidRPr="001F7E06" w:rsidRDefault="00FA2A35" w:rsidP="007E1F01">
        <w:pPr>
          <w:pStyle w:val="Footer-bar"/>
          <w:tabs>
            <w:tab w:val="clear" w:pos="4536"/>
            <w:tab w:val="clear" w:pos="9026"/>
            <w:tab w:val="center" w:pos="7088"/>
            <w:tab w:val="right" w:pos="14175"/>
          </w:tabs>
          <w:ind w:right="169"/>
          <w:rPr>
            <w:color w:val="auto"/>
          </w:rPr>
        </w:pPr>
        <w:r w:rsidRPr="009F4E02">
          <w:t>ndis.gov.au</w:t>
        </w:r>
        <w:r w:rsidRPr="009F4E02">
          <w:tab/>
        </w:r>
        <w:r w:rsidR="00E4306F">
          <w:rPr>
            <w:b w:val="0"/>
            <w:bCs/>
          </w:rPr>
          <w:t>NDIA Annual Report 2025–26</w:t>
        </w:r>
        <w:r w:rsidRPr="009F4E02">
          <w:tab/>
        </w:r>
        <w:r w:rsidRPr="009F4E02">
          <w:fldChar w:fldCharType="begin"/>
        </w:r>
        <w:r w:rsidRPr="009F4E02">
          <w:instrText xml:space="preserve"> PAGE </w:instrText>
        </w:r>
        <w:r w:rsidRPr="009F4E02">
          <w:fldChar w:fldCharType="separate"/>
        </w:r>
        <w:r>
          <w:t>2</w:t>
        </w:r>
        <w:r w:rsidRPr="009F4E02">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498882"/>
      <w:docPartObj>
        <w:docPartGallery w:val="Page Numbers (Bottom of Page)"/>
        <w:docPartUnique/>
      </w:docPartObj>
    </w:sdtPr>
    <w:sdtEndPr/>
    <w:sdtContent>
      <w:p w14:paraId="64EEC861" w14:textId="30322590" w:rsidR="005E48BA" w:rsidRPr="006A43C8" w:rsidRDefault="006A43C8" w:rsidP="007E1F01">
        <w:pPr>
          <w:pStyle w:val="Footer-bar"/>
          <w:tabs>
            <w:tab w:val="clear" w:pos="9026"/>
            <w:tab w:val="right" w:pos="9072"/>
          </w:tabs>
          <w:rPr>
            <w:color w:val="auto"/>
          </w:rPr>
        </w:pPr>
        <w:r w:rsidRPr="009F4E02">
          <w:t>ndis.gov.au</w:t>
        </w:r>
        <w:r w:rsidR="00646CC1">
          <w:tab/>
        </w:r>
        <w:r w:rsidR="00E4306F">
          <w:rPr>
            <w:b w:val="0"/>
            <w:bCs/>
          </w:rPr>
          <w:t>NDIA Annual Report 2025–26</w:t>
        </w:r>
        <w:r w:rsidRPr="009F4E02">
          <w:tab/>
        </w:r>
        <w:r w:rsidRPr="009F4E02">
          <w:fldChar w:fldCharType="begin"/>
        </w:r>
        <w:r w:rsidRPr="009F4E02">
          <w:instrText xml:space="preserve"> PAGE </w:instrText>
        </w:r>
        <w:r w:rsidRPr="009F4E02">
          <w:fldChar w:fldCharType="separate"/>
        </w:r>
        <w:r>
          <w:t>79</w:t>
        </w:r>
        <w:r w:rsidRPr="009F4E02">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184350"/>
      <w:docPartObj>
        <w:docPartGallery w:val="Page Numbers (Bottom of Page)"/>
        <w:docPartUnique/>
      </w:docPartObj>
    </w:sdtPr>
    <w:sdtEndPr/>
    <w:sdtContent>
      <w:p w14:paraId="51C1BB83" w14:textId="1FAB857C" w:rsidR="005C6008" w:rsidRPr="001F7E06" w:rsidRDefault="005C6008" w:rsidP="007E1F01">
        <w:pPr>
          <w:pStyle w:val="Footer-bar"/>
          <w:tabs>
            <w:tab w:val="clear" w:pos="4536"/>
            <w:tab w:val="clear" w:pos="9026"/>
            <w:tab w:val="center" w:pos="7088"/>
            <w:tab w:val="right" w:pos="14175"/>
          </w:tabs>
          <w:ind w:right="284"/>
          <w:rPr>
            <w:color w:val="auto"/>
          </w:rPr>
        </w:pPr>
        <w:r w:rsidRPr="009F4E02">
          <w:t>ndis.gov.au</w:t>
        </w:r>
        <w:r w:rsidRPr="009F4E02">
          <w:tab/>
        </w:r>
        <w:r w:rsidR="00E4306F">
          <w:rPr>
            <w:b w:val="0"/>
            <w:bCs/>
          </w:rPr>
          <w:t>NDIA Annual Report 2025–2</w:t>
        </w:r>
        <w:r w:rsidR="007E1F01">
          <w:rPr>
            <w:b w:val="0"/>
            <w:bCs/>
          </w:rPr>
          <w:t>6</w:t>
        </w:r>
        <w:r w:rsidRPr="009F4E02">
          <w:tab/>
        </w:r>
        <w:r w:rsidRPr="009F4E02">
          <w:fldChar w:fldCharType="begin"/>
        </w:r>
        <w:r w:rsidRPr="009F4E02">
          <w:instrText xml:space="preserve"> PAGE </w:instrText>
        </w:r>
        <w:r w:rsidRPr="009F4E02">
          <w:fldChar w:fldCharType="separate"/>
        </w:r>
        <w:r>
          <w:t>2</w:t>
        </w:r>
        <w:r w:rsidRPr="009F4E02">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5930168"/>
      <w:docPartObj>
        <w:docPartGallery w:val="Page Numbers (Bottom of Page)"/>
        <w:docPartUnique/>
      </w:docPartObj>
    </w:sdtPr>
    <w:sdtEndPr/>
    <w:sdtContent>
      <w:p w14:paraId="4A78B298" w14:textId="76575325" w:rsidR="005C6008" w:rsidRPr="001F7E06" w:rsidRDefault="005C6008" w:rsidP="001A07EB">
        <w:pPr>
          <w:pStyle w:val="Footer-bar"/>
          <w:tabs>
            <w:tab w:val="clear" w:pos="9026"/>
            <w:tab w:val="right" w:pos="9072"/>
          </w:tabs>
          <w:rPr>
            <w:color w:val="auto"/>
          </w:rPr>
        </w:pPr>
        <w:r w:rsidRPr="009F4E02">
          <w:t>ndis.gov.au</w:t>
        </w:r>
        <w:r w:rsidR="00646CC1">
          <w:tab/>
        </w:r>
        <w:r w:rsidR="00E4306F">
          <w:rPr>
            <w:b w:val="0"/>
            <w:bCs/>
          </w:rPr>
          <w:t>NDIA Annual Report 2025–26</w:t>
        </w:r>
        <w:r w:rsidRPr="009F4E02">
          <w:tab/>
        </w:r>
        <w:r w:rsidRPr="009F4E02">
          <w:fldChar w:fldCharType="begin"/>
        </w:r>
        <w:r w:rsidRPr="009F4E02">
          <w:instrText xml:space="preserve"> PAGE </w:instrText>
        </w:r>
        <w:r w:rsidRPr="009F4E02">
          <w:fldChar w:fldCharType="separate"/>
        </w:r>
        <w:r>
          <w:t>2</w:t>
        </w:r>
        <w:r w:rsidRPr="009F4E02">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076385"/>
      <w:docPartObj>
        <w:docPartGallery w:val="Page Numbers (Bottom of Page)"/>
        <w:docPartUnique/>
      </w:docPartObj>
    </w:sdtPr>
    <w:sdtEndPr/>
    <w:sdtContent>
      <w:p w14:paraId="3BA4629B" w14:textId="7BBF3778" w:rsidR="005C6008" w:rsidRPr="001F7E06" w:rsidRDefault="005C6008" w:rsidP="001A07EB">
        <w:pPr>
          <w:pStyle w:val="Footer-bar"/>
          <w:rPr>
            <w:color w:val="auto"/>
          </w:rPr>
        </w:pPr>
        <w:r w:rsidRPr="009F4E02">
          <w:t>ndis.gov.au</w:t>
        </w:r>
        <w:r w:rsidR="00646CC1">
          <w:tab/>
        </w:r>
        <w:r w:rsidR="00E4306F">
          <w:rPr>
            <w:b w:val="0"/>
            <w:bCs/>
          </w:rPr>
          <w:t>NDIA Annual Report 2025–26</w:t>
        </w:r>
        <w:r w:rsidRPr="009F4E02">
          <w:tab/>
        </w:r>
        <w:r w:rsidRPr="009F4E02">
          <w:fldChar w:fldCharType="begin"/>
        </w:r>
        <w:r w:rsidRPr="009F4E02">
          <w:instrText xml:space="preserve"> PAGE </w:instrText>
        </w:r>
        <w:r w:rsidRPr="009F4E02">
          <w:fldChar w:fldCharType="separate"/>
        </w:r>
        <w:r>
          <w:t>2</w:t>
        </w:r>
        <w:r w:rsidRPr="009F4E02">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489605"/>
      <w:docPartObj>
        <w:docPartGallery w:val="Page Numbers (Bottom of Page)"/>
        <w:docPartUnique/>
      </w:docPartObj>
    </w:sdtPr>
    <w:sdtEndPr/>
    <w:sdtContent>
      <w:p w14:paraId="28880781" w14:textId="6B20552C" w:rsidR="00A140B9" w:rsidRPr="001F7E06" w:rsidRDefault="00A140B9" w:rsidP="001A07EB">
        <w:pPr>
          <w:pStyle w:val="Footer-bar"/>
          <w:tabs>
            <w:tab w:val="clear" w:pos="9026"/>
            <w:tab w:val="right" w:pos="9072"/>
          </w:tabs>
          <w:ind w:right="-46"/>
          <w:rPr>
            <w:color w:val="auto"/>
          </w:rPr>
        </w:pPr>
        <w:r w:rsidRPr="009F4E02">
          <w:t>ndis.gov.au</w:t>
        </w:r>
        <w:r w:rsidR="00FE0453" w:rsidRPr="009F4E02">
          <w:tab/>
        </w:r>
        <w:r w:rsidR="00E4306F">
          <w:rPr>
            <w:b w:val="0"/>
            <w:bCs/>
          </w:rPr>
          <w:t>NDIA Annual Report 2025–26</w:t>
        </w:r>
        <w:r w:rsidRPr="009F4E02">
          <w:tab/>
        </w:r>
        <w:r w:rsidRPr="009F4E02">
          <w:fldChar w:fldCharType="begin"/>
        </w:r>
        <w:r w:rsidRPr="009F4E02">
          <w:instrText xml:space="preserve"> PAGE </w:instrText>
        </w:r>
        <w:r w:rsidRPr="009F4E02">
          <w:fldChar w:fldCharType="separate"/>
        </w:r>
        <w:r>
          <w:t>2</w:t>
        </w:r>
        <w:r w:rsidRPr="009F4E02">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08825"/>
      <w:docPartObj>
        <w:docPartGallery w:val="Page Numbers (Bottom of Page)"/>
        <w:docPartUnique/>
      </w:docPartObj>
    </w:sdtPr>
    <w:sdtEndPr/>
    <w:sdtContent>
      <w:p w14:paraId="01147281" w14:textId="17A04234" w:rsidR="001B35AB" w:rsidRPr="001F7E06" w:rsidRDefault="001B35AB" w:rsidP="001A07EB">
        <w:pPr>
          <w:pStyle w:val="Footer-bar"/>
          <w:tabs>
            <w:tab w:val="clear" w:pos="4536"/>
            <w:tab w:val="clear" w:pos="9026"/>
            <w:tab w:val="center" w:pos="7088"/>
            <w:tab w:val="right" w:pos="14175"/>
          </w:tabs>
          <w:spacing w:after="0"/>
          <w:ind w:right="169"/>
          <w:rPr>
            <w:color w:val="auto"/>
          </w:rPr>
        </w:pPr>
        <w:r w:rsidRPr="009F4E02">
          <w:t>ndis.gov.au</w:t>
        </w:r>
        <w:r w:rsidRPr="009F4E02">
          <w:tab/>
        </w:r>
        <w:r w:rsidR="00E4306F">
          <w:rPr>
            <w:b w:val="0"/>
            <w:bCs/>
          </w:rPr>
          <w:t>NDIA Annual Report 2025–26</w:t>
        </w:r>
        <w:r w:rsidRPr="009F4E02">
          <w:tab/>
        </w:r>
        <w:r w:rsidRPr="009F4E02">
          <w:fldChar w:fldCharType="begin"/>
        </w:r>
        <w:r w:rsidRPr="009F4E02">
          <w:instrText xml:space="preserve"> PAGE </w:instrText>
        </w:r>
        <w:r w:rsidRPr="009F4E02">
          <w:fldChar w:fldCharType="separate"/>
        </w:r>
        <w:r>
          <w:t>2</w:t>
        </w:r>
        <w:r w:rsidRPr="009F4E02">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0672501"/>
      <w:docPartObj>
        <w:docPartGallery w:val="Page Numbers (Bottom of Page)"/>
        <w:docPartUnique/>
      </w:docPartObj>
    </w:sdtPr>
    <w:sdtEndPr/>
    <w:sdtContent>
      <w:p w14:paraId="2E949D33" w14:textId="6311D235" w:rsidR="001B35AB" w:rsidRPr="001F7E06" w:rsidRDefault="001B35AB" w:rsidP="001A07EB">
        <w:pPr>
          <w:pStyle w:val="Footer-bar"/>
          <w:rPr>
            <w:color w:val="auto"/>
          </w:rPr>
        </w:pPr>
        <w:r w:rsidRPr="009F4E02">
          <w:t>ndis.gov.au</w:t>
        </w:r>
        <w:r w:rsidR="00455B6C">
          <w:tab/>
        </w:r>
        <w:r w:rsidR="00E4306F">
          <w:rPr>
            <w:b w:val="0"/>
            <w:bCs/>
          </w:rPr>
          <w:t>NDIA Annual Report 2025–26</w:t>
        </w:r>
        <w:r w:rsidRPr="009F4E02">
          <w:tab/>
        </w:r>
        <w:r w:rsidRPr="009F4E02">
          <w:fldChar w:fldCharType="begin"/>
        </w:r>
        <w:r w:rsidRPr="009F4E02">
          <w:instrText xml:space="preserve"> PAGE </w:instrText>
        </w:r>
        <w:r w:rsidRPr="009F4E02">
          <w:fldChar w:fldCharType="separate"/>
        </w:r>
        <w:r>
          <w:t>2</w:t>
        </w:r>
        <w:r w:rsidRPr="009F4E02">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E7FDD" w14:textId="77777777" w:rsidR="009B756B" w:rsidRDefault="009B756B">
      <w:pPr>
        <w:spacing w:after="0" w:line="240" w:lineRule="auto"/>
      </w:pPr>
      <w:r>
        <w:separator/>
      </w:r>
    </w:p>
  </w:footnote>
  <w:footnote w:type="continuationSeparator" w:id="0">
    <w:p w14:paraId="4643E278" w14:textId="77777777" w:rsidR="009B756B" w:rsidRDefault="009B756B">
      <w:pPr>
        <w:spacing w:after="0" w:line="240" w:lineRule="auto"/>
      </w:pPr>
      <w:r>
        <w:continuationSeparator/>
      </w:r>
    </w:p>
  </w:footnote>
  <w:footnote w:id="1">
    <w:p w14:paraId="4F9B60DF" w14:textId="5E3365A9" w:rsidR="00D80B4E" w:rsidRDefault="00D80B4E">
      <w:pPr>
        <w:pStyle w:val="FootnoteText"/>
      </w:pPr>
      <w:r>
        <w:rPr>
          <w:rStyle w:val="FootnoteReference"/>
        </w:rPr>
        <w:footnoteRef/>
      </w:r>
      <w:r>
        <w:t xml:space="preserve"> </w:t>
      </w:r>
      <w:r w:rsidR="0040336F" w:rsidRPr="000C0548">
        <w:t>National Disability Insurance Scheme,</w:t>
      </w:r>
      <w:r w:rsidR="0040336F" w:rsidRPr="000C0548">
        <w:rPr>
          <w:i/>
          <w:iCs/>
        </w:rPr>
        <w:t xml:space="preserve"> </w:t>
      </w:r>
      <w:hyperlink r:id="rId1" w:history="1">
        <w:r w:rsidR="0040336F" w:rsidRPr="005A66AB">
          <w:rPr>
            <w:rStyle w:val="Hyperlink"/>
          </w:rPr>
          <w:t>Previous annual financial sustainability reports</w:t>
        </w:r>
      </w:hyperlink>
      <w:r w:rsidR="0040336F" w:rsidRPr="000C0548">
        <w:t>, NDIS website, n.d.</w:t>
      </w:r>
    </w:p>
  </w:footnote>
  <w:footnote w:id="2">
    <w:p w14:paraId="5566B3AA" w14:textId="3C22C16B" w:rsidR="002E0CA9" w:rsidRDefault="002E0CA9">
      <w:pPr>
        <w:pStyle w:val="FootnoteText"/>
      </w:pPr>
      <w:r>
        <w:rPr>
          <w:rStyle w:val="FootnoteReference"/>
        </w:rPr>
        <w:footnoteRef/>
      </w:r>
      <w:r>
        <w:t xml:space="preserve"> </w:t>
      </w:r>
      <w:r w:rsidR="0083232A" w:rsidRPr="00FA4B5B">
        <w:t xml:space="preserve">Australian Government Department of Health, Disability and Ageing, </w:t>
      </w:r>
      <w:hyperlink r:id="rId2" w:history="1">
        <w:r w:rsidR="0083232A" w:rsidRPr="005A66AB">
          <w:rPr>
            <w:rStyle w:val="Hyperlink"/>
          </w:rPr>
          <w:t>NDIS Amendment (Securing the NDIS for Future Generations) Bill 2026</w:t>
        </w:r>
      </w:hyperlink>
      <w:r w:rsidR="0083232A" w:rsidRPr="00FA4B5B">
        <w:t>, DHDA website, 2026.</w:t>
      </w:r>
    </w:p>
  </w:footnote>
  <w:footnote w:id="3">
    <w:p w14:paraId="7827D60F" w14:textId="6CC4D7F1" w:rsidR="00BC4A59" w:rsidRDefault="00BC4A59">
      <w:pPr>
        <w:pStyle w:val="FootnoteText"/>
      </w:pPr>
      <w:r>
        <w:rPr>
          <w:rStyle w:val="FootnoteReference"/>
        </w:rPr>
        <w:footnoteRef/>
      </w:r>
      <w:r>
        <w:t xml:space="preserve"> </w:t>
      </w:r>
      <w:r w:rsidR="0054145A">
        <w:t>NDIS expenses relate to the payments made for participant supports and do not include operating expenses. Expenses on an accrual basis are based on when the service was provided to the participant, recognising some services are paid for after the end of the period.</w:t>
      </w:r>
    </w:p>
  </w:footnote>
  <w:footnote w:id="4">
    <w:p w14:paraId="7B0DE5DA" w14:textId="2EF89E81" w:rsidR="0054145A" w:rsidRDefault="0054145A">
      <w:pPr>
        <w:pStyle w:val="FootnoteText"/>
      </w:pPr>
      <w:r>
        <w:rPr>
          <w:rStyle w:val="FootnoteReference"/>
        </w:rPr>
        <w:footnoteRef/>
      </w:r>
      <w:r>
        <w:t xml:space="preserve"> </w:t>
      </w:r>
      <w:r w:rsidR="00C77180" w:rsidRPr="00DF22BE">
        <w:t>The June 2025 experience-based projections are ‘before future reforms’ included in the June 2025 projections</w:t>
      </w:r>
      <w:r w:rsidR="00BB31C0">
        <w:t>, and</w:t>
      </w:r>
      <w:r w:rsidR="00C77180" w:rsidRPr="00DF22BE">
        <w:t xml:space="preserve"> relate to reform initiatives that were either in progress at 30 June 2025, and the full benefits had not yet been realised, or reform initiatives that had not yet commenced or been implemented.</w:t>
      </w:r>
    </w:p>
  </w:footnote>
  <w:footnote w:id="5">
    <w:p w14:paraId="093003C1" w14:textId="2F31BA42" w:rsidR="00FF7FC5" w:rsidRDefault="00FF7FC5">
      <w:pPr>
        <w:pStyle w:val="FootnoteText"/>
      </w:pPr>
      <w:r>
        <w:rPr>
          <w:rStyle w:val="FootnoteReference"/>
        </w:rPr>
        <w:footnoteRef/>
      </w:r>
      <w:r>
        <w:t xml:space="preserve"> </w:t>
      </w:r>
      <w:r w:rsidR="004612C5" w:rsidRPr="004612C5">
        <w:t>Participants with High Core Supports are those who have an annualised funded plan amount for Core Daily Activities and Social Community &amp; Civic Participation (SCCP) at least equal to a reference budget amount. The reference budget amount is defined as standard pricing, passive overnight support and a 1-to-3 support ratio across all hours, no allowance for additional SCCP hours at a higher support ratio, and no explicit offset for informal supports. Based on 2025-26 pricing, the threshold is currently $205,250 which will be indexed alongside participant budgets.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6C194" w14:textId="2CFB3FDC" w:rsidR="00FD1A64" w:rsidRDefault="00F05C72" w:rsidP="00AC10DE">
    <w:r w:rsidRPr="00CB6A42">
      <w:rPr>
        <w:noProof/>
      </w:rPr>
      <mc:AlternateContent>
        <mc:Choice Requires="wps">
          <w:drawing>
            <wp:anchor distT="0" distB="0" distL="114300" distR="114300" simplePos="0" relativeHeight="251658247" behindDoc="1" locked="1" layoutInCell="1" allowOverlap="1" wp14:anchorId="2690827D" wp14:editId="5A152B63">
              <wp:simplePos x="0" y="0"/>
              <wp:positionH relativeFrom="column">
                <wp:posOffset>-853440</wp:posOffset>
              </wp:positionH>
              <wp:positionV relativeFrom="page">
                <wp:posOffset>-6985</wp:posOffset>
              </wp:positionV>
              <wp:extent cx="7560000" cy="180000"/>
              <wp:effectExtent l="0" t="0" r="3175" b="0"/>
              <wp:wrapNone/>
              <wp:docPr id="72048287" name="Rectangle 7204828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467BC" id="Rectangle 72048287" o:spid="_x0000_s1026" alt="&quot;&quot;" style="position:absolute;margin-left:-67.2pt;margin-top:-.55pt;width:595.3pt;height:14.15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" fillcolor="#6b2976" stroked="f" strokeweight="1pt">
              <w10:wrap anchory="page"/>
              <w10:anchorlock/>
            </v:rect>
          </w:pict>
        </mc:Fallback>
      </mc:AlternateContent>
    </w:r>
    <w:r w:rsidR="00CB4212" w:rsidRPr="00CB6A42">
      <w:rPr>
        <w:noProof/>
      </w:rPr>
      <mc:AlternateContent>
        <mc:Choice Requires="wps">
          <w:drawing>
            <wp:anchor distT="0" distB="0" distL="114300" distR="114300" simplePos="0" relativeHeight="251658240" behindDoc="0" locked="0" layoutInCell="1" allowOverlap="1" wp14:anchorId="2F6B8671" wp14:editId="62E212D0">
              <wp:simplePos x="0" y="0"/>
              <wp:positionH relativeFrom="column">
                <wp:posOffset>-5914390</wp:posOffset>
              </wp:positionH>
              <wp:positionV relativeFrom="paragraph">
                <wp:posOffset>-2331720</wp:posOffset>
              </wp:positionV>
              <wp:extent cx="16200000" cy="180000"/>
              <wp:effectExtent l="0" t="0" r="5715" b="0"/>
              <wp:wrapNone/>
              <wp:docPr id="2018791070" name="Rectangle 20187910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CB8B8A" id="Rectangle 2018791070" o:spid="_x0000_s1026" alt="&quot;&quot;" style="position:absolute;margin-left:-465.7pt;margin-top:-183.6pt;width:1275.6pt;height:1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" fillcolor="#6b2976 [3215]"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24FB2" w14:textId="0A9C27EC" w:rsidR="005B74B5" w:rsidRPr="001F7E06" w:rsidRDefault="00E55F21" w:rsidP="006E121C">
    <w:pPr>
      <w:spacing w:before="5900"/>
    </w:pPr>
    <w:r>
      <w:rPr>
        <w:noProof/>
      </w:rPr>
      <w:drawing>
        <wp:anchor distT="0" distB="0" distL="114300" distR="114300" simplePos="0" relativeHeight="251658264" behindDoc="1" locked="0" layoutInCell="1" allowOverlap="1" wp14:anchorId="445A7583" wp14:editId="6DC342A9">
          <wp:simplePos x="0" y="0"/>
          <wp:positionH relativeFrom="column">
            <wp:posOffset>-849630</wp:posOffset>
          </wp:positionH>
          <wp:positionV relativeFrom="paragraph">
            <wp:posOffset>7620</wp:posOffset>
          </wp:positionV>
          <wp:extent cx="7551420" cy="4816988"/>
          <wp:effectExtent l="0" t="0" r="0" b="3175"/>
          <wp:wrapNone/>
          <wp:docPr id="960377281" name="Picture 25" descr="Image of participant Joh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123766" name="Picture 25" descr="Image of participant John."/>
                  <pic:cNvPicPr/>
                </pic:nvPicPr>
                <pic:blipFill>
                  <a:blip r:embed="rId1">
                    <a:extLst>
                      <a:ext uri="{28A0092B-C50C-407E-A947-70E740481C1C}">
                        <a14:useLocalDpi xmlns:a14="http://schemas.microsoft.com/office/drawing/2010/main" val="0"/>
                      </a:ext>
                    </a:extLst>
                  </a:blip>
                  <a:stretch>
                    <a:fillRect/>
                  </a:stretch>
                </pic:blipFill>
                <pic:spPr>
                  <a:xfrm>
                    <a:off x="0" y="0"/>
                    <a:ext cx="7551420" cy="4816988"/>
                  </a:xfrm>
                  <a:prstGeom prst="rect">
                    <a:avLst/>
                  </a:prstGeom>
                </pic:spPr>
              </pic:pic>
            </a:graphicData>
          </a:graphic>
          <wp14:sizeRelH relativeFrom="page">
            <wp14:pctWidth>0</wp14:pctWidth>
          </wp14:sizeRelH>
          <wp14:sizeRelV relativeFrom="page">
            <wp14:pctHeight>0</wp14:pctHeight>
          </wp14:sizeRelV>
        </wp:anchor>
      </w:drawing>
    </w:r>
    <w:r w:rsidR="005B74B5" w:rsidRPr="001F7E06">
      <w:rPr>
        <w:noProof/>
      </w:rPr>
      <mc:AlternateContent>
        <mc:Choice Requires="wps">
          <w:drawing>
            <wp:anchor distT="0" distB="0" distL="114300" distR="114300" simplePos="0" relativeHeight="251658241" behindDoc="0" locked="0" layoutInCell="1" allowOverlap="1" wp14:anchorId="67A2E4FE" wp14:editId="531DECEF">
              <wp:simplePos x="0" y="0"/>
              <wp:positionH relativeFrom="column">
                <wp:posOffset>-5914390</wp:posOffset>
              </wp:positionH>
              <wp:positionV relativeFrom="paragraph">
                <wp:posOffset>-2331720</wp:posOffset>
              </wp:positionV>
              <wp:extent cx="16200000" cy="180000"/>
              <wp:effectExtent l="0" t="0" r="5715" b="0"/>
              <wp:wrapNone/>
              <wp:docPr id="1047217275" name="Rectangle 10472172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2C54FA" id="Rectangle 1047217275" o:spid="_x0000_s1026" alt="&quot;&quot;" style="position:absolute;margin-left:-465.7pt;margin-top:-183.6pt;width:1275.6pt;height:14.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" fillcolor="#6b2976 [3215]" stroked="f"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5CA92" w14:textId="0ADA76C0" w:rsidR="0096130D" w:rsidRDefault="0096130D" w:rsidP="00DB297C">
    <w:r w:rsidRPr="00CB6A42">
      <w:rPr>
        <w:noProof/>
      </w:rPr>
      <mc:AlternateContent>
        <mc:Choice Requires="wps">
          <w:drawing>
            <wp:anchor distT="0" distB="0" distL="114300" distR="114300" simplePos="0" relativeHeight="251639296" behindDoc="1" locked="0" layoutInCell="1" allowOverlap="1" wp14:anchorId="32653308" wp14:editId="07E2AD2F">
              <wp:simplePos x="0" y="0"/>
              <wp:positionH relativeFrom="column">
                <wp:posOffset>-857250</wp:posOffset>
              </wp:positionH>
              <wp:positionV relativeFrom="page">
                <wp:posOffset>4445</wp:posOffset>
              </wp:positionV>
              <wp:extent cx="7560000" cy="179705"/>
              <wp:effectExtent l="0" t="0" r="3175" b="0"/>
              <wp:wrapNone/>
              <wp:docPr id="1205635541" name="Rectangle 12056355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79705"/>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C06D54" id="Rectangle 1205635541" o:spid="_x0000_s1026" alt="&quot;&quot;" style="position:absolute;margin-left:-67.5pt;margin-top:.35pt;width:595.3pt;height:14.1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" fillcolor="#6b2976" stroked="f" strokeweight="1pt">
              <w10:wrap anchory="page"/>
            </v:rect>
          </w:pict>
        </mc:Fallback>
      </mc:AlternateContent>
    </w:r>
    <w:r w:rsidRPr="00CB6A42">
      <w:rPr>
        <w:noProof/>
      </w:rPr>
      <mc:AlternateContent>
        <mc:Choice Requires="wps">
          <w:drawing>
            <wp:anchor distT="0" distB="0" distL="114300" distR="114300" simplePos="0" relativeHeight="251633152" behindDoc="0" locked="0" layoutInCell="1" allowOverlap="1" wp14:anchorId="58420DEA" wp14:editId="791CA963">
              <wp:simplePos x="0" y="0"/>
              <wp:positionH relativeFrom="column">
                <wp:posOffset>-5914390</wp:posOffset>
              </wp:positionH>
              <wp:positionV relativeFrom="paragraph">
                <wp:posOffset>-2331720</wp:posOffset>
              </wp:positionV>
              <wp:extent cx="16200000" cy="180000"/>
              <wp:effectExtent l="0" t="0" r="5715" b="0"/>
              <wp:wrapNone/>
              <wp:docPr id="443002308" name="Rectangle 4430023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AA68EE" id="Rectangle 443002308" o:spid="_x0000_s1026" alt="&quot;&quot;" style="position:absolute;margin-left:-465.7pt;margin-top:-183.6pt;width:1275.6pt;height:14.1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" fillcolor="#6b2976" stroked="f" strokeweight="1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8B7A6" w14:textId="77777777" w:rsidR="0096130D" w:rsidRPr="001F7E06" w:rsidRDefault="0096130D" w:rsidP="001F7E06">
    <w:pPr>
      <w:pStyle w:val="HeaderPage1SecurityMarkings"/>
    </w:pPr>
    <w:r w:rsidRPr="001F7E06">
      <w:rPr>
        <w:noProof/>
      </w:rPr>
      <mc:AlternateContent>
        <mc:Choice Requires="wps">
          <w:drawing>
            <wp:anchor distT="0" distB="0" distL="114300" distR="114300" simplePos="0" relativeHeight="251636224" behindDoc="0" locked="0" layoutInCell="1" allowOverlap="1" wp14:anchorId="18DA03AD" wp14:editId="7ECBCE9F">
              <wp:simplePos x="0" y="0"/>
              <wp:positionH relativeFrom="column">
                <wp:posOffset>-5914390</wp:posOffset>
              </wp:positionH>
              <wp:positionV relativeFrom="paragraph">
                <wp:posOffset>-2331720</wp:posOffset>
              </wp:positionV>
              <wp:extent cx="16200000" cy="180000"/>
              <wp:effectExtent l="0" t="0" r="5715" b="0"/>
              <wp:wrapNone/>
              <wp:docPr id="1188705389" name="Rectangle 11887053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22514" id="Rectangle 1188705389" o:spid="_x0000_s1026" alt="&quot;&quot;" style="position:absolute;margin-left:-465.7pt;margin-top:-183.6pt;width:1275.6pt;height:14.1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" fillcolor="#6b2976" stroked="f" strokeweight="1p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B02A8" w14:textId="198678C7" w:rsidR="00F05C72" w:rsidRDefault="00F05C72" w:rsidP="00DB297C">
    <w:r w:rsidRPr="00CB6A42">
      <w:rPr>
        <w:noProof/>
      </w:rPr>
      <mc:AlternateContent>
        <mc:Choice Requires="wps">
          <w:drawing>
            <wp:anchor distT="0" distB="0" distL="114300" distR="114300" simplePos="0" relativeHeight="251645440" behindDoc="1" locked="0" layoutInCell="1" allowOverlap="1" wp14:anchorId="3731D82D" wp14:editId="6288F5C1">
              <wp:simplePos x="0" y="0"/>
              <wp:positionH relativeFrom="column">
                <wp:posOffset>-857250</wp:posOffset>
              </wp:positionH>
              <wp:positionV relativeFrom="page">
                <wp:posOffset>4445</wp:posOffset>
              </wp:positionV>
              <wp:extent cx="10764000" cy="179705"/>
              <wp:effectExtent l="0" t="0" r="0" b="0"/>
              <wp:wrapNone/>
              <wp:docPr id="1103229620" name="Rectangle 11032296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64000" cy="179705"/>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D2062F" id="Rectangle 1103229620" o:spid="_x0000_s1026" alt="&quot;&quot;" style="position:absolute;margin-left:-67.5pt;margin-top:.35pt;width:847.55pt;height:14.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" fillcolor="#6b2976" stroked="f" strokeweight="1pt">
              <w10:wrap anchory="page"/>
            </v:rect>
          </w:pict>
        </mc:Fallback>
      </mc:AlternateContent>
    </w:r>
    <w:r w:rsidRPr="00CB6A42">
      <w:rPr>
        <w:noProof/>
      </w:rPr>
      <mc:AlternateContent>
        <mc:Choice Requires="wps">
          <w:drawing>
            <wp:anchor distT="0" distB="0" distL="114300" distR="114300" simplePos="0" relativeHeight="251642368" behindDoc="0" locked="0" layoutInCell="1" allowOverlap="1" wp14:anchorId="203B02B4" wp14:editId="12E37ACD">
              <wp:simplePos x="0" y="0"/>
              <wp:positionH relativeFrom="column">
                <wp:posOffset>-5914390</wp:posOffset>
              </wp:positionH>
              <wp:positionV relativeFrom="paragraph">
                <wp:posOffset>-2331720</wp:posOffset>
              </wp:positionV>
              <wp:extent cx="16200000" cy="180000"/>
              <wp:effectExtent l="0" t="0" r="5715" b="0"/>
              <wp:wrapNone/>
              <wp:docPr id="1244030924" name="Rectangle 12440309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C765BF" id="Rectangle 1244030924" o:spid="_x0000_s1026" alt="&quot;&quot;" style="position:absolute;margin-left:-465.7pt;margin-top:-183.6pt;width:1275.6pt;height:14.1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" fillcolor="#6b2976" stroked="f" strokeweight="1p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C914" w14:textId="0E856685" w:rsidR="00972ADE" w:rsidRDefault="00972ADE" w:rsidP="00DB297C">
    <w:r w:rsidRPr="00CB6A42">
      <w:rPr>
        <w:noProof/>
      </w:rPr>
      <mc:AlternateContent>
        <mc:Choice Requires="wps">
          <w:drawing>
            <wp:anchor distT="0" distB="0" distL="114300" distR="114300" simplePos="0" relativeHeight="251651584" behindDoc="1" locked="1" layoutInCell="1" allowOverlap="1" wp14:anchorId="234863CC" wp14:editId="108EC0F5">
              <wp:simplePos x="0" y="0"/>
              <wp:positionH relativeFrom="column">
                <wp:posOffset>-900430</wp:posOffset>
              </wp:positionH>
              <wp:positionV relativeFrom="page">
                <wp:posOffset>-6985</wp:posOffset>
              </wp:positionV>
              <wp:extent cx="7560000" cy="180000"/>
              <wp:effectExtent l="0" t="0" r="3175" b="0"/>
              <wp:wrapNone/>
              <wp:docPr id="3983866" name="Rectangle 39838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3B287" id="Rectangle 3983866" o:spid="_x0000_s1026" alt="&quot;&quot;" style="position:absolute;margin-left:-70.9pt;margin-top:-.55pt;width:595.3pt;height:14.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" fillcolor="#6b2976" stroked="f" strokeweight="1pt">
              <w10:wrap anchory="page"/>
              <w10:anchorlock/>
            </v:rect>
          </w:pict>
        </mc:Fallback>
      </mc:AlternateContent>
    </w:r>
    <w:r w:rsidRPr="00CB6A42">
      <w:rPr>
        <w:noProof/>
      </w:rPr>
      <mc:AlternateContent>
        <mc:Choice Requires="wps">
          <w:drawing>
            <wp:anchor distT="0" distB="0" distL="114300" distR="114300" simplePos="0" relativeHeight="251648512" behindDoc="0" locked="0" layoutInCell="1" allowOverlap="1" wp14:anchorId="31DA7FB8" wp14:editId="3007836B">
              <wp:simplePos x="0" y="0"/>
              <wp:positionH relativeFrom="column">
                <wp:posOffset>-5914390</wp:posOffset>
              </wp:positionH>
              <wp:positionV relativeFrom="paragraph">
                <wp:posOffset>-2331720</wp:posOffset>
              </wp:positionV>
              <wp:extent cx="16200000" cy="180000"/>
              <wp:effectExtent l="0" t="0" r="5715" b="0"/>
              <wp:wrapNone/>
              <wp:docPr id="2055889811" name="Rectangle 20558898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FD1626" id="Rectangle 2055889811" o:spid="_x0000_s1026" alt="&quot;&quot;" style="position:absolute;margin-left:-465.7pt;margin-top:-183.6pt;width:1275.6pt;height:14.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" fillcolor="#6b2976" stroked="f" strokeweight="1p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756A" w14:textId="77777777" w:rsidR="00C0586E" w:rsidRDefault="00C0586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A3B2A" w14:textId="1BED47CA" w:rsidR="00C0586E" w:rsidRDefault="00C0586E" w:rsidP="00DB297C">
    <w:r w:rsidRPr="00CB6A42">
      <w:rPr>
        <w:noProof/>
      </w:rPr>
      <mc:AlternateContent>
        <mc:Choice Requires="wps">
          <w:drawing>
            <wp:anchor distT="0" distB="0" distL="114300" distR="114300" simplePos="0" relativeHeight="251688448" behindDoc="1" locked="1" layoutInCell="1" allowOverlap="1" wp14:anchorId="39CF106C" wp14:editId="5525175E">
              <wp:simplePos x="0" y="0"/>
              <wp:positionH relativeFrom="column">
                <wp:posOffset>-861060</wp:posOffset>
              </wp:positionH>
              <wp:positionV relativeFrom="page">
                <wp:posOffset>-10795</wp:posOffset>
              </wp:positionV>
              <wp:extent cx="7559675" cy="179705"/>
              <wp:effectExtent l="0" t="0" r="3175" b="0"/>
              <wp:wrapNone/>
              <wp:docPr id="82566717" name="Rectangle 825667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B9F640" id="Rectangle 82566717" o:spid="_x0000_s1026" alt="&quot;&quot;" style="position:absolute;margin-left:-67.8pt;margin-top:-.85pt;width:595.25pt;height:14.1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" fillcolor="#6b2976" stroked="f" strokeweight="1pt">
              <w10:wrap anchory="page"/>
              <w10:anchorlock/>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47C9" w14:textId="77777777" w:rsidR="00C0586E" w:rsidRDefault="00C0586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AE288" w14:textId="358A801D" w:rsidR="00122AE1" w:rsidRDefault="00122AE1" w:rsidP="00DB297C">
    <w:r w:rsidRPr="00CB6A42">
      <w:rPr>
        <w:noProof/>
      </w:rPr>
      <mc:AlternateContent>
        <mc:Choice Requires="wps">
          <w:drawing>
            <wp:anchor distT="0" distB="0" distL="114300" distR="114300" simplePos="0" relativeHeight="251685376" behindDoc="1" locked="1" layoutInCell="1" allowOverlap="1" wp14:anchorId="62812D15" wp14:editId="2181E660">
              <wp:simplePos x="0" y="0"/>
              <wp:positionH relativeFrom="column">
                <wp:posOffset>-808990</wp:posOffset>
              </wp:positionH>
              <wp:positionV relativeFrom="page">
                <wp:posOffset>-6985</wp:posOffset>
              </wp:positionV>
              <wp:extent cx="10691495" cy="179705"/>
              <wp:effectExtent l="0" t="0" r="0" b="0"/>
              <wp:wrapNone/>
              <wp:docPr id="2112735409" name="Rectangle 21127354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691495" cy="179705"/>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AB1F7B" id="Rectangle 2112735409" o:spid="_x0000_s1026" alt="&quot;&quot;" style="position:absolute;margin-left:-63.7pt;margin-top:-.55pt;width:841.85pt;height:14.1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" fillcolor="#6b2976" stroked="f" strokeweight="1pt">
              <w10:wrap anchory="page"/>
              <w10:anchorlock/>
            </v:rect>
          </w:pict>
        </mc:Fallback>
      </mc:AlternateContent>
    </w:r>
    <w:r w:rsidRPr="00CB6A42">
      <w:rPr>
        <w:noProof/>
      </w:rPr>
      <mc:AlternateContent>
        <mc:Choice Requires="wps">
          <w:drawing>
            <wp:anchor distT="0" distB="0" distL="114300" distR="114300" simplePos="0" relativeHeight="251682304" behindDoc="0" locked="0" layoutInCell="1" allowOverlap="1" wp14:anchorId="1AE348F2" wp14:editId="1C723126">
              <wp:simplePos x="0" y="0"/>
              <wp:positionH relativeFrom="column">
                <wp:posOffset>-5914390</wp:posOffset>
              </wp:positionH>
              <wp:positionV relativeFrom="paragraph">
                <wp:posOffset>-2331720</wp:posOffset>
              </wp:positionV>
              <wp:extent cx="16200000" cy="180000"/>
              <wp:effectExtent l="0" t="0" r="5715" b="0"/>
              <wp:wrapNone/>
              <wp:docPr id="1065061530" name="Rectangle 10650615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2486C" id="Rectangle 1065061530" o:spid="_x0000_s1026" alt="&quot;&quot;" style="position:absolute;margin-left:-465.7pt;margin-top:-183.6pt;width:1275.6pt;height:14.1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" fillcolor="#6b2976" stroked="f" strokeweight="1p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1DE74" w14:textId="77777777" w:rsidR="005E48BA" w:rsidRDefault="005E48B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3B498" w14:textId="72DF6BCA" w:rsidR="005E48BA" w:rsidRDefault="00972ADE" w:rsidP="000252E9">
    <w:r w:rsidRPr="00CB6A42">
      <w:rPr>
        <w:noProof/>
      </w:rPr>
      <mc:AlternateContent>
        <mc:Choice Requires="wps">
          <w:drawing>
            <wp:anchor distT="0" distB="0" distL="114300" distR="114300" simplePos="0" relativeHeight="251654656" behindDoc="1" locked="1" layoutInCell="1" allowOverlap="1" wp14:anchorId="7104405E" wp14:editId="33B3229E">
              <wp:simplePos x="0" y="0"/>
              <wp:positionH relativeFrom="column">
                <wp:posOffset>-723900</wp:posOffset>
              </wp:positionH>
              <wp:positionV relativeFrom="page">
                <wp:posOffset>-10795</wp:posOffset>
              </wp:positionV>
              <wp:extent cx="7559675" cy="179705"/>
              <wp:effectExtent l="0" t="0" r="3175" b="0"/>
              <wp:wrapNone/>
              <wp:docPr id="358375652" name="Rectangle 3583756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D2E848" id="Rectangle 358375652" o:spid="_x0000_s1026" alt="&quot;&quot;" style="position:absolute;margin-left:-57pt;margin-top:-.85pt;width:595.25pt;height:14.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" fillcolor="#6b2976" stroked="f" strokeweight="1pt">
              <w10:wrap anchory="page"/>
              <w10:anchorlock/>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991A" w14:textId="77777777" w:rsidR="005E48BA" w:rsidRDefault="005E48B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8D595" w14:textId="4207F6AF" w:rsidR="0055740D" w:rsidRDefault="0055740D" w:rsidP="000252E9">
    <w:r w:rsidRPr="00CB6A42">
      <w:rPr>
        <w:noProof/>
      </w:rPr>
      <mc:AlternateContent>
        <mc:Choice Requires="wps">
          <w:drawing>
            <wp:anchor distT="0" distB="0" distL="114300" distR="114300" simplePos="0" relativeHeight="251673088" behindDoc="1" locked="1" layoutInCell="1" allowOverlap="1" wp14:anchorId="3A269D0E" wp14:editId="1D314A6B">
              <wp:simplePos x="0" y="0"/>
              <wp:positionH relativeFrom="column">
                <wp:posOffset>-716280</wp:posOffset>
              </wp:positionH>
              <wp:positionV relativeFrom="page">
                <wp:posOffset>-10795</wp:posOffset>
              </wp:positionV>
              <wp:extent cx="10692000" cy="180000"/>
              <wp:effectExtent l="0" t="0" r="0" b="0"/>
              <wp:wrapNone/>
              <wp:docPr id="105544947" name="Rectangle 1055449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692000" cy="180000"/>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3EDFA" id="Rectangle 105544947" o:spid="_x0000_s1026" alt="&quot;&quot;" style="position:absolute;margin-left:-56.4pt;margin-top:-.85pt;width:841.9pt;height:14.1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" fillcolor="#6b2976" stroked="f" strokeweight="1pt">
              <w10:wrap anchory="page"/>
              <w10:anchorlock/>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C72AA" w14:textId="0EB6527F" w:rsidR="0055740D" w:rsidRDefault="0055740D" w:rsidP="000252E9">
    <w:r w:rsidRPr="00CB6A42">
      <w:rPr>
        <w:noProof/>
      </w:rPr>
      <mc:AlternateContent>
        <mc:Choice Requires="wps">
          <w:drawing>
            <wp:anchor distT="0" distB="0" distL="114300" distR="114300" simplePos="0" relativeHeight="251679232" behindDoc="1" locked="1" layoutInCell="1" allowOverlap="1" wp14:anchorId="35079B6E" wp14:editId="4023794B">
              <wp:simplePos x="0" y="0"/>
              <wp:positionH relativeFrom="column">
                <wp:posOffset>-716280</wp:posOffset>
              </wp:positionH>
              <wp:positionV relativeFrom="page">
                <wp:posOffset>-10795</wp:posOffset>
              </wp:positionV>
              <wp:extent cx="7560000" cy="180000"/>
              <wp:effectExtent l="0" t="0" r="3175" b="0"/>
              <wp:wrapNone/>
              <wp:docPr id="1444298219" name="Rectangle 14442982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F9AC86" id="Rectangle 1444298219" o:spid="_x0000_s1026" alt="&quot;&quot;" style="position:absolute;margin-left:-56.4pt;margin-top:-.85pt;width:595.3pt;height:14.1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" fillcolor="#6b2976" stroked="f" strokeweight="1pt">
              <w10:wrap anchory="page"/>
              <w10:anchorlock/>
            </v:rect>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CDF2E" w14:textId="6E07A7FF" w:rsidR="005C6008" w:rsidRDefault="0055740D" w:rsidP="00031ADE">
    <w:r w:rsidRPr="00CB6A42">
      <w:rPr>
        <w:noProof/>
      </w:rPr>
      <mc:AlternateContent>
        <mc:Choice Requires="wps">
          <w:drawing>
            <wp:anchor distT="0" distB="0" distL="114300" distR="114300" simplePos="0" relativeHeight="251670016" behindDoc="1" locked="1" layoutInCell="1" allowOverlap="1" wp14:anchorId="1F2DB15F" wp14:editId="19CD20CF">
              <wp:simplePos x="0" y="0"/>
              <wp:positionH relativeFrom="column">
                <wp:posOffset>-723900</wp:posOffset>
              </wp:positionH>
              <wp:positionV relativeFrom="page">
                <wp:posOffset>9525</wp:posOffset>
              </wp:positionV>
              <wp:extent cx="7559675" cy="179705"/>
              <wp:effectExtent l="0" t="0" r="3175" b="0"/>
              <wp:wrapNone/>
              <wp:docPr id="639682363" name="Rectangle 63968236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6B297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FE0961" id="Rectangle 639682363" o:spid="_x0000_s1026" alt="&quot;&quot;" style="position:absolute;margin-left:-57pt;margin-top:.75pt;width:595.25pt;height:14.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" fillcolor="#6b2976" stroked="f" strokeweight="1pt">
              <w10:wrap anchory="page"/>
              <w10:anchorlock/>
            </v:rect>
          </w:pict>
        </mc:Fallback>
      </mc:AlternateContent>
    </w:r>
    <w:r w:rsidR="005C6008" w:rsidRPr="00CB6A42">
      <w:rPr>
        <w:noProof/>
      </w:rPr>
      <mc:AlternateContent>
        <mc:Choice Requires="wps">
          <w:drawing>
            <wp:anchor distT="0" distB="0" distL="114300" distR="114300" simplePos="0" relativeHeight="251666944" behindDoc="0" locked="0" layoutInCell="1" allowOverlap="1" wp14:anchorId="4B8EB2C9" wp14:editId="1F3B5447">
              <wp:simplePos x="0" y="0"/>
              <wp:positionH relativeFrom="column">
                <wp:posOffset>-5914390</wp:posOffset>
              </wp:positionH>
              <wp:positionV relativeFrom="paragraph">
                <wp:posOffset>-2331720</wp:posOffset>
              </wp:positionV>
              <wp:extent cx="16200000" cy="180000"/>
              <wp:effectExtent l="0" t="0" r="5715" b="0"/>
              <wp:wrapNone/>
              <wp:docPr id="952598427" name="Rectangle 9525984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B85A04" id="Rectangle 952598427" o:spid="_x0000_s1026" alt="&quot;&quot;" style="position:absolute;margin-left:-465.7pt;margin-top:-183.6pt;width:1275.6pt;height:14.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" fillcolor="#6b2976 [3215]" stroked="f" strokeweight="1p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BDAF" w14:textId="0A3D7B1F" w:rsidR="00A140B9" w:rsidRDefault="00A140B9" w:rsidP="00031ADE">
    <w:r w:rsidRPr="00CB6A42">
      <w:rPr>
        <w:noProof/>
      </w:rPr>
      <mc:AlternateContent>
        <mc:Choice Requires="wps">
          <w:drawing>
            <wp:anchor distT="0" distB="0" distL="114300" distR="114300" simplePos="0" relativeHeight="251630080" behindDoc="1" locked="0" layoutInCell="1" allowOverlap="1" wp14:anchorId="4ACE315A" wp14:editId="42D103C6">
              <wp:simplePos x="0" y="0"/>
              <wp:positionH relativeFrom="column">
                <wp:posOffset>-899795</wp:posOffset>
              </wp:positionH>
              <wp:positionV relativeFrom="page">
                <wp:posOffset>4445</wp:posOffset>
              </wp:positionV>
              <wp:extent cx="7560000" cy="179705"/>
              <wp:effectExtent l="0" t="0" r="3175" b="0"/>
              <wp:wrapNone/>
              <wp:docPr id="99567311" name="Rectangle 995673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7970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FD229" id="Rectangle 99567311" o:spid="_x0000_s1026" alt="&quot;&quot;" style="position:absolute;margin-left:-70.85pt;margin-top:.35pt;width:595.3pt;height:14.1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" fillcolor="#6b2976 [3213]" stroked="f" strokeweight="1pt">
              <w10:wrap anchory="page"/>
            </v:rect>
          </w:pict>
        </mc:Fallback>
      </mc:AlternateContent>
    </w:r>
    <w:r w:rsidRPr="00CB6A42">
      <w:rPr>
        <w:noProof/>
      </w:rPr>
      <mc:AlternateContent>
        <mc:Choice Requires="wps">
          <w:drawing>
            <wp:anchor distT="0" distB="0" distL="114300" distR="114300" simplePos="0" relativeHeight="251627008" behindDoc="0" locked="0" layoutInCell="1" allowOverlap="1" wp14:anchorId="63FD941E" wp14:editId="12282E80">
              <wp:simplePos x="0" y="0"/>
              <wp:positionH relativeFrom="column">
                <wp:posOffset>-5914390</wp:posOffset>
              </wp:positionH>
              <wp:positionV relativeFrom="paragraph">
                <wp:posOffset>-2331720</wp:posOffset>
              </wp:positionV>
              <wp:extent cx="16200000" cy="180000"/>
              <wp:effectExtent l="0" t="0" r="5715" b="0"/>
              <wp:wrapNone/>
              <wp:docPr id="325121010" name="Rectangle 3251210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154B8" id="Rectangle 325121010" o:spid="_x0000_s1026" alt="&quot;&quot;" style="position:absolute;margin-left:-465.7pt;margin-top:-183.6pt;width:1275.6pt;height:14.1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" fillcolor="#6b2976 [3215]" stroked="f" strokeweight="1pt"/>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869EE" w14:textId="1E906464" w:rsidR="00EF61CA" w:rsidRDefault="00EF61CA" w:rsidP="00031ADE">
    <w:r w:rsidRPr="00CB6A42">
      <w:rPr>
        <w:noProof/>
      </w:rPr>
      <mc:AlternateContent>
        <mc:Choice Requires="wps">
          <w:drawing>
            <wp:anchor distT="0" distB="0" distL="114300" distR="114300" simplePos="0" relativeHeight="251663872" behindDoc="1" locked="0" layoutInCell="1" allowOverlap="1" wp14:anchorId="5B449345" wp14:editId="00EC4BD1">
              <wp:simplePos x="0" y="0"/>
              <wp:positionH relativeFrom="column">
                <wp:posOffset>-800735</wp:posOffset>
              </wp:positionH>
              <wp:positionV relativeFrom="page">
                <wp:posOffset>4445</wp:posOffset>
              </wp:positionV>
              <wp:extent cx="10692000" cy="179705"/>
              <wp:effectExtent l="0" t="0" r="0" b="0"/>
              <wp:wrapNone/>
              <wp:docPr id="438467770" name="Rectangle 4384677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692000" cy="17970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4431D" id="Rectangle 438467770" o:spid="_x0000_s1026" alt="&quot;&quot;" style="position:absolute;margin-left:-63.05pt;margin-top:.35pt;width:841.9pt;height:14.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" fillcolor="#6b2976 [3213]" stroked="f" strokeweight="1pt">
              <w10:wrap anchory="page"/>
            </v:rect>
          </w:pict>
        </mc:Fallback>
      </mc:AlternateContent>
    </w:r>
    <w:r w:rsidRPr="00CB6A42">
      <w:rPr>
        <w:noProof/>
      </w:rPr>
      <mc:AlternateContent>
        <mc:Choice Requires="wps">
          <w:drawing>
            <wp:anchor distT="0" distB="0" distL="114300" distR="114300" simplePos="0" relativeHeight="251660800" behindDoc="0" locked="0" layoutInCell="1" allowOverlap="1" wp14:anchorId="5C50B779" wp14:editId="1F9B9691">
              <wp:simplePos x="0" y="0"/>
              <wp:positionH relativeFrom="column">
                <wp:posOffset>-5914390</wp:posOffset>
              </wp:positionH>
              <wp:positionV relativeFrom="paragraph">
                <wp:posOffset>-2331720</wp:posOffset>
              </wp:positionV>
              <wp:extent cx="16200000" cy="180000"/>
              <wp:effectExtent l="0" t="0" r="5715" b="0"/>
              <wp:wrapNone/>
              <wp:docPr id="509455580" name="Rectangle 5094555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DFC90A" id="Rectangle 509455580" o:spid="_x0000_s1026" alt="&quot;&quot;" style="position:absolute;margin-left:-465.7pt;margin-top:-183.6pt;width:1275.6pt;height:14.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" fillcolor="#6b2976 [3215]" stroked="f" strokeweight="1pt"/>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3884" w14:textId="5F050B9D" w:rsidR="00EF61CA" w:rsidRDefault="00EF61CA" w:rsidP="00031ADE">
    <w:r w:rsidRPr="00CB6A42">
      <w:rPr>
        <w:noProof/>
      </w:rPr>
      <mc:AlternateContent>
        <mc:Choice Requires="wps">
          <w:drawing>
            <wp:anchor distT="0" distB="0" distL="114300" distR="114300" simplePos="0" relativeHeight="251676160" behindDoc="1" locked="0" layoutInCell="1" allowOverlap="1" wp14:anchorId="1832FB38" wp14:editId="7760CB89">
              <wp:simplePos x="0" y="0"/>
              <wp:positionH relativeFrom="column">
                <wp:posOffset>-907415</wp:posOffset>
              </wp:positionH>
              <wp:positionV relativeFrom="page">
                <wp:posOffset>4445</wp:posOffset>
              </wp:positionV>
              <wp:extent cx="7560000" cy="179705"/>
              <wp:effectExtent l="0" t="0" r="3175" b="0"/>
              <wp:wrapNone/>
              <wp:docPr id="401709403" name="Rectangle 4017094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7970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069DFA" id="Rectangle 401709403" o:spid="_x0000_s1026" alt="&quot;&quot;" style="position:absolute;margin-left:-71.45pt;margin-top:.35pt;width:595.3pt;height:14.1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" fillcolor="#6b2976 [3213]" stroked="f" strokeweight="1pt">
              <w10:wrap anchory="page"/>
            </v:rect>
          </w:pict>
        </mc:Fallback>
      </mc:AlternateContent>
    </w:r>
    <w:r w:rsidRPr="00CB6A42">
      <w:rPr>
        <w:noProof/>
      </w:rPr>
      <mc:AlternateContent>
        <mc:Choice Requires="wps">
          <w:drawing>
            <wp:anchor distT="0" distB="0" distL="114300" distR="114300" simplePos="0" relativeHeight="251657728" behindDoc="0" locked="0" layoutInCell="1" allowOverlap="1" wp14:anchorId="7CF4682E" wp14:editId="474DA86B">
              <wp:simplePos x="0" y="0"/>
              <wp:positionH relativeFrom="column">
                <wp:posOffset>-5914390</wp:posOffset>
              </wp:positionH>
              <wp:positionV relativeFrom="paragraph">
                <wp:posOffset>-2331720</wp:posOffset>
              </wp:positionV>
              <wp:extent cx="16200000" cy="180000"/>
              <wp:effectExtent l="0" t="0" r="5715" b="0"/>
              <wp:wrapNone/>
              <wp:docPr id="542340021" name="Rectangle 5423400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EF35BE" id="Rectangle 542340021" o:spid="_x0000_s1026" alt="&quot;&quot;" style="position:absolute;margin-left:-465.7pt;margin-top:-183.6pt;width:1275.6pt;height:14.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" fillcolor="#6b2976 [3215]"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43C18B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FCA3B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76E14F8"/>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F99A4EE8"/>
    <w:lvl w:ilvl="0">
      <w:start w:val="1"/>
      <w:numFmt w:val="decimal"/>
      <w:pStyle w:val="ListNumber"/>
      <w:lvlText w:val="%1."/>
      <w:lvlJc w:val="left"/>
      <w:pPr>
        <w:tabs>
          <w:tab w:val="num" w:pos="360"/>
        </w:tabs>
        <w:ind w:left="360" w:hanging="360"/>
      </w:pPr>
    </w:lvl>
  </w:abstractNum>
  <w:abstractNum w:abstractNumId="4" w15:restartNumberingAfterBreak="0">
    <w:nsid w:val="01AF4F85"/>
    <w:multiLevelType w:val="multilevel"/>
    <w:tmpl w:val="4A2C09A0"/>
    <w:styleLink w:val="CurrentList21"/>
    <w:lvl w:ilvl="0">
      <w:start w:val="2"/>
      <w:numFmt w:val="decimal"/>
      <w:lvlText w:val="Note %1: "/>
      <w:lvlJc w:val="left"/>
      <w:pPr>
        <w:tabs>
          <w:tab w:val="num" w:pos="1352"/>
        </w:tabs>
        <w:ind w:left="1352" w:hanging="99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upperLetter"/>
      <w:lvlText w:val="Note %1%2: "/>
      <w:lvlJc w:val="left"/>
      <w:pPr>
        <w:tabs>
          <w:tab w:val="num" w:pos="1532"/>
        </w:tabs>
        <w:ind w:left="1532" w:hanging="992"/>
      </w:pPr>
      <w:rPr>
        <w:rFonts w:ascii="Times New Roman" w:hAnsi="Times New Roman" w:cs="Times New Roman" w:hint="default"/>
        <w:b/>
        <w:i w:val="0"/>
        <w:color w:val="auto"/>
        <w:sz w:val="20"/>
        <w:szCs w:val="20"/>
        <w:u w:val="none"/>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028D074D"/>
    <w:multiLevelType w:val="hybridMultilevel"/>
    <w:tmpl w:val="69B6F9F6"/>
    <w:lvl w:ilvl="0" w:tplc="87986FA0">
      <w:start w:val="1"/>
      <w:numFmt w:val="lowerLetter"/>
      <w:pStyle w:val="Alpha2"/>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 w15:restartNumberingAfterBreak="0">
    <w:nsid w:val="04DADF0D"/>
    <w:multiLevelType w:val="hybridMultilevel"/>
    <w:tmpl w:val="A90CE634"/>
    <w:lvl w:ilvl="0" w:tplc="E7A07EB8">
      <w:start w:val="1"/>
      <w:numFmt w:val="bullet"/>
      <w:lvlText w:val=""/>
      <w:lvlJc w:val="left"/>
      <w:pPr>
        <w:ind w:left="720" w:hanging="360"/>
      </w:pPr>
      <w:rPr>
        <w:rFonts w:ascii="Symbol" w:hAnsi="Symbol" w:hint="default"/>
      </w:rPr>
    </w:lvl>
    <w:lvl w:ilvl="1" w:tplc="E20EC4B8">
      <w:start w:val="1"/>
      <w:numFmt w:val="bullet"/>
      <w:lvlText w:val="o"/>
      <w:lvlJc w:val="left"/>
      <w:pPr>
        <w:ind w:left="1440" w:hanging="360"/>
      </w:pPr>
      <w:rPr>
        <w:rFonts w:ascii="Courier New" w:hAnsi="Courier New" w:hint="default"/>
      </w:rPr>
    </w:lvl>
    <w:lvl w:ilvl="2" w:tplc="4330DD00">
      <w:start w:val="1"/>
      <w:numFmt w:val="bullet"/>
      <w:lvlText w:val=""/>
      <w:lvlJc w:val="left"/>
      <w:pPr>
        <w:ind w:left="2160" w:hanging="360"/>
      </w:pPr>
      <w:rPr>
        <w:rFonts w:ascii="Wingdings" w:hAnsi="Wingdings" w:hint="default"/>
      </w:rPr>
    </w:lvl>
    <w:lvl w:ilvl="3" w:tplc="F274CDF8">
      <w:start w:val="1"/>
      <w:numFmt w:val="bullet"/>
      <w:lvlText w:val=""/>
      <w:lvlJc w:val="left"/>
      <w:pPr>
        <w:ind w:left="2880" w:hanging="360"/>
      </w:pPr>
      <w:rPr>
        <w:rFonts w:ascii="Symbol" w:hAnsi="Symbol" w:hint="default"/>
      </w:rPr>
    </w:lvl>
    <w:lvl w:ilvl="4" w:tplc="3FE6B57C">
      <w:start w:val="1"/>
      <w:numFmt w:val="bullet"/>
      <w:lvlText w:val="o"/>
      <w:lvlJc w:val="left"/>
      <w:pPr>
        <w:ind w:left="3600" w:hanging="360"/>
      </w:pPr>
      <w:rPr>
        <w:rFonts w:ascii="Courier New" w:hAnsi="Courier New" w:hint="default"/>
      </w:rPr>
    </w:lvl>
    <w:lvl w:ilvl="5" w:tplc="06E28616">
      <w:start w:val="1"/>
      <w:numFmt w:val="bullet"/>
      <w:lvlText w:val=""/>
      <w:lvlJc w:val="left"/>
      <w:pPr>
        <w:ind w:left="4320" w:hanging="360"/>
      </w:pPr>
      <w:rPr>
        <w:rFonts w:ascii="Wingdings" w:hAnsi="Wingdings" w:hint="default"/>
      </w:rPr>
    </w:lvl>
    <w:lvl w:ilvl="6" w:tplc="8C181D80">
      <w:start w:val="1"/>
      <w:numFmt w:val="bullet"/>
      <w:lvlText w:val=""/>
      <w:lvlJc w:val="left"/>
      <w:pPr>
        <w:ind w:left="5040" w:hanging="360"/>
      </w:pPr>
      <w:rPr>
        <w:rFonts w:ascii="Symbol" w:hAnsi="Symbol" w:hint="default"/>
      </w:rPr>
    </w:lvl>
    <w:lvl w:ilvl="7" w:tplc="376A5BE2">
      <w:start w:val="1"/>
      <w:numFmt w:val="bullet"/>
      <w:lvlText w:val="o"/>
      <w:lvlJc w:val="left"/>
      <w:pPr>
        <w:ind w:left="5760" w:hanging="360"/>
      </w:pPr>
      <w:rPr>
        <w:rFonts w:ascii="Courier New" w:hAnsi="Courier New" w:hint="default"/>
      </w:rPr>
    </w:lvl>
    <w:lvl w:ilvl="8" w:tplc="5F4A05F4">
      <w:start w:val="1"/>
      <w:numFmt w:val="bullet"/>
      <w:lvlText w:val=""/>
      <w:lvlJc w:val="left"/>
      <w:pPr>
        <w:ind w:left="6480" w:hanging="360"/>
      </w:pPr>
      <w:rPr>
        <w:rFonts w:ascii="Wingdings" w:hAnsi="Wingdings" w:hint="default"/>
      </w:rPr>
    </w:lvl>
  </w:abstractNum>
  <w:abstractNum w:abstractNumId="7" w15:restartNumberingAfterBreak="0">
    <w:nsid w:val="06714A5B"/>
    <w:multiLevelType w:val="hybridMultilevel"/>
    <w:tmpl w:val="B2B41D18"/>
    <w:lvl w:ilvl="0" w:tplc="633A033A">
      <w:start w:val="1"/>
      <w:numFmt w:val="lowerLetter"/>
      <w:lvlText w:val="%1)"/>
      <w:lvlJc w:val="left"/>
      <w:pPr>
        <w:ind w:left="1188" w:hanging="360"/>
      </w:pPr>
      <w:rPr>
        <w:rFonts w:ascii="Arial" w:hAnsi="Arial" w:hint="default"/>
        <w:b w:val="0"/>
        <w:i w:val="0"/>
        <w:sz w:val="18"/>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8" w15:restartNumberingAfterBreak="0">
    <w:nsid w:val="084F6F3C"/>
    <w:multiLevelType w:val="hybridMultilevel"/>
    <w:tmpl w:val="25F8EB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8531685"/>
    <w:multiLevelType w:val="multilevel"/>
    <w:tmpl w:val="410259FE"/>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8CB1235"/>
    <w:multiLevelType w:val="multilevel"/>
    <w:tmpl w:val="492ED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9CB62E5"/>
    <w:multiLevelType w:val="hybridMultilevel"/>
    <w:tmpl w:val="5B5E8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B3F2742"/>
    <w:multiLevelType w:val="hybridMultilevel"/>
    <w:tmpl w:val="B658D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B612C39"/>
    <w:multiLevelType w:val="hybridMultilevel"/>
    <w:tmpl w:val="61E88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CED0212"/>
    <w:multiLevelType w:val="hybridMultilevel"/>
    <w:tmpl w:val="1B46C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E231874"/>
    <w:multiLevelType w:val="hybridMultilevel"/>
    <w:tmpl w:val="8C9CBF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F2950CB"/>
    <w:multiLevelType w:val="multilevel"/>
    <w:tmpl w:val="A1D011E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26A29C6"/>
    <w:multiLevelType w:val="hybridMultilevel"/>
    <w:tmpl w:val="5ACEE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2A74D3B"/>
    <w:multiLevelType w:val="hybridMultilevel"/>
    <w:tmpl w:val="904C352C"/>
    <w:lvl w:ilvl="0" w:tplc="357A149C">
      <w:start w:val="1"/>
      <w:numFmt w:val="lowerRoman"/>
      <w:pStyle w:val="ListBullet"/>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4026AC"/>
    <w:multiLevelType w:val="hybridMultilevel"/>
    <w:tmpl w:val="F6E2C2FC"/>
    <w:lvl w:ilvl="0" w:tplc="16484604">
      <w:start w:val="1"/>
      <w:numFmt w:val="bullet"/>
      <w:lvlText w:val=""/>
      <w:lvlJc w:val="left"/>
      <w:pPr>
        <w:ind w:left="1390" w:hanging="360"/>
      </w:pPr>
      <w:rPr>
        <w:rFonts w:ascii="Symbol" w:hAnsi="Symbol" w:hint="default"/>
      </w:rPr>
    </w:lvl>
    <w:lvl w:ilvl="1" w:tplc="E4204F6C">
      <w:numFmt w:val="bullet"/>
      <w:lvlText w:val="•"/>
      <w:lvlJc w:val="left"/>
      <w:pPr>
        <w:ind w:left="1775" w:hanging="360"/>
      </w:pPr>
      <w:rPr>
        <w:rFonts w:ascii="Cambria" w:eastAsia="Times New Roman" w:hAnsi="Cambria" w:cs="Cambria" w:hint="default"/>
      </w:rPr>
    </w:lvl>
    <w:lvl w:ilvl="2" w:tplc="0C090005" w:tentative="1">
      <w:start w:val="1"/>
      <w:numFmt w:val="bullet"/>
      <w:lvlText w:val=""/>
      <w:lvlJc w:val="left"/>
      <w:pPr>
        <w:ind w:left="2495" w:hanging="360"/>
      </w:pPr>
      <w:rPr>
        <w:rFonts w:ascii="Wingdings" w:hAnsi="Wingdings" w:hint="default"/>
      </w:rPr>
    </w:lvl>
    <w:lvl w:ilvl="3" w:tplc="0C090001" w:tentative="1">
      <w:start w:val="1"/>
      <w:numFmt w:val="bullet"/>
      <w:lvlText w:val=""/>
      <w:lvlJc w:val="left"/>
      <w:pPr>
        <w:ind w:left="3215" w:hanging="360"/>
      </w:pPr>
      <w:rPr>
        <w:rFonts w:ascii="Symbol" w:hAnsi="Symbol" w:hint="default"/>
      </w:rPr>
    </w:lvl>
    <w:lvl w:ilvl="4" w:tplc="0C090003" w:tentative="1">
      <w:start w:val="1"/>
      <w:numFmt w:val="bullet"/>
      <w:lvlText w:val="o"/>
      <w:lvlJc w:val="left"/>
      <w:pPr>
        <w:ind w:left="3935" w:hanging="360"/>
      </w:pPr>
      <w:rPr>
        <w:rFonts w:ascii="Courier New" w:hAnsi="Courier New" w:cs="Courier New" w:hint="default"/>
      </w:rPr>
    </w:lvl>
    <w:lvl w:ilvl="5" w:tplc="0C090005" w:tentative="1">
      <w:start w:val="1"/>
      <w:numFmt w:val="bullet"/>
      <w:lvlText w:val=""/>
      <w:lvlJc w:val="left"/>
      <w:pPr>
        <w:ind w:left="4655" w:hanging="360"/>
      </w:pPr>
      <w:rPr>
        <w:rFonts w:ascii="Wingdings" w:hAnsi="Wingdings" w:hint="default"/>
      </w:rPr>
    </w:lvl>
    <w:lvl w:ilvl="6" w:tplc="0C090001" w:tentative="1">
      <w:start w:val="1"/>
      <w:numFmt w:val="bullet"/>
      <w:lvlText w:val=""/>
      <w:lvlJc w:val="left"/>
      <w:pPr>
        <w:ind w:left="5375" w:hanging="360"/>
      </w:pPr>
      <w:rPr>
        <w:rFonts w:ascii="Symbol" w:hAnsi="Symbol" w:hint="default"/>
      </w:rPr>
    </w:lvl>
    <w:lvl w:ilvl="7" w:tplc="0C090003" w:tentative="1">
      <w:start w:val="1"/>
      <w:numFmt w:val="bullet"/>
      <w:lvlText w:val="o"/>
      <w:lvlJc w:val="left"/>
      <w:pPr>
        <w:ind w:left="6095" w:hanging="360"/>
      </w:pPr>
      <w:rPr>
        <w:rFonts w:ascii="Courier New" w:hAnsi="Courier New" w:cs="Courier New" w:hint="default"/>
      </w:rPr>
    </w:lvl>
    <w:lvl w:ilvl="8" w:tplc="0C090005" w:tentative="1">
      <w:start w:val="1"/>
      <w:numFmt w:val="bullet"/>
      <w:lvlText w:val=""/>
      <w:lvlJc w:val="left"/>
      <w:pPr>
        <w:ind w:left="6815" w:hanging="360"/>
      </w:pPr>
      <w:rPr>
        <w:rFonts w:ascii="Wingdings" w:hAnsi="Wingdings" w:hint="default"/>
      </w:rPr>
    </w:lvl>
  </w:abstractNum>
  <w:abstractNum w:abstractNumId="20" w15:restartNumberingAfterBreak="0">
    <w:nsid w:val="134E3D6F"/>
    <w:multiLevelType w:val="hybridMultilevel"/>
    <w:tmpl w:val="DE9EF46C"/>
    <w:lvl w:ilvl="0" w:tplc="FFFFFFFF">
      <w:start w:val="1"/>
      <w:numFmt w:val="lowerLetter"/>
      <w:lvlText w:val="%1)"/>
      <w:lvlJc w:val="left"/>
      <w:pPr>
        <w:ind w:left="1080" w:hanging="360"/>
      </w:pPr>
    </w:lvl>
    <w:lvl w:ilvl="1" w:tplc="0C090017">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74C77E3"/>
    <w:multiLevelType w:val="hybridMultilevel"/>
    <w:tmpl w:val="36967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9120FD6"/>
    <w:multiLevelType w:val="hybridMultilevel"/>
    <w:tmpl w:val="707CD5FA"/>
    <w:lvl w:ilvl="0" w:tplc="0C090017">
      <w:start w:val="1"/>
      <w:numFmt w:val="lowerLetter"/>
      <w:lvlText w:val="%1)"/>
      <w:lvlJc w:val="lef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1AD87B2A"/>
    <w:multiLevelType w:val="multilevel"/>
    <w:tmpl w:val="B72470B6"/>
    <w:lvl w:ilvl="0">
      <w:start w:val="1"/>
      <w:numFmt w:val="decimal"/>
      <w:lvlText w:val="%1."/>
      <w:lvlJc w:val="left"/>
      <w:pPr>
        <w:ind w:left="360" w:hanging="360"/>
      </w:pPr>
      <w:rPr>
        <w:rFonts w:hint="default"/>
        <w:color w:val="auto"/>
      </w:rPr>
    </w:lvl>
    <w:lvl w:ilvl="1">
      <w:start w:val="1"/>
      <w:numFmt w:val="decimal"/>
      <w:pStyle w:val="SubHeading"/>
      <w:lvlText w:val="%1.%2."/>
      <w:lvlJc w:val="left"/>
      <w:rPr>
        <w:bCs w:val="0"/>
        <w:i w:val="0"/>
        <w:iCs w:val="0"/>
        <w:caps w:val="0"/>
        <w:smallCaps w:val="0"/>
        <w:strike w:val="0"/>
        <w:dstrike w:val="0"/>
        <w:noProof w:val="0"/>
        <w:vanish w:val="0"/>
        <w:color w:val="F9F9F9"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CD95887"/>
    <w:multiLevelType w:val="multilevel"/>
    <w:tmpl w:val="4A2C09A0"/>
    <w:styleLink w:val="Style2"/>
    <w:lvl w:ilvl="0">
      <w:start w:val="1"/>
      <w:numFmt w:val="decimal"/>
      <w:lvlText w:val="Note %1: "/>
      <w:lvlJc w:val="left"/>
      <w:pPr>
        <w:tabs>
          <w:tab w:val="num" w:pos="992"/>
        </w:tabs>
        <w:ind w:left="992" w:hanging="99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upperLetter"/>
      <w:lvlText w:val="Note %1%2: "/>
      <w:lvlJc w:val="left"/>
      <w:pPr>
        <w:tabs>
          <w:tab w:val="num" w:pos="1532"/>
        </w:tabs>
        <w:ind w:left="1532" w:hanging="992"/>
      </w:pPr>
      <w:rPr>
        <w:rFonts w:ascii="Times New Roman" w:hAnsi="Times New Roman" w:cs="Times New Roman" w:hint="default"/>
        <w:b/>
        <w:i w:val="0"/>
        <w:color w:val="auto"/>
        <w:sz w:val="20"/>
        <w:szCs w:val="20"/>
        <w:u w:val="none"/>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6" w15:restartNumberingAfterBreak="0">
    <w:nsid w:val="20645FC2"/>
    <w:multiLevelType w:val="hybridMultilevel"/>
    <w:tmpl w:val="AAE2201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213055FF"/>
    <w:multiLevelType w:val="hybridMultilevel"/>
    <w:tmpl w:val="9FB6BBCE"/>
    <w:lvl w:ilvl="0" w:tplc="88CEB140">
      <w:start w:val="1"/>
      <w:numFmt w:val="bullet"/>
      <w:pStyle w:val="TableBullet"/>
      <w:lvlText w:val=""/>
      <w:lvlJc w:val="left"/>
      <w:pPr>
        <w:ind w:left="-1779" w:hanging="360"/>
      </w:pPr>
      <w:rPr>
        <w:rFonts w:ascii="Symbol" w:hAnsi="Symbol" w:hint="default"/>
        <w:color w:val="auto"/>
      </w:rPr>
    </w:lvl>
    <w:lvl w:ilvl="1" w:tplc="0B704630">
      <w:start w:val="1"/>
      <w:numFmt w:val="bullet"/>
      <w:lvlText w:val="o"/>
      <w:lvlJc w:val="left"/>
      <w:pPr>
        <w:ind w:left="-1059" w:hanging="360"/>
      </w:pPr>
      <w:rPr>
        <w:rFonts w:ascii="Courier New" w:hAnsi="Courier New" w:cs="Courier New" w:hint="default"/>
      </w:rPr>
    </w:lvl>
    <w:lvl w:ilvl="2" w:tplc="08090005" w:tentative="1">
      <w:start w:val="1"/>
      <w:numFmt w:val="bullet"/>
      <w:lvlText w:val=""/>
      <w:lvlJc w:val="left"/>
      <w:pPr>
        <w:ind w:left="-339" w:hanging="360"/>
      </w:pPr>
      <w:rPr>
        <w:rFonts w:ascii="Wingdings" w:hAnsi="Wingdings" w:hint="default"/>
      </w:rPr>
    </w:lvl>
    <w:lvl w:ilvl="3" w:tplc="08090001" w:tentative="1">
      <w:start w:val="1"/>
      <w:numFmt w:val="bullet"/>
      <w:lvlText w:val=""/>
      <w:lvlJc w:val="left"/>
      <w:pPr>
        <w:ind w:left="381" w:hanging="360"/>
      </w:pPr>
      <w:rPr>
        <w:rFonts w:ascii="Symbol" w:hAnsi="Symbol" w:hint="default"/>
      </w:rPr>
    </w:lvl>
    <w:lvl w:ilvl="4" w:tplc="08090003" w:tentative="1">
      <w:start w:val="1"/>
      <w:numFmt w:val="bullet"/>
      <w:lvlText w:val="o"/>
      <w:lvlJc w:val="left"/>
      <w:pPr>
        <w:ind w:left="1101" w:hanging="360"/>
      </w:pPr>
      <w:rPr>
        <w:rFonts w:ascii="Courier New" w:hAnsi="Courier New" w:cs="Courier New" w:hint="default"/>
      </w:rPr>
    </w:lvl>
    <w:lvl w:ilvl="5" w:tplc="08090005" w:tentative="1">
      <w:start w:val="1"/>
      <w:numFmt w:val="bullet"/>
      <w:lvlText w:val=""/>
      <w:lvlJc w:val="left"/>
      <w:pPr>
        <w:ind w:left="1821" w:hanging="360"/>
      </w:pPr>
      <w:rPr>
        <w:rFonts w:ascii="Wingdings" w:hAnsi="Wingdings" w:hint="default"/>
      </w:rPr>
    </w:lvl>
    <w:lvl w:ilvl="6" w:tplc="08090001" w:tentative="1">
      <w:start w:val="1"/>
      <w:numFmt w:val="bullet"/>
      <w:lvlText w:val=""/>
      <w:lvlJc w:val="left"/>
      <w:pPr>
        <w:ind w:left="2541" w:hanging="360"/>
      </w:pPr>
      <w:rPr>
        <w:rFonts w:ascii="Symbol" w:hAnsi="Symbol" w:hint="default"/>
      </w:rPr>
    </w:lvl>
    <w:lvl w:ilvl="7" w:tplc="08090003" w:tentative="1">
      <w:start w:val="1"/>
      <w:numFmt w:val="bullet"/>
      <w:lvlText w:val="o"/>
      <w:lvlJc w:val="left"/>
      <w:pPr>
        <w:ind w:left="3261" w:hanging="360"/>
      </w:pPr>
      <w:rPr>
        <w:rFonts w:ascii="Courier New" w:hAnsi="Courier New" w:cs="Courier New" w:hint="default"/>
      </w:rPr>
    </w:lvl>
    <w:lvl w:ilvl="8" w:tplc="08090005" w:tentative="1">
      <w:start w:val="1"/>
      <w:numFmt w:val="bullet"/>
      <w:lvlText w:val=""/>
      <w:lvlJc w:val="left"/>
      <w:pPr>
        <w:ind w:left="3981" w:hanging="360"/>
      </w:pPr>
      <w:rPr>
        <w:rFonts w:ascii="Wingdings" w:hAnsi="Wingdings" w:hint="default"/>
      </w:rPr>
    </w:lvl>
  </w:abstractNum>
  <w:abstractNum w:abstractNumId="28" w15:restartNumberingAfterBreak="0">
    <w:nsid w:val="21DE6DF8"/>
    <w:multiLevelType w:val="hybridMultilevel"/>
    <w:tmpl w:val="046E4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2566FB2"/>
    <w:multiLevelType w:val="hybridMultilevel"/>
    <w:tmpl w:val="17C061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2EBF943"/>
    <w:multiLevelType w:val="hybridMultilevel"/>
    <w:tmpl w:val="FFFFFFFF"/>
    <w:lvl w:ilvl="0" w:tplc="955A2D2E">
      <w:start w:val="1"/>
      <w:numFmt w:val="bullet"/>
      <w:lvlText w:val="·"/>
      <w:lvlJc w:val="left"/>
      <w:pPr>
        <w:ind w:left="720" w:hanging="360"/>
      </w:pPr>
      <w:rPr>
        <w:rFonts w:ascii="Symbol" w:hAnsi="Symbol" w:hint="default"/>
      </w:rPr>
    </w:lvl>
    <w:lvl w:ilvl="1" w:tplc="B1F21206">
      <w:start w:val="1"/>
      <w:numFmt w:val="bullet"/>
      <w:lvlText w:val="o"/>
      <w:lvlJc w:val="left"/>
      <w:pPr>
        <w:ind w:left="1440" w:hanging="360"/>
      </w:pPr>
      <w:rPr>
        <w:rFonts w:ascii="Courier New" w:hAnsi="Courier New" w:hint="default"/>
      </w:rPr>
    </w:lvl>
    <w:lvl w:ilvl="2" w:tplc="ACC8E8F0">
      <w:start w:val="1"/>
      <w:numFmt w:val="bullet"/>
      <w:lvlText w:val=""/>
      <w:lvlJc w:val="left"/>
      <w:pPr>
        <w:ind w:left="2160" w:hanging="360"/>
      </w:pPr>
      <w:rPr>
        <w:rFonts w:ascii="Wingdings" w:hAnsi="Wingdings" w:hint="default"/>
      </w:rPr>
    </w:lvl>
    <w:lvl w:ilvl="3" w:tplc="BD16854E">
      <w:start w:val="1"/>
      <w:numFmt w:val="bullet"/>
      <w:lvlText w:val=""/>
      <w:lvlJc w:val="left"/>
      <w:pPr>
        <w:ind w:left="2880" w:hanging="360"/>
      </w:pPr>
      <w:rPr>
        <w:rFonts w:ascii="Symbol" w:hAnsi="Symbol" w:hint="default"/>
      </w:rPr>
    </w:lvl>
    <w:lvl w:ilvl="4" w:tplc="927AFB40">
      <w:start w:val="1"/>
      <w:numFmt w:val="bullet"/>
      <w:lvlText w:val="o"/>
      <w:lvlJc w:val="left"/>
      <w:pPr>
        <w:ind w:left="3600" w:hanging="360"/>
      </w:pPr>
      <w:rPr>
        <w:rFonts w:ascii="Courier New" w:hAnsi="Courier New" w:hint="default"/>
      </w:rPr>
    </w:lvl>
    <w:lvl w:ilvl="5" w:tplc="797E4F82">
      <w:start w:val="1"/>
      <w:numFmt w:val="bullet"/>
      <w:lvlText w:val=""/>
      <w:lvlJc w:val="left"/>
      <w:pPr>
        <w:ind w:left="4320" w:hanging="360"/>
      </w:pPr>
      <w:rPr>
        <w:rFonts w:ascii="Wingdings" w:hAnsi="Wingdings" w:hint="default"/>
      </w:rPr>
    </w:lvl>
    <w:lvl w:ilvl="6" w:tplc="8A5ECD9A">
      <w:start w:val="1"/>
      <w:numFmt w:val="bullet"/>
      <w:lvlText w:val=""/>
      <w:lvlJc w:val="left"/>
      <w:pPr>
        <w:ind w:left="5040" w:hanging="360"/>
      </w:pPr>
      <w:rPr>
        <w:rFonts w:ascii="Symbol" w:hAnsi="Symbol" w:hint="default"/>
      </w:rPr>
    </w:lvl>
    <w:lvl w:ilvl="7" w:tplc="471ED5D6">
      <w:start w:val="1"/>
      <w:numFmt w:val="bullet"/>
      <w:lvlText w:val="o"/>
      <w:lvlJc w:val="left"/>
      <w:pPr>
        <w:ind w:left="5760" w:hanging="360"/>
      </w:pPr>
      <w:rPr>
        <w:rFonts w:ascii="Courier New" w:hAnsi="Courier New" w:hint="default"/>
      </w:rPr>
    </w:lvl>
    <w:lvl w:ilvl="8" w:tplc="240E7C8C">
      <w:start w:val="1"/>
      <w:numFmt w:val="bullet"/>
      <w:lvlText w:val=""/>
      <w:lvlJc w:val="left"/>
      <w:pPr>
        <w:ind w:left="6480" w:hanging="360"/>
      </w:pPr>
      <w:rPr>
        <w:rFonts w:ascii="Wingdings" w:hAnsi="Wingdings" w:hint="default"/>
      </w:rPr>
    </w:lvl>
  </w:abstractNum>
  <w:abstractNum w:abstractNumId="31" w15:restartNumberingAfterBreak="0">
    <w:nsid w:val="23890403"/>
    <w:multiLevelType w:val="multilevel"/>
    <w:tmpl w:val="2ED64E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4EE7D50"/>
    <w:multiLevelType w:val="hybridMultilevel"/>
    <w:tmpl w:val="0164907A"/>
    <w:lvl w:ilvl="0" w:tplc="071E553C">
      <w:start w:val="1"/>
      <w:numFmt w:val="bullet"/>
      <w:pStyle w:val="Subbullet"/>
      <w:lvlText w:val="o"/>
      <w:lvlJc w:val="left"/>
      <w:pPr>
        <w:ind w:left="2061" w:hanging="360"/>
      </w:pPr>
      <w:rPr>
        <w:rFonts w:ascii="Courier New" w:hAnsi="Courier New" w:cs="Courier New" w:hint="default"/>
      </w:rPr>
    </w:lvl>
    <w:lvl w:ilvl="1" w:tplc="33A826CA" w:tentative="1">
      <w:start w:val="1"/>
      <w:numFmt w:val="bullet"/>
      <w:lvlText w:val="o"/>
      <w:lvlJc w:val="left"/>
      <w:pPr>
        <w:ind w:left="2007" w:hanging="360"/>
      </w:pPr>
      <w:rPr>
        <w:rFonts w:ascii="Courier New" w:hAnsi="Courier New" w:cs="Courier New" w:hint="default"/>
      </w:rPr>
    </w:lvl>
    <w:lvl w:ilvl="2" w:tplc="5D085244" w:tentative="1">
      <w:start w:val="1"/>
      <w:numFmt w:val="bullet"/>
      <w:lvlText w:val=""/>
      <w:lvlJc w:val="left"/>
      <w:pPr>
        <w:ind w:left="2727" w:hanging="360"/>
      </w:pPr>
      <w:rPr>
        <w:rFonts w:ascii="Wingdings" w:hAnsi="Wingdings" w:hint="default"/>
      </w:rPr>
    </w:lvl>
    <w:lvl w:ilvl="3" w:tplc="5316E8EA" w:tentative="1">
      <w:start w:val="1"/>
      <w:numFmt w:val="bullet"/>
      <w:lvlText w:val=""/>
      <w:lvlJc w:val="left"/>
      <w:pPr>
        <w:ind w:left="3447" w:hanging="360"/>
      </w:pPr>
      <w:rPr>
        <w:rFonts w:ascii="Symbol" w:hAnsi="Symbol" w:hint="default"/>
      </w:rPr>
    </w:lvl>
    <w:lvl w:ilvl="4" w:tplc="EFBEDAFA" w:tentative="1">
      <w:start w:val="1"/>
      <w:numFmt w:val="bullet"/>
      <w:lvlText w:val="o"/>
      <w:lvlJc w:val="left"/>
      <w:pPr>
        <w:ind w:left="4167" w:hanging="360"/>
      </w:pPr>
      <w:rPr>
        <w:rFonts w:ascii="Courier New" w:hAnsi="Courier New" w:cs="Courier New" w:hint="default"/>
      </w:rPr>
    </w:lvl>
    <w:lvl w:ilvl="5" w:tplc="40FC6C76" w:tentative="1">
      <w:start w:val="1"/>
      <w:numFmt w:val="bullet"/>
      <w:lvlText w:val=""/>
      <w:lvlJc w:val="left"/>
      <w:pPr>
        <w:ind w:left="4887" w:hanging="360"/>
      </w:pPr>
      <w:rPr>
        <w:rFonts w:ascii="Wingdings" w:hAnsi="Wingdings" w:hint="default"/>
      </w:rPr>
    </w:lvl>
    <w:lvl w:ilvl="6" w:tplc="82ECF6EE" w:tentative="1">
      <w:start w:val="1"/>
      <w:numFmt w:val="bullet"/>
      <w:lvlText w:val=""/>
      <w:lvlJc w:val="left"/>
      <w:pPr>
        <w:ind w:left="5607" w:hanging="360"/>
      </w:pPr>
      <w:rPr>
        <w:rFonts w:ascii="Symbol" w:hAnsi="Symbol" w:hint="default"/>
      </w:rPr>
    </w:lvl>
    <w:lvl w:ilvl="7" w:tplc="C76C2726" w:tentative="1">
      <w:start w:val="1"/>
      <w:numFmt w:val="bullet"/>
      <w:lvlText w:val="o"/>
      <w:lvlJc w:val="left"/>
      <w:pPr>
        <w:ind w:left="6327" w:hanging="360"/>
      </w:pPr>
      <w:rPr>
        <w:rFonts w:ascii="Courier New" w:hAnsi="Courier New" w:cs="Courier New" w:hint="default"/>
      </w:rPr>
    </w:lvl>
    <w:lvl w:ilvl="8" w:tplc="2C285F46" w:tentative="1">
      <w:start w:val="1"/>
      <w:numFmt w:val="bullet"/>
      <w:lvlText w:val=""/>
      <w:lvlJc w:val="left"/>
      <w:pPr>
        <w:ind w:left="7047" w:hanging="360"/>
      </w:pPr>
      <w:rPr>
        <w:rFonts w:ascii="Wingdings" w:hAnsi="Wingdings" w:hint="default"/>
      </w:rPr>
    </w:lvl>
  </w:abstractNum>
  <w:abstractNum w:abstractNumId="33" w15:restartNumberingAfterBreak="0">
    <w:nsid w:val="25840141"/>
    <w:multiLevelType w:val="hybridMultilevel"/>
    <w:tmpl w:val="A0B4B79E"/>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4" w15:restartNumberingAfterBreak="0">
    <w:nsid w:val="25F90CBC"/>
    <w:multiLevelType w:val="hybridMultilevel"/>
    <w:tmpl w:val="B2DC58B4"/>
    <w:lvl w:ilvl="0" w:tplc="FFFFFFFF">
      <w:start w:val="1"/>
      <w:numFmt w:val="bullet"/>
      <w:lvlText w:val=""/>
      <w:lvlJc w:val="left"/>
      <w:pPr>
        <w:ind w:left="-705" w:hanging="360"/>
      </w:pPr>
      <w:rPr>
        <w:rFonts w:ascii="Symbol" w:hAnsi="Symbol" w:hint="default"/>
      </w:rPr>
    </w:lvl>
    <w:lvl w:ilvl="1" w:tplc="FFFFFFFF">
      <w:start w:val="1"/>
      <w:numFmt w:val="bullet"/>
      <w:lvlText w:val="o"/>
      <w:lvlJc w:val="left"/>
      <w:pPr>
        <w:ind w:left="15" w:hanging="360"/>
      </w:pPr>
      <w:rPr>
        <w:rFonts w:ascii="Courier New" w:hAnsi="Courier New" w:cs="Courier New" w:hint="default"/>
      </w:rPr>
    </w:lvl>
    <w:lvl w:ilvl="2" w:tplc="0C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1455" w:hanging="360"/>
      </w:pPr>
      <w:rPr>
        <w:rFonts w:ascii="Symbol" w:hAnsi="Symbol" w:hint="default"/>
      </w:rPr>
    </w:lvl>
    <w:lvl w:ilvl="4" w:tplc="FFFFFFFF" w:tentative="1">
      <w:start w:val="1"/>
      <w:numFmt w:val="bullet"/>
      <w:lvlText w:val="o"/>
      <w:lvlJc w:val="left"/>
      <w:pPr>
        <w:ind w:left="2175" w:hanging="360"/>
      </w:pPr>
      <w:rPr>
        <w:rFonts w:ascii="Courier New" w:hAnsi="Courier New" w:cs="Courier New" w:hint="default"/>
      </w:rPr>
    </w:lvl>
    <w:lvl w:ilvl="5" w:tplc="FFFFFFFF" w:tentative="1">
      <w:start w:val="1"/>
      <w:numFmt w:val="bullet"/>
      <w:lvlText w:val=""/>
      <w:lvlJc w:val="left"/>
      <w:pPr>
        <w:ind w:left="2895" w:hanging="360"/>
      </w:pPr>
      <w:rPr>
        <w:rFonts w:ascii="Wingdings" w:hAnsi="Wingdings" w:hint="default"/>
      </w:rPr>
    </w:lvl>
    <w:lvl w:ilvl="6" w:tplc="FFFFFFFF" w:tentative="1">
      <w:start w:val="1"/>
      <w:numFmt w:val="bullet"/>
      <w:lvlText w:val=""/>
      <w:lvlJc w:val="left"/>
      <w:pPr>
        <w:ind w:left="3615" w:hanging="360"/>
      </w:pPr>
      <w:rPr>
        <w:rFonts w:ascii="Symbol" w:hAnsi="Symbol" w:hint="default"/>
      </w:rPr>
    </w:lvl>
    <w:lvl w:ilvl="7" w:tplc="FFFFFFFF" w:tentative="1">
      <w:start w:val="1"/>
      <w:numFmt w:val="bullet"/>
      <w:lvlText w:val="o"/>
      <w:lvlJc w:val="left"/>
      <w:pPr>
        <w:ind w:left="4335" w:hanging="360"/>
      </w:pPr>
      <w:rPr>
        <w:rFonts w:ascii="Courier New" w:hAnsi="Courier New" w:cs="Courier New" w:hint="default"/>
      </w:rPr>
    </w:lvl>
    <w:lvl w:ilvl="8" w:tplc="FFFFFFFF" w:tentative="1">
      <w:start w:val="1"/>
      <w:numFmt w:val="bullet"/>
      <w:lvlText w:val=""/>
      <w:lvlJc w:val="left"/>
      <w:pPr>
        <w:ind w:left="5055" w:hanging="360"/>
      </w:pPr>
      <w:rPr>
        <w:rFonts w:ascii="Wingdings" w:hAnsi="Wingdings" w:hint="default"/>
      </w:rPr>
    </w:lvl>
  </w:abstractNum>
  <w:abstractNum w:abstractNumId="35" w15:restartNumberingAfterBreak="0">
    <w:nsid w:val="270A5C76"/>
    <w:multiLevelType w:val="hybridMultilevel"/>
    <w:tmpl w:val="E95C1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29183D1D"/>
    <w:multiLevelType w:val="hybridMultilevel"/>
    <w:tmpl w:val="AFD656E8"/>
    <w:lvl w:ilvl="0" w:tplc="1A90468A">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B4A6416"/>
    <w:multiLevelType w:val="multilevel"/>
    <w:tmpl w:val="FB56C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B842E55"/>
    <w:multiLevelType w:val="multilevel"/>
    <w:tmpl w:val="3A36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BD66804"/>
    <w:multiLevelType w:val="hybridMultilevel"/>
    <w:tmpl w:val="7F6E2D1C"/>
    <w:lvl w:ilvl="0" w:tplc="33105CEE">
      <w:start w:val="1"/>
      <w:numFmt w:val="bullet"/>
      <w:pStyle w:val="Tablebullet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2BEB1647"/>
    <w:multiLevelType w:val="hybridMultilevel"/>
    <w:tmpl w:val="C7800D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2CDB76DB"/>
    <w:multiLevelType w:val="hybridMultilevel"/>
    <w:tmpl w:val="2138A1B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20D4C11"/>
    <w:multiLevelType w:val="hybridMultilevel"/>
    <w:tmpl w:val="0E6E0DEC"/>
    <w:lvl w:ilvl="0" w:tplc="446430D6">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324820C9"/>
    <w:multiLevelType w:val="multilevel"/>
    <w:tmpl w:val="D2E650B8"/>
    <w:styleLink w:val="CurrentList4"/>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5" w15:restartNumberingAfterBreak="0">
    <w:nsid w:val="326E68FA"/>
    <w:multiLevelType w:val="hybridMultilevel"/>
    <w:tmpl w:val="F67C9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33520A76"/>
    <w:multiLevelType w:val="hybridMultilevel"/>
    <w:tmpl w:val="FFFFFFFF"/>
    <w:lvl w:ilvl="0" w:tplc="54D84F10">
      <w:start w:val="1"/>
      <w:numFmt w:val="bullet"/>
      <w:lvlText w:val=""/>
      <w:lvlJc w:val="left"/>
      <w:pPr>
        <w:ind w:left="720" w:hanging="360"/>
      </w:pPr>
      <w:rPr>
        <w:rFonts w:ascii="Symbol" w:hAnsi="Symbol" w:hint="default"/>
      </w:rPr>
    </w:lvl>
    <w:lvl w:ilvl="1" w:tplc="801E69D4">
      <w:start w:val="1"/>
      <w:numFmt w:val="bullet"/>
      <w:lvlText w:val="o"/>
      <w:lvlJc w:val="left"/>
      <w:pPr>
        <w:ind w:left="1440" w:hanging="360"/>
      </w:pPr>
      <w:rPr>
        <w:rFonts w:ascii="Courier New" w:hAnsi="Courier New" w:hint="default"/>
      </w:rPr>
    </w:lvl>
    <w:lvl w:ilvl="2" w:tplc="5830A634">
      <w:start w:val="1"/>
      <w:numFmt w:val="bullet"/>
      <w:lvlText w:val=""/>
      <w:lvlJc w:val="left"/>
      <w:pPr>
        <w:ind w:left="2160" w:hanging="360"/>
      </w:pPr>
      <w:rPr>
        <w:rFonts w:ascii="Wingdings" w:hAnsi="Wingdings" w:hint="default"/>
      </w:rPr>
    </w:lvl>
    <w:lvl w:ilvl="3" w:tplc="96524172">
      <w:start w:val="1"/>
      <w:numFmt w:val="bullet"/>
      <w:lvlText w:val=""/>
      <w:lvlJc w:val="left"/>
      <w:pPr>
        <w:ind w:left="2880" w:hanging="360"/>
      </w:pPr>
      <w:rPr>
        <w:rFonts w:ascii="Symbol" w:hAnsi="Symbol" w:hint="default"/>
      </w:rPr>
    </w:lvl>
    <w:lvl w:ilvl="4" w:tplc="2C18FD88">
      <w:start w:val="1"/>
      <w:numFmt w:val="bullet"/>
      <w:lvlText w:val="o"/>
      <w:lvlJc w:val="left"/>
      <w:pPr>
        <w:ind w:left="3600" w:hanging="360"/>
      </w:pPr>
      <w:rPr>
        <w:rFonts w:ascii="Courier New" w:hAnsi="Courier New" w:hint="default"/>
      </w:rPr>
    </w:lvl>
    <w:lvl w:ilvl="5" w:tplc="F29E4908">
      <w:start w:val="1"/>
      <w:numFmt w:val="bullet"/>
      <w:lvlText w:val=""/>
      <w:lvlJc w:val="left"/>
      <w:pPr>
        <w:ind w:left="4320" w:hanging="360"/>
      </w:pPr>
      <w:rPr>
        <w:rFonts w:ascii="Wingdings" w:hAnsi="Wingdings" w:hint="default"/>
      </w:rPr>
    </w:lvl>
    <w:lvl w:ilvl="6" w:tplc="19E25DFE">
      <w:start w:val="1"/>
      <w:numFmt w:val="bullet"/>
      <w:lvlText w:val=""/>
      <w:lvlJc w:val="left"/>
      <w:pPr>
        <w:ind w:left="5040" w:hanging="360"/>
      </w:pPr>
      <w:rPr>
        <w:rFonts w:ascii="Symbol" w:hAnsi="Symbol" w:hint="default"/>
      </w:rPr>
    </w:lvl>
    <w:lvl w:ilvl="7" w:tplc="6E2AA1F2">
      <w:start w:val="1"/>
      <w:numFmt w:val="bullet"/>
      <w:lvlText w:val="o"/>
      <w:lvlJc w:val="left"/>
      <w:pPr>
        <w:ind w:left="5760" w:hanging="360"/>
      </w:pPr>
      <w:rPr>
        <w:rFonts w:ascii="Courier New" w:hAnsi="Courier New" w:hint="default"/>
      </w:rPr>
    </w:lvl>
    <w:lvl w:ilvl="8" w:tplc="3C563434">
      <w:start w:val="1"/>
      <w:numFmt w:val="bullet"/>
      <w:lvlText w:val=""/>
      <w:lvlJc w:val="left"/>
      <w:pPr>
        <w:ind w:left="6480" w:hanging="360"/>
      </w:pPr>
      <w:rPr>
        <w:rFonts w:ascii="Wingdings" w:hAnsi="Wingdings" w:hint="default"/>
      </w:rPr>
    </w:lvl>
  </w:abstractNum>
  <w:abstractNum w:abstractNumId="47" w15:restartNumberingAfterBreak="0">
    <w:nsid w:val="34CD506A"/>
    <w:multiLevelType w:val="multilevel"/>
    <w:tmpl w:val="4CC0B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60233B0"/>
    <w:multiLevelType w:val="multilevel"/>
    <w:tmpl w:val="A4B2B7A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80429D2"/>
    <w:multiLevelType w:val="hybridMultilevel"/>
    <w:tmpl w:val="0ACC7E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38210B2F"/>
    <w:multiLevelType w:val="multilevel"/>
    <w:tmpl w:val="D2E650B8"/>
    <w:lvl w:ilvl="0">
      <w:start w:val="1"/>
      <w:numFmt w:val="decimal"/>
      <w:lvlText w:val="%1."/>
      <w:lvlJc w:val="left"/>
      <w:pPr>
        <w:ind w:left="1080" w:hanging="720"/>
      </w:pPr>
      <w:rPr>
        <w:rFonts w:hint="default"/>
        <w:color w:val="6A2875"/>
      </w:rPr>
    </w:lvl>
    <w:lvl w:ilvl="1">
      <w:start w:val="1"/>
      <w:numFmt w:val="decimal"/>
      <w:pStyle w:val="Pull-out-Heading3"/>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1" w15:restartNumberingAfterBreak="0">
    <w:nsid w:val="39D15277"/>
    <w:multiLevelType w:val="hybridMultilevel"/>
    <w:tmpl w:val="677A436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2" w15:restartNumberingAfterBreak="0">
    <w:nsid w:val="39D31DC4"/>
    <w:multiLevelType w:val="hybridMultilevel"/>
    <w:tmpl w:val="21B0E6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3CF11B2F"/>
    <w:multiLevelType w:val="hybridMultilevel"/>
    <w:tmpl w:val="38380F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3D356298"/>
    <w:multiLevelType w:val="hybridMultilevel"/>
    <w:tmpl w:val="0E6A690A"/>
    <w:lvl w:ilvl="0" w:tplc="0C090001">
      <w:start w:val="1"/>
      <w:numFmt w:val="decimal"/>
      <w:pStyle w:val="steps"/>
      <w:lvlText w:val="%1."/>
      <w:lvlJc w:val="left"/>
      <w:pPr>
        <w:ind w:left="1669" w:hanging="360"/>
      </w:pPr>
      <w:rPr>
        <w:rFonts w:hint="default"/>
        <w:b/>
        <w:i w:val="0"/>
        <w:sz w:val="24"/>
      </w:rPr>
    </w:lvl>
    <w:lvl w:ilvl="1" w:tplc="0C090003">
      <w:start w:val="1"/>
      <w:numFmt w:val="lowerLetter"/>
      <w:lvlText w:val="%2."/>
      <w:lvlJc w:val="left"/>
      <w:pPr>
        <w:ind w:left="2389" w:hanging="360"/>
      </w:pPr>
    </w:lvl>
    <w:lvl w:ilvl="2" w:tplc="0C090005" w:tentative="1">
      <w:start w:val="1"/>
      <w:numFmt w:val="lowerRoman"/>
      <w:lvlText w:val="%3."/>
      <w:lvlJc w:val="right"/>
      <w:pPr>
        <w:ind w:left="3109" w:hanging="180"/>
      </w:pPr>
    </w:lvl>
    <w:lvl w:ilvl="3" w:tplc="0C090001" w:tentative="1">
      <w:start w:val="1"/>
      <w:numFmt w:val="decimal"/>
      <w:lvlText w:val="%4."/>
      <w:lvlJc w:val="left"/>
      <w:pPr>
        <w:ind w:left="3829" w:hanging="360"/>
      </w:pPr>
    </w:lvl>
    <w:lvl w:ilvl="4" w:tplc="0C090003" w:tentative="1">
      <w:start w:val="1"/>
      <w:numFmt w:val="lowerLetter"/>
      <w:lvlText w:val="%5."/>
      <w:lvlJc w:val="left"/>
      <w:pPr>
        <w:ind w:left="4549" w:hanging="360"/>
      </w:pPr>
    </w:lvl>
    <w:lvl w:ilvl="5" w:tplc="0C090005" w:tentative="1">
      <w:start w:val="1"/>
      <w:numFmt w:val="lowerRoman"/>
      <w:lvlText w:val="%6."/>
      <w:lvlJc w:val="right"/>
      <w:pPr>
        <w:ind w:left="5269" w:hanging="180"/>
      </w:pPr>
    </w:lvl>
    <w:lvl w:ilvl="6" w:tplc="0C090001" w:tentative="1">
      <w:start w:val="1"/>
      <w:numFmt w:val="decimal"/>
      <w:lvlText w:val="%7."/>
      <w:lvlJc w:val="left"/>
      <w:pPr>
        <w:ind w:left="5989" w:hanging="360"/>
      </w:pPr>
    </w:lvl>
    <w:lvl w:ilvl="7" w:tplc="0C090003" w:tentative="1">
      <w:start w:val="1"/>
      <w:numFmt w:val="lowerLetter"/>
      <w:lvlText w:val="%8."/>
      <w:lvlJc w:val="left"/>
      <w:pPr>
        <w:ind w:left="6709" w:hanging="360"/>
      </w:pPr>
    </w:lvl>
    <w:lvl w:ilvl="8" w:tplc="0C090005" w:tentative="1">
      <w:start w:val="1"/>
      <w:numFmt w:val="lowerRoman"/>
      <w:lvlText w:val="%9."/>
      <w:lvlJc w:val="right"/>
      <w:pPr>
        <w:ind w:left="7429" w:hanging="180"/>
      </w:pPr>
    </w:lvl>
  </w:abstractNum>
  <w:abstractNum w:abstractNumId="55" w15:restartNumberingAfterBreak="0">
    <w:nsid w:val="3DD5455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3E1D211B"/>
    <w:multiLevelType w:val="multilevel"/>
    <w:tmpl w:val="67B28B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3BA7E0"/>
    <w:multiLevelType w:val="hybridMultilevel"/>
    <w:tmpl w:val="FFFFFFFF"/>
    <w:lvl w:ilvl="0" w:tplc="B9929D68">
      <w:start w:val="1"/>
      <w:numFmt w:val="bullet"/>
      <w:lvlText w:val=""/>
      <w:lvlJc w:val="left"/>
      <w:pPr>
        <w:ind w:left="720" w:hanging="360"/>
      </w:pPr>
      <w:rPr>
        <w:rFonts w:ascii="Symbol" w:hAnsi="Symbol" w:hint="default"/>
      </w:rPr>
    </w:lvl>
    <w:lvl w:ilvl="1" w:tplc="4FB0A2F2">
      <w:start w:val="1"/>
      <w:numFmt w:val="bullet"/>
      <w:lvlText w:val="o"/>
      <w:lvlJc w:val="left"/>
      <w:pPr>
        <w:ind w:left="1440" w:hanging="360"/>
      </w:pPr>
      <w:rPr>
        <w:rFonts w:ascii="Courier New" w:hAnsi="Courier New" w:hint="default"/>
      </w:rPr>
    </w:lvl>
    <w:lvl w:ilvl="2" w:tplc="9A96FA84">
      <w:start w:val="1"/>
      <w:numFmt w:val="bullet"/>
      <w:lvlText w:val=""/>
      <w:lvlJc w:val="left"/>
      <w:pPr>
        <w:ind w:left="2160" w:hanging="360"/>
      </w:pPr>
      <w:rPr>
        <w:rFonts w:ascii="Wingdings" w:hAnsi="Wingdings" w:hint="default"/>
      </w:rPr>
    </w:lvl>
    <w:lvl w:ilvl="3" w:tplc="53F2E78E">
      <w:start w:val="1"/>
      <w:numFmt w:val="bullet"/>
      <w:lvlText w:val=""/>
      <w:lvlJc w:val="left"/>
      <w:pPr>
        <w:ind w:left="2880" w:hanging="360"/>
      </w:pPr>
      <w:rPr>
        <w:rFonts w:ascii="Symbol" w:hAnsi="Symbol" w:hint="default"/>
      </w:rPr>
    </w:lvl>
    <w:lvl w:ilvl="4" w:tplc="DD8CD7BA">
      <w:start w:val="1"/>
      <w:numFmt w:val="bullet"/>
      <w:lvlText w:val="o"/>
      <w:lvlJc w:val="left"/>
      <w:pPr>
        <w:ind w:left="3600" w:hanging="360"/>
      </w:pPr>
      <w:rPr>
        <w:rFonts w:ascii="Courier New" w:hAnsi="Courier New" w:hint="default"/>
      </w:rPr>
    </w:lvl>
    <w:lvl w:ilvl="5" w:tplc="78D4C0B2">
      <w:start w:val="1"/>
      <w:numFmt w:val="bullet"/>
      <w:lvlText w:val=""/>
      <w:lvlJc w:val="left"/>
      <w:pPr>
        <w:ind w:left="4320" w:hanging="360"/>
      </w:pPr>
      <w:rPr>
        <w:rFonts w:ascii="Wingdings" w:hAnsi="Wingdings" w:hint="default"/>
      </w:rPr>
    </w:lvl>
    <w:lvl w:ilvl="6" w:tplc="DFC087BA">
      <w:start w:val="1"/>
      <w:numFmt w:val="bullet"/>
      <w:lvlText w:val=""/>
      <w:lvlJc w:val="left"/>
      <w:pPr>
        <w:ind w:left="5040" w:hanging="360"/>
      </w:pPr>
      <w:rPr>
        <w:rFonts w:ascii="Symbol" w:hAnsi="Symbol" w:hint="default"/>
      </w:rPr>
    </w:lvl>
    <w:lvl w:ilvl="7" w:tplc="706685F8">
      <w:start w:val="1"/>
      <w:numFmt w:val="bullet"/>
      <w:lvlText w:val="o"/>
      <w:lvlJc w:val="left"/>
      <w:pPr>
        <w:ind w:left="5760" w:hanging="360"/>
      </w:pPr>
      <w:rPr>
        <w:rFonts w:ascii="Courier New" w:hAnsi="Courier New" w:hint="default"/>
      </w:rPr>
    </w:lvl>
    <w:lvl w:ilvl="8" w:tplc="07B61CD4">
      <w:start w:val="1"/>
      <w:numFmt w:val="bullet"/>
      <w:lvlText w:val=""/>
      <w:lvlJc w:val="left"/>
      <w:pPr>
        <w:ind w:left="6480" w:hanging="360"/>
      </w:pPr>
      <w:rPr>
        <w:rFonts w:ascii="Wingdings" w:hAnsi="Wingdings" w:hint="default"/>
      </w:rPr>
    </w:lvl>
  </w:abstractNum>
  <w:abstractNum w:abstractNumId="58" w15:restartNumberingAfterBreak="0">
    <w:nsid w:val="3ED001DF"/>
    <w:multiLevelType w:val="hybridMultilevel"/>
    <w:tmpl w:val="F23690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41AB038C"/>
    <w:multiLevelType w:val="hybridMultilevel"/>
    <w:tmpl w:val="A30C9444"/>
    <w:lvl w:ilvl="0" w:tplc="0C090001">
      <w:start w:val="1"/>
      <w:numFmt w:val="decimal"/>
      <w:pStyle w:val="Steps0"/>
      <w:lvlText w:val="%1."/>
      <w:lvlJc w:val="left"/>
      <w:pPr>
        <w:ind w:left="720" w:hanging="360"/>
      </w:pPr>
      <w:rPr>
        <w:rFonts w:hint="default"/>
        <w:b/>
        <w:i w:val="0"/>
        <w:sz w:val="24"/>
      </w:rPr>
    </w:lvl>
    <w:lvl w:ilvl="1" w:tplc="0C090003"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60" w15:restartNumberingAfterBreak="0">
    <w:nsid w:val="41D266C1"/>
    <w:multiLevelType w:val="multilevel"/>
    <w:tmpl w:val="A2925D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1FB6C2F"/>
    <w:multiLevelType w:val="hybridMultilevel"/>
    <w:tmpl w:val="3D4E25DA"/>
    <w:lvl w:ilvl="0" w:tplc="7D5E02FE">
      <w:start w:val="1"/>
      <w:numFmt w:val="decimal"/>
      <w:lvlText w:val="%1."/>
      <w:lvlJc w:val="left"/>
      <w:pPr>
        <w:ind w:left="720" w:hanging="360"/>
      </w:pPr>
    </w:lvl>
    <w:lvl w:ilvl="1" w:tplc="197293DE">
      <w:start w:val="1"/>
      <w:numFmt w:val="decimal"/>
      <w:lvlText w:val="%2."/>
      <w:lvlJc w:val="left"/>
      <w:pPr>
        <w:ind w:left="720" w:hanging="360"/>
      </w:pPr>
    </w:lvl>
    <w:lvl w:ilvl="2" w:tplc="4A5C34F0">
      <w:start w:val="1"/>
      <w:numFmt w:val="decimal"/>
      <w:lvlText w:val="%3."/>
      <w:lvlJc w:val="left"/>
      <w:pPr>
        <w:ind w:left="720" w:hanging="360"/>
      </w:pPr>
    </w:lvl>
    <w:lvl w:ilvl="3" w:tplc="2BDE4E86">
      <w:start w:val="1"/>
      <w:numFmt w:val="decimal"/>
      <w:lvlText w:val="%4."/>
      <w:lvlJc w:val="left"/>
      <w:pPr>
        <w:ind w:left="720" w:hanging="360"/>
      </w:pPr>
    </w:lvl>
    <w:lvl w:ilvl="4" w:tplc="E1306CB2">
      <w:start w:val="1"/>
      <w:numFmt w:val="decimal"/>
      <w:lvlText w:val="%5."/>
      <w:lvlJc w:val="left"/>
      <w:pPr>
        <w:ind w:left="720" w:hanging="360"/>
      </w:pPr>
    </w:lvl>
    <w:lvl w:ilvl="5" w:tplc="629A043E">
      <w:start w:val="1"/>
      <w:numFmt w:val="decimal"/>
      <w:lvlText w:val="%6."/>
      <w:lvlJc w:val="left"/>
      <w:pPr>
        <w:ind w:left="720" w:hanging="360"/>
      </w:pPr>
    </w:lvl>
    <w:lvl w:ilvl="6" w:tplc="20723280">
      <w:start w:val="1"/>
      <w:numFmt w:val="decimal"/>
      <w:lvlText w:val="%7."/>
      <w:lvlJc w:val="left"/>
      <w:pPr>
        <w:ind w:left="720" w:hanging="360"/>
      </w:pPr>
    </w:lvl>
    <w:lvl w:ilvl="7" w:tplc="E774DE2E">
      <w:start w:val="1"/>
      <w:numFmt w:val="decimal"/>
      <w:lvlText w:val="%8."/>
      <w:lvlJc w:val="left"/>
      <w:pPr>
        <w:ind w:left="720" w:hanging="360"/>
      </w:pPr>
    </w:lvl>
    <w:lvl w:ilvl="8" w:tplc="2FDA09C2">
      <w:start w:val="1"/>
      <w:numFmt w:val="decimal"/>
      <w:lvlText w:val="%9."/>
      <w:lvlJc w:val="left"/>
      <w:pPr>
        <w:ind w:left="720" w:hanging="360"/>
      </w:pPr>
    </w:lvl>
  </w:abstractNum>
  <w:abstractNum w:abstractNumId="62" w15:restartNumberingAfterBreak="0">
    <w:nsid w:val="43DD487C"/>
    <w:multiLevelType w:val="hybridMultilevel"/>
    <w:tmpl w:val="06404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45411104"/>
    <w:multiLevelType w:val="hybridMultilevel"/>
    <w:tmpl w:val="E37CC4FA"/>
    <w:lvl w:ilvl="0" w:tplc="ECF4EB5C">
      <w:numFmt w:val="bullet"/>
      <w:lvlText w:val="•"/>
      <w:lvlJc w:val="left"/>
      <w:pPr>
        <w:ind w:left="360" w:hanging="360"/>
      </w:pPr>
      <w:rPr>
        <w:rFonts w:ascii="Arial" w:eastAsia="FSMePro"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4" w15:restartNumberingAfterBreak="0">
    <w:nsid w:val="4574271A"/>
    <w:multiLevelType w:val="multilevel"/>
    <w:tmpl w:val="A648C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65B6266"/>
    <w:multiLevelType w:val="hybridMultilevel"/>
    <w:tmpl w:val="4D7ABC9A"/>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66" w15:restartNumberingAfterBreak="0">
    <w:nsid w:val="46F01D55"/>
    <w:multiLevelType w:val="hybridMultilevel"/>
    <w:tmpl w:val="F07A0C7A"/>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67" w15:restartNumberingAfterBreak="0">
    <w:nsid w:val="4A46192A"/>
    <w:multiLevelType w:val="multilevel"/>
    <w:tmpl w:val="925C4E08"/>
    <w:lvl w:ilvl="0">
      <w:start w:val="1"/>
      <w:numFmt w:val="bullet"/>
      <w:pStyle w:val="Bullet2"/>
      <w:lvlText w:val=""/>
      <w:lvlJc w:val="left"/>
      <w:pPr>
        <w:ind w:left="1072" w:hanging="358"/>
      </w:pPr>
      <w:rPr>
        <w:rFonts w:ascii="Symbol" w:hAnsi="Symbol" w:hint="default"/>
      </w:rPr>
    </w:lvl>
    <w:lvl w:ilvl="1">
      <w:start w:val="1"/>
      <w:numFmt w:val="bullet"/>
      <w:lvlText w:val=""/>
      <w:lvlJc w:val="left"/>
      <w:pPr>
        <w:ind w:left="1429" w:hanging="358"/>
      </w:pPr>
      <w:rPr>
        <w:rFonts w:ascii="Wingdings" w:hAnsi="Wingdings" w:hint="default"/>
      </w:rPr>
    </w:lvl>
    <w:lvl w:ilvl="2">
      <w:start w:val="1"/>
      <w:numFmt w:val="bullet"/>
      <w:lvlText w:val=""/>
      <w:lvlJc w:val="left"/>
      <w:pPr>
        <w:ind w:left="1786" w:hanging="358"/>
      </w:pPr>
      <w:rPr>
        <w:rFonts w:ascii="Symbol" w:hAnsi="Symbol" w:hint="default"/>
      </w:rPr>
    </w:lvl>
    <w:lvl w:ilvl="3">
      <w:start w:val="1"/>
      <w:numFmt w:val="bullet"/>
      <w:lvlText w:val=""/>
      <w:lvlJc w:val="left"/>
      <w:pPr>
        <w:ind w:left="2143" w:hanging="358"/>
      </w:pPr>
      <w:rPr>
        <w:rFonts w:ascii="Symbol" w:hAnsi="Symbol" w:hint="default"/>
      </w:rPr>
    </w:lvl>
    <w:lvl w:ilvl="4">
      <w:start w:val="1"/>
      <w:numFmt w:val="bullet"/>
      <w:lvlText w:val="o"/>
      <w:lvlJc w:val="left"/>
      <w:pPr>
        <w:ind w:left="2500" w:hanging="358"/>
      </w:pPr>
      <w:rPr>
        <w:rFonts w:ascii="Courier New" w:hAnsi="Courier New" w:cs="Courier New" w:hint="default"/>
      </w:rPr>
    </w:lvl>
    <w:lvl w:ilvl="5">
      <w:start w:val="1"/>
      <w:numFmt w:val="bullet"/>
      <w:lvlText w:val=""/>
      <w:lvlJc w:val="left"/>
      <w:pPr>
        <w:ind w:left="2857" w:hanging="358"/>
      </w:pPr>
      <w:rPr>
        <w:rFonts w:ascii="Wingdings" w:hAnsi="Wingdings" w:hint="default"/>
      </w:rPr>
    </w:lvl>
    <w:lvl w:ilvl="6">
      <w:start w:val="1"/>
      <w:numFmt w:val="bullet"/>
      <w:lvlText w:val=""/>
      <w:lvlJc w:val="left"/>
      <w:pPr>
        <w:ind w:left="3214" w:hanging="358"/>
      </w:pPr>
      <w:rPr>
        <w:rFonts w:ascii="Symbol" w:hAnsi="Symbol" w:hint="default"/>
      </w:rPr>
    </w:lvl>
    <w:lvl w:ilvl="7">
      <w:start w:val="1"/>
      <w:numFmt w:val="bullet"/>
      <w:lvlText w:val="o"/>
      <w:lvlJc w:val="left"/>
      <w:pPr>
        <w:ind w:left="3571" w:hanging="358"/>
      </w:pPr>
      <w:rPr>
        <w:rFonts w:ascii="Courier New" w:hAnsi="Courier New" w:cs="Courier New" w:hint="default"/>
      </w:rPr>
    </w:lvl>
    <w:lvl w:ilvl="8">
      <w:start w:val="1"/>
      <w:numFmt w:val="bullet"/>
      <w:lvlText w:val=""/>
      <w:lvlJc w:val="left"/>
      <w:pPr>
        <w:ind w:left="3928" w:hanging="358"/>
      </w:pPr>
      <w:rPr>
        <w:rFonts w:ascii="Wingdings" w:hAnsi="Wingdings" w:hint="default"/>
      </w:rPr>
    </w:lvl>
  </w:abstractNum>
  <w:abstractNum w:abstractNumId="68" w15:restartNumberingAfterBreak="0">
    <w:nsid w:val="4CAB0A5E"/>
    <w:multiLevelType w:val="multilevel"/>
    <w:tmpl w:val="B1E4E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D447042"/>
    <w:multiLevelType w:val="hybridMultilevel"/>
    <w:tmpl w:val="C180CB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4E043831"/>
    <w:multiLevelType w:val="hybridMultilevel"/>
    <w:tmpl w:val="CDDCFC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508C4BD0"/>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15:restartNumberingAfterBreak="0">
    <w:nsid w:val="50AE5FB5"/>
    <w:multiLevelType w:val="hybridMultilevel"/>
    <w:tmpl w:val="E1621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50E52F94"/>
    <w:multiLevelType w:val="hybridMultilevel"/>
    <w:tmpl w:val="187CA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51A443A0"/>
    <w:multiLevelType w:val="hybridMultilevel"/>
    <w:tmpl w:val="256AA2EC"/>
    <w:lvl w:ilvl="0" w:tplc="C08AF484">
      <w:start w:val="3"/>
      <w:numFmt w:val="bullet"/>
      <w:lvlText w:val="-"/>
      <w:lvlJc w:val="left"/>
      <w:pPr>
        <w:ind w:left="405" w:hanging="360"/>
      </w:pPr>
      <w:rPr>
        <w:rFonts w:ascii="Arial" w:eastAsiaTheme="minorHAnsi" w:hAnsi="Arial" w:cs="Arial"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75" w15:restartNumberingAfterBreak="0">
    <w:nsid w:val="51E16788"/>
    <w:multiLevelType w:val="multilevel"/>
    <w:tmpl w:val="2AE88A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3134884"/>
    <w:multiLevelType w:val="multilevel"/>
    <w:tmpl w:val="37A8BB22"/>
    <w:lvl w:ilvl="0">
      <w:start w:val="1"/>
      <w:numFmt w:val="decimal"/>
      <w:pStyle w:val="SectionHeading"/>
      <w:suff w:val="space"/>
      <w:lvlText w:val="%1."/>
      <w:lvlJc w:val="left"/>
      <w:pPr>
        <w:ind w:left="360" w:hanging="360"/>
      </w:pPr>
      <w:rPr>
        <w:rFonts w:hint="default"/>
        <w:b w:val="0"/>
        <w:bCs w:val="0"/>
        <w:i w:val="0"/>
        <w:iCs w:val="0"/>
        <w:caps w:val="0"/>
        <w:smallCaps w:val="0"/>
        <w:strike w:val="0"/>
        <w:dstrike w:val="0"/>
        <w:noProof w:val="0"/>
        <w:vanish w:val="0"/>
        <w:color w:val="F9F9F9" w:themeColor="background1"/>
        <w:spacing w:val="0"/>
        <w:kern w:val="0"/>
        <w:position w:val="0"/>
        <w:u w:val="none"/>
        <w:effect w:val="none"/>
        <w:vertAlign w:val="baseline"/>
        <w:em w:val="none"/>
        <w:specVanish w:val="0"/>
      </w:rPr>
    </w:lvl>
    <w:lvl w:ilvl="1">
      <w:start w:val="1"/>
      <w:numFmt w:val="decimal"/>
      <w:lvlText w:val="%1.1."/>
      <w:lvlJc w:val="left"/>
      <w:pPr>
        <w:ind w:left="792" w:hanging="432"/>
      </w:pPr>
      <w:rPr>
        <w:b w:val="0"/>
        <w:bCs w:val="0"/>
        <w:i w:val="0"/>
        <w:iCs w:val="0"/>
        <w:caps w:val="0"/>
        <w:smallCaps w:val="0"/>
        <w:strike w:val="0"/>
        <w:dstrike w:val="0"/>
        <w:noProof w:val="0"/>
        <w:vanish w:val="0"/>
        <w:color w:val="F9F9F9" w:themeColor="background1"/>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53AB1B68"/>
    <w:multiLevelType w:val="hybridMultilevel"/>
    <w:tmpl w:val="392825F0"/>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8" w15:restartNumberingAfterBreak="0">
    <w:nsid w:val="53BC1006"/>
    <w:multiLevelType w:val="multilevel"/>
    <w:tmpl w:val="E2E884EE"/>
    <w:lvl w:ilvl="0">
      <w:start w:val="1"/>
      <w:numFmt w:val="decimal"/>
      <w:pStyle w:val="CEOBrief-Heading1"/>
      <w:lvlText w:val="%1."/>
      <w:lvlJc w:val="left"/>
      <w:pPr>
        <w:ind w:left="360" w:hanging="360"/>
      </w:pPr>
    </w:lvl>
    <w:lvl w:ilvl="1">
      <w:start w:val="1"/>
      <w:numFmt w:val="decimal"/>
      <w:pStyle w:val="CEOBrief-Paragraph1"/>
      <w:lvlText w:val="%1.%2."/>
      <w:lvlJc w:val="left"/>
      <w:pPr>
        <w:ind w:left="432" w:hanging="432"/>
      </w:pPr>
      <w:rPr>
        <w:b w:val="0"/>
        <w:bCs/>
      </w:rPr>
    </w:lvl>
    <w:lvl w:ilvl="2">
      <w:start w:val="1"/>
      <w:numFmt w:val="decimal"/>
      <w:pStyle w:val="CEOBrief-Paragraph2"/>
      <w:lvlText w:val="%1.%2.%3."/>
      <w:lvlJc w:val="left"/>
      <w:pPr>
        <w:ind w:left="646" w:hanging="504"/>
      </w:pPr>
      <w:rPr>
        <w:rFonts w:ascii="Arial" w:hAnsi="Arial" w:cs="Arial" w:hint="default"/>
        <w:b w:val="0"/>
        <w:i w:val="0"/>
        <w:sz w:val="22"/>
        <w:szCs w:val="22"/>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53DB32DC"/>
    <w:multiLevelType w:val="multilevel"/>
    <w:tmpl w:val="1ACEBE62"/>
    <w:lvl w:ilvl="0">
      <w:start w:val="1"/>
      <w:numFmt w:val="bullet"/>
      <w:pStyle w:val="Bullet1"/>
      <w:lvlText w:val=""/>
      <w:lvlJc w:val="left"/>
      <w:pPr>
        <w:ind w:left="3476" w:hanging="357"/>
      </w:pPr>
      <w:rPr>
        <w:rFonts w:ascii="Symbol" w:hAnsi="Symbol" w:hint="default"/>
      </w:rPr>
    </w:lvl>
    <w:lvl w:ilvl="1">
      <w:start w:val="1"/>
      <w:numFmt w:val="bullet"/>
      <w:lvlText w:val=""/>
      <w:lvlJc w:val="left"/>
      <w:pPr>
        <w:ind w:left="1071" w:hanging="357"/>
      </w:pPr>
      <w:rPr>
        <w:rFonts w:ascii="Symbol" w:hAnsi="Symbol" w:hint="default"/>
      </w:rPr>
    </w:lvl>
    <w:lvl w:ilvl="2">
      <w:start w:val="1"/>
      <w:numFmt w:val="bullet"/>
      <w:lvlText w:val=""/>
      <w:lvlJc w:val="left"/>
      <w:pPr>
        <w:ind w:left="1428" w:hanging="357"/>
      </w:pPr>
      <w:rPr>
        <w:rFonts w:ascii="Wingdings" w:hAnsi="Wingdings" w:hint="default"/>
      </w:rPr>
    </w:lvl>
    <w:lvl w:ilvl="3">
      <w:start w:val="1"/>
      <w:numFmt w:val="bullet"/>
      <w:lvlText w:val=""/>
      <w:lvlJc w:val="left"/>
      <w:pPr>
        <w:ind w:left="1785" w:hanging="357"/>
      </w:pPr>
      <w:rPr>
        <w:rFonts w:ascii="Symbol" w:hAnsi="Symbol" w:hint="default"/>
      </w:rPr>
    </w:lvl>
    <w:lvl w:ilvl="4">
      <w:start w:val="1"/>
      <w:numFmt w:val="bullet"/>
      <w:lvlText w:val="o"/>
      <w:lvlJc w:val="left"/>
      <w:pPr>
        <w:ind w:left="2142" w:hanging="357"/>
      </w:pPr>
      <w:rPr>
        <w:rFonts w:ascii="Courier New" w:hAnsi="Courier New" w:cs="Courier New" w:hint="default"/>
      </w:rPr>
    </w:lvl>
    <w:lvl w:ilvl="5">
      <w:start w:val="1"/>
      <w:numFmt w:val="bullet"/>
      <w:lvlText w:val=""/>
      <w:lvlJc w:val="left"/>
      <w:pPr>
        <w:ind w:left="2499" w:hanging="357"/>
      </w:pPr>
      <w:rPr>
        <w:rFonts w:ascii="Wingdings" w:hAnsi="Wingdings" w:hint="default"/>
      </w:rPr>
    </w:lvl>
    <w:lvl w:ilvl="6">
      <w:start w:val="1"/>
      <w:numFmt w:val="bullet"/>
      <w:lvlText w:val=""/>
      <w:lvlJc w:val="left"/>
      <w:pPr>
        <w:ind w:left="2856" w:hanging="357"/>
      </w:pPr>
      <w:rPr>
        <w:rFonts w:ascii="Symbol" w:hAnsi="Symbol" w:hint="default"/>
      </w:rPr>
    </w:lvl>
    <w:lvl w:ilvl="7">
      <w:start w:val="1"/>
      <w:numFmt w:val="bullet"/>
      <w:lvlText w:val="o"/>
      <w:lvlJc w:val="left"/>
      <w:pPr>
        <w:ind w:left="3213" w:hanging="357"/>
      </w:pPr>
      <w:rPr>
        <w:rFonts w:ascii="Courier New" w:hAnsi="Courier New" w:cs="Courier New" w:hint="default"/>
      </w:rPr>
    </w:lvl>
    <w:lvl w:ilvl="8">
      <w:start w:val="1"/>
      <w:numFmt w:val="bullet"/>
      <w:lvlText w:val=""/>
      <w:lvlJc w:val="left"/>
      <w:pPr>
        <w:ind w:left="3570" w:hanging="357"/>
      </w:pPr>
      <w:rPr>
        <w:rFonts w:ascii="Wingdings" w:hAnsi="Wingdings" w:hint="default"/>
      </w:rPr>
    </w:lvl>
  </w:abstractNum>
  <w:abstractNum w:abstractNumId="80" w15:restartNumberingAfterBreak="0">
    <w:nsid w:val="57A7194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1" w15:restartNumberingAfterBreak="0">
    <w:nsid w:val="585F6A5F"/>
    <w:multiLevelType w:val="multilevel"/>
    <w:tmpl w:val="4A2C09A0"/>
    <w:styleLink w:val="CurrentList11"/>
    <w:lvl w:ilvl="0">
      <w:start w:val="1"/>
      <w:numFmt w:val="decimal"/>
      <w:lvlText w:val="Note %1: "/>
      <w:lvlJc w:val="left"/>
      <w:pPr>
        <w:tabs>
          <w:tab w:val="num" w:pos="992"/>
        </w:tabs>
        <w:ind w:left="992" w:hanging="99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upperLetter"/>
      <w:lvlText w:val="Note %1%2: "/>
      <w:lvlJc w:val="left"/>
      <w:pPr>
        <w:tabs>
          <w:tab w:val="num" w:pos="1532"/>
        </w:tabs>
        <w:ind w:left="1532" w:hanging="992"/>
      </w:pPr>
      <w:rPr>
        <w:rFonts w:ascii="Times New Roman" w:hAnsi="Times New Roman" w:cs="Times New Roman" w:hint="default"/>
        <w:b/>
        <w:i w:val="0"/>
        <w:color w:val="auto"/>
        <w:sz w:val="20"/>
        <w:szCs w:val="20"/>
        <w:u w:val="none"/>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2" w15:restartNumberingAfterBreak="0">
    <w:nsid w:val="59303FDA"/>
    <w:multiLevelType w:val="hybridMultilevel"/>
    <w:tmpl w:val="17A696FC"/>
    <w:lvl w:ilvl="0" w:tplc="1ABC0546">
      <w:numFmt w:val="bullet"/>
      <w:pStyle w:val="Fiancialbullet"/>
      <w:lvlText w:val="-"/>
      <w:lvlJc w:val="left"/>
      <w:pPr>
        <w:ind w:left="360" w:hanging="360"/>
      </w:pPr>
      <w:rPr>
        <w:rFonts w:ascii="Arial Bold" w:hAnsi="Arial Bold" w:hint="default"/>
        <w:b/>
        <w:i w:val="0"/>
        <w:sz w:val="18"/>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3" w15:restartNumberingAfterBreak="0">
    <w:nsid w:val="5AEF3B73"/>
    <w:multiLevelType w:val="multilevel"/>
    <w:tmpl w:val="CF765F3A"/>
    <w:styleLink w:val="Bulletlist"/>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Arial" w:hAnsi="Arial" w:hint="default"/>
      </w:rPr>
    </w:lvl>
    <w:lvl w:ilvl="2">
      <w:start w:val="1"/>
      <w:numFmt w:val="bullet"/>
      <w:lvlText w:val=""/>
      <w:lvlJc w:val="left"/>
      <w:pPr>
        <w:ind w:left="-339" w:hanging="360"/>
      </w:pPr>
      <w:rPr>
        <w:rFonts w:ascii="Wingdings" w:hAnsi="Wingdings" w:hint="default"/>
      </w:rPr>
    </w:lvl>
    <w:lvl w:ilvl="3">
      <w:start w:val="1"/>
      <w:numFmt w:val="bullet"/>
      <w:lvlText w:val=""/>
      <w:lvlJc w:val="left"/>
      <w:pPr>
        <w:ind w:left="381" w:hanging="360"/>
      </w:pPr>
      <w:rPr>
        <w:rFonts w:ascii="Symbol" w:hAnsi="Symbol" w:hint="default"/>
      </w:rPr>
    </w:lvl>
    <w:lvl w:ilvl="4">
      <w:start w:val="1"/>
      <w:numFmt w:val="bullet"/>
      <w:lvlText w:val="o"/>
      <w:lvlJc w:val="left"/>
      <w:pPr>
        <w:ind w:left="1101" w:hanging="360"/>
      </w:pPr>
      <w:rPr>
        <w:rFonts w:ascii="Courier New" w:hAnsi="Courier New" w:cs="Courier New" w:hint="default"/>
      </w:rPr>
    </w:lvl>
    <w:lvl w:ilvl="5">
      <w:start w:val="1"/>
      <w:numFmt w:val="bullet"/>
      <w:lvlText w:val=""/>
      <w:lvlJc w:val="left"/>
      <w:pPr>
        <w:ind w:left="1821" w:hanging="360"/>
      </w:pPr>
      <w:rPr>
        <w:rFonts w:ascii="Wingdings" w:hAnsi="Wingdings" w:hint="default"/>
      </w:rPr>
    </w:lvl>
    <w:lvl w:ilvl="6">
      <w:start w:val="1"/>
      <w:numFmt w:val="bullet"/>
      <w:lvlText w:val=""/>
      <w:lvlJc w:val="left"/>
      <w:pPr>
        <w:ind w:left="2541" w:hanging="360"/>
      </w:pPr>
      <w:rPr>
        <w:rFonts w:ascii="Symbol" w:hAnsi="Symbol" w:hint="default"/>
      </w:rPr>
    </w:lvl>
    <w:lvl w:ilvl="7">
      <w:start w:val="1"/>
      <w:numFmt w:val="bullet"/>
      <w:lvlText w:val="o"/>
      <w:lvlJc w:val="left"/>
      <w:pPr>
        <w:ind w:left="3261" w:hanging="360"/>
      </w:pPr>
      <w:rPr>
        <w:rFonts w:ascii="Courier New" w:hAnsi="Courier New" w:cs="Courier New" w:hint="default"/>
      </w:rPr>
    </w:lvl>
    <w:lvl w:ilvl="8">
      <w:start w:val="1"/>
      <w:numFmt w:val="bullet"/>
      <w:lvlText w:val=""/>
      <w:lvlJc w:val="left"/>
      <w:pPr>
        <w:ind w:left="3981" w:hanging="360"/>
      </w:pPr>
      <w:rPr>
        <w:rFonts w:ascii="Wingdings" w:hAnsi="Wingdings" w:hint="default"/>
      </w:rPr>
    </w:lvl>
  </w:abstractNum>
  <w:abstractNum w:abstractNumId="84" w15:restartNumberingAfterBreak="0">
    <w:nsid w:val="5C769500"/>
    <w:multiLevelType w:val="hybridMultilevel"/>
    <w:tmpl w:val="FFFFFFFF"/>
    <w:lvl w:ilvl="0" w:tplc="323EBF82">
      <w:start w:val="1"/>
      <w:numFmt w:val="bullet"/>
      <w:lvlText w:val=""/>
      <w:lvlJc w:val="left"/>
      <w:pPr>
        <w:ind w:left="720" w:hanging="360"/>
      </w:pPr>
      <w:rPr>
        <w:rFonts w:ascii="Symbol" w:hAnsi="Symbol" w:hint="default"/>
      </w:rPr>
    </w:lvl>
    <w:lvl w:ilvl="1" w:tplc="98687B42">
      <w:start w:val="1"/>
      <w:numFmt w:val="bullet"/>
      <w:lvlText w:val="o"/>
      <w:lvlJc w:val="left"/>
      <w:pPr>
        <w:ind w:left="1440" w:hanging="360"/>
      </w:pPr>
      <w:rPr>
        <w:rFonts w:ascii="Courier New" w:hAnsi="Courier New" w:hint="default"/>
      </w:rPr>
    </w:lvl>
    <w:lvl w:ilvl="2" w:tplc="329CD648">
      <w:start w:val="1"/>
      <w:numFmt w:val="bullet"/>
      <w:lvlText w:val=""/>
      <w:lvlJc w:val="left"/>
      <w:pPr>
        <w:ind w:left="2160" w:hanging="360"/>
      </w:pPr>
      <w:rPr>
        <w:rFonts w:ascii="Wingdings" w:hAnsi="Wingdings" w:hint="default"/>
      </w:rPr>
    </w:lvl>
    <w:lvl w:ilvl="3" w:tplc="1EDC4F72">
      <w:start w:val="1"/>
      <w:numFmt w:val="bullet"/>
      <w:lvlText w:val=""/>
      <w:lvlJc w:val="left"/>
      <w:pPr>
        <w:ind w:left="2880" w:hanging="360"/>
      </w:pPr>
      <w:rPr>
        <w:rFonts w:ascii="Symbol" w:hAnsi="Symbol" w:hint="default"/>
      </w:rPr>
    </w:lvl>
    <w:lvl w:ilvl="4" w:tplc="48E6FD7A">
      <w:start w:val="1"/>
      <w:numFmt w:val="bullet"/>
      <w:lvlText w:val="o"/>
      <w:lvlJc w:val="left"/>
      <w:pPr>
        <w:ind w:left="3600" w:hanging="360"/>
      </w:pPr>
      <w:rPr>
        <w:rFonts w:ascii="Courier New" w:hAnsi="Courier New" w:hint="default"/>
      </w:rPr>
    </w:lvl>
    <w:lvl w:ilvl="5" w:tplc="E54661DA">
      <w:start w:val="1"/>
      <w:numFmt w:val="bullet"/>
      <w:lvlText w:val=""/>
      <w:lvlJc w:val="left"/>
      <w:pPr>
        <w:ind w:left="4320" w:hanging="360"/>
      </w:pPr>
      <w:rPr>
        <w:rFonts w:ascii="Wingdings" w:hAnsi="Wingdings" w:hint="default"/>
      </w:rPr>
    </w:lvl>
    <w:lvl w:ilvl="6" w:tplc="4D1A573C">
      <w:start w:val="1"/>
      <w:numFmt w:val="bullet"/>
      <w:lvlText w:val=""/>
      <w:lvlJc w:val="left"/>
      <w:pPr>
        <w:ind w:left="5040" w:hanging="360"/>
      </w:pPr>
      <w:rPr>
        <w:rFonts w:ascii="Symbol" w:hAnsi="Symbol" w:hint="default"/>
      </w:rPr>
    </w:lvl>
    <w:lvl w:ilvl="7" w:tplc="2904E3B2">
      <w:start w:val="1"/>
      <w:numFmt w:val="bullet"/>
      <w:lvlText w:val="o"/>
      <w:lvlJc w:val="left"/>
      <w:pPr>
        <w:ind w:left="5760" w:hanging="360"/>
      </w:pPr>
      <w:rPr>
        <w:rFonts w:ascii="Courier New" w:hAnsi="Courier New" w:hint="default"/>
      </w:rPr>
    </w:lvl>
    <w:lvl w:ilvl="8" w:tplc="C8B8D770">
      <w:start w:val="1"/>
      <w:numFmt w:val="bullet"/>
      <w:lvlText w:val=""/>
      <w:lvlJc w:val="left"/>
      <w:pPr>
        <w:ind w:left="6480" w:hanging="360"/>
      </w:pPr>
      <w:rPr>
        <w:rFonts w:ascii="Wingdings" w:hAnsi="Wingdings" w:hint="default"/>
      </w:rPr>
    </w:lvl>
  </w:abstractNum>
  <w:abstractNum w:abstractNumId="85" w15:restartNumberingAfterBreak="0">
    <w:nsid w:val="5DFB2E66"/>
    <w:multiLevelType w:val="hybridMultilevel"/>
    <w:tmpl w:val="71124E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6" w15:restartNumberingAfterBreak="0">
    <w:nsid w:val="67F97B26"/>
    <w:multiLevelType w:val="hybridMultilevel"/>
    <w:tmpl w:val="5F3E2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691B6CE6"/>
    <w:multiLevelType w:val="hybridMultilevel"/>
    <w:tmpl w:val="3AF642BC"/>
    <w:lvl w:ilvl="0" w:tplc="97E0E17C">
      <w:start w:val="1"/>
      <w:numFmt w:val="bullet"/>
      <w:pStyle w:val="Pull-out-Bullet"/>
      <w:lvlText w:val=""/>
      <w:lvlJc w:val="left"/>
      <w:pPr>
        <w:ind w:left="2629" w:hanging="360"/>
      </w:pPr>
      <w:rPr>
        <w:rFonts w:ascii="Symbol" w:hAnsi="Symbol" w:hint="default"/>
      </w:rPr>
    </w:lvl>
    <w:lvl w:ilvl="1" w:tplc="0C090003" w:tentative="1">
      <w:start w:val="1"/>
      <w:numFmt w:val="bullet"/>
      <w:lvlText w:val="o"/>
      <w:lvlJc w:val="left"/>
      <w:pPr>
        <w:ind w:left="3349" w:hanging="360"/>
      </w:pPr>
      <w:rPr>
        <w:rFonts w:ascii="Courier New" w:hAnsi="Courier New" w:cs="Courier New" w:hint="default"/>
      </w:rPr>
    </w:lvl>
    <w:lvl w:ilvl="2" w:tplc="0C090005" w:tentative="1">
      <w:start w:val="1"/>
      <w:numFmt w:val="bullet"/>
      <w:lvlText w:val=""/>
      <w:lvlJc w:val="left"/>
      <w:pPr>
        <w:ind w:left="4069" w:hanging="360"/>
      </w:pPr>
      <w:rPr>
        <w:rFonts w:ascii="Wingdings" w:hAnsi="Wingdings" w:hint="default"/>
      </w:rPr>
    </w:lvl>
    <w:lvl w:ilvl="3" w:tplc="0C090001" w:tentative="1">
      <w:start w:val="1"/>
      <w:numFmt w:val="bullet"/>
      <w:lvlText w:val=""/>
      <w:lvlJc w:val="left"/>
      <w:pPr>
        <w:ind w:left="4789" w:hanging="360"/>
      </w:pPr>
      <w:rPr>
        <w:rFonts w:ascii="Symbol" w:hAnsi="Symbol" w:hint="default"/>
      </w:rPr>
    </w:lvl>
    <w:lvl w:ilvl="4" w:tplc="0C090003" w:tentative="1">
      <w:start w:val="1"/>
      <w:numFmt w:val="bullet"/>
      <w:lvlText w:val="o"/>
      <w:lvlJc w:val="left"/>
      <w:pPr>
        <w:ind w:left="5509" w:hanging="360"/>
      </w:pPr>
      <w:rPr>
        <w:rFonts w:ascii="Courier New" w:hAnsi="Courier New" w:cs="Courier New" w:hint="default"/>
      </w:rPr>
    </w:lvl>
    <w:lvl w:ilvl="5" w:tplc="0C090005" w:tentative="1">
      <w:start w:val="1"/>
      <w:numFmt w:val="bullet"/>
      <w:lvlText w:val=""/>
      <w:lvlJc w:val="left"/>
      <w:pPr>
        <w:ind w:left="6229" w:hanging="360"/>
      </w:pPr>
      <w:rPr>
        <w:rFonts w:ascii="Wingdings" w:hAnsi="Wingdings" w:hint="default"/>
      </w:rPr>
    </w:lvl>
    <w:lvl w:ilvl="6" w:tplc="0C090001" w:tentative="1">
      <w:start w:val="1"/>
      <w:numFmt w:val="bullet"/>
      <w:lvlText w:val=""/>
      <w:lvlJc w:val="left"/>
      <w:pPr>
        <w:ind w:left="6949" w:hanging="360"/>
      </w:pPr>
      <w:rPr>
        <w:rFonts w:ascii="Symbol" w:hAnsi="Symbol" w:hint="default"/>
      </w:rPr>
    </w:lvl>
    <w:lvl w:ilvl="7" w:tplc="0C090003" w:tentative="1">
      <w:start w:val="1"/>
      <w:numFmt w:val="bullet"/>
      <w:lvlText w:val="o"/>
      <w:lvlJc w:val="left"/>
      <w:pPr>
        <w:ind w:left="7669" w:hanging="360"/>
      </w:pPr>
      <w:rPr>
        <w:rFonts w:ascii="Courier New" w:hAnsi="Courier New" w:cs="Courier New" w:hint="default"/>
      </w:rPr>
    </w:lvl>
    <w:lvl w:ilvl="8" w:tplc="0C090005" w:tentative="1">
      <w:start w:val="1"/>
      <w:numFmt w:val="bullet"/>
      <w:lvlText w:val=""/>
      <w:lvlJc w:val="left"/>
      <w:pPr>
        <w:ind w:left="8389" w:hanging="360"/>
      </w:pPr>
      <w:rPr>
        <w:rFonts w:ascii="Wingdings" w:hAnsi="Wingdings" w:hint="default"/>
      </w:rPr>
    </w:lvl>
  </w:abstractNum>
  <w:abstractNum w:abstractNumId="88" w15:restartNumberingAfterBreak="0">
    <w:nsid w:val="6A01767D"/>
    <w:multiLevelType w:val="multilevel"/>
    <w:tmpl w:val="74427506"/>
    <w:lvl w:ilvl="0">
      <w:start w:val="1"/>
      <w:numFmt w:val="decimal"/>
      <w:lvlText w:val="%1"/>
      <w:lvlJc w:val="left"/>
      <w:pPr>
        <w:ind w:left="360" w:hanging="360"/>
      </w:pPr>
      <w:rPr>
        <w:rFonts w:hint="default"/>
      </w:rPr>
    </w:lvl>
    <w:lvl w:ilvl="1">
      <w:start w:val="1"/>
      <w:numFmt w:val="decimal"/>
      <w:pStyle w:val="StyleNotesHeaderLeftLeft-008cm"/>
      <w:lvlText w:val="%1.%2"/>
      <w:lvlJc w:val="left"/>
      <w:pPr>
        <w:ind w:left="360" w:hanging="360"/>
      </w:pPr>
      <w:rPr>
        <w:rFonts w:hint="default"/>
        <w:sz w:val="18"/>
        <w:szCs w:val="18"/>
      </w:rPr>
    </w:lvl>
    <w:lvl w:ilvl="2">
      <w:start w:val="1"/>
      <w:numFmt w:val="decimal"/>
      <w:lvlText w:val="%1.%2.%3"/>
      <w:lvlJc w:val="left"/>
      <w:pPr>
        <w:ind w:left="630" w:hanging="720"/>
      </w:pPr>
      <w:rPr>
        <w:rFonts w:hint="default"/>
      </w:rPr>
    </w:lvl>
    <w:lvl w:ilvl="3">
      <w:start w:val="1"/>
      <w:numFmt w:val="decimal"/>
      <w:lvlText w:val="%1.%2.%3.%4"/>
      <w:lvlJc w:val="left"/>
      <w:pPr>
        <w:ind w:left="585" w:hanging="720"/>
      </w:pPr>
      <w:rPr>
        <w:rFonts w:hint="default"/>
      </w:rPr>
    </w:lvl>
    <w:lvl w:ilvl="4">
      <w:start w:val="1"/>
      <w:numFmt w:val="decimal"/>
      <w:lvlText w:val="%1.%2.%3.%4.%5"/>
      <w:lvlJc w:val="left"/>
      <w:pPr>
        <w:ind w:left="540" w:hanging="720"/>
      </w:pPr>
      <w:rPr>
        <w:rFonts w:hint="default"/>
      </w:rPr>
    </w:lvl>
    <w:lvl w:ilvl="5">
      <w:start w:val="1"/>
      <w:numFmt w:val="decimal"/>
      <w:lvlText w:val="%1.%2.%3.%4.%5.%6"/>
      <w:lvlJc w:val="left"/>
      <w:pPr>
        <w:ind w:left="855" w:hanging="1080"/>
      </w:pPr>
      <w:rPr>
        <w:rFonts w:hint="default"/>
      </w:rPr>
    </w:lvl>
    <w:lvl w:ilvl="6">
      <w:start w:val="1"/>
      <w:numFmt w:val="decimal"/>
      <w:lvlText w:val="%1.%2.%3.%4.%5.%6.%7"/>
      <w:lvlJc w:val="left"/>
      <w:pPr>
        <w:ind w:left="810" w:hanging="1080"/>
      </w:pPr>
      <w:rPr>
        <w:rFonts w:hint="default"/>
      </w:rPr>
    </w:lvl>
    <w:lvl w:ilvl="7">
      <w:start w:val="1"/>
      <w:numFmt w:val="decimal"/>
      <w:lvlText w:val="%1.%2.%3.%4.%5.%6.%7.%8"/>
      <w:lvlJc w:val="left"/>
      <w:pPr>
        <w:ind w:left="1125" w:hanging="1440"/>
      </w:pPr>
      <w:rPr>
        <w:rFonts w:hint="default"/>
      </w:rPr>
    </w:lvl>
    <w:lvl w:ilvl="8">
      <w:start w:val="1"/>
      <w:numFmt w:val="decimal"/>
      <w:lvlText w:val="%1.%2.%3.%4.%5.%6.%7.%8.%9"/>
      <w:lvlJc w:val="left"/>
      <w:pPr>
        <w:ind w:left="1080" w:hanging="1440"/>
      </w:pPr>
      <w:rPr>
        <w:rFonts w:hint="default"/>
      </w:rPr>
    </w:lvl>
  </w:abstractNum>
  <w:abstractNum w:abstractNumId="89" w15:restartNumberingAfterBreak="0">
    <w:nsid w:val="6A1870A5"/>
    <w:multiLevelType w:val="hybridMultilevel"/>
    <w:tmpl w:val="73B67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6B6D0B9D"/>
    <w:multiLevelType w:val="hybridMultilevel"/>
    <w:tmpl w:val="93C45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6E23035D"/>
    <w:multiLevelType w:val="multilevel"/>
    <w:tmpl w:val="B1E4E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E323B51"/>
    <w:multiLevelType w:val="multilevel"/>
    <w:tmpl w:val="B332FD0A"/>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3" w15:restartNumberingAfterBreak="0">
    <w:nsid w:val="6E503226"/>
    <w:multiLevelType w:val="hybridMultilevel"/>
    <w:tmpl w:val="31B2FC1C"/>
    <w:lvl w:ilvl="0" w:tplc="FFFFFFFF">
      <w:start w:val="1"/>
      <w:numFmt w:val="bullet"/>
      <w:lvlText w:val=""/>
      <w:lvlJc w:val="left"/>
      <w:pPr>
        <w:ind w:left="-705" w:hanging="360"/>
      </w:pPr>
      <w:rPr>
        <w:rFonts w:ascii="Symbol" w:hAnsi="Symbol" w:hint="default"/>
      </w:rPr>
    </w:lvl>
    <w:lvl w:ilvl="1" w:tplc="FFFFFFFF">
      <w:start w:val="1"/>
      <w:numFmt w:val="bullet"/>
      <w:lvlText w:val="o"/>
      <w:lvlJc w:val="left"/>
      <w:pPr>
        <w:ind w:left="15" w:hanging="360"/>
      </w:pPr>
      <w:rPr>
        <w:rFonts w:ascii="Courier New" w:hAnsi="Courier New" w:cs="Courier New" w:hint="default"/>
      </w:rPr>
    </w:lvl>
    <w:lvl w:ilvl="2" w:tplc="0C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1455" w:hanging="360"/>
      </w:pPr>
      <w:rPr>
        <w:rFonts w:ascii="Symbol" w:hAnsi="Symbol" w:hint="default"/>
      </w:rPr>
    </w:lvl>
    <w:lvl w:ilvl="4" w:tplc="FFFFFFFF" w:tentative="1">
      <w:start w:val="1"/>
      <w:numFmt w:val="bullet"/>
      <w:lvlText w:val="o"/>
      <w:lvlJc w:val="left"/>
      <w:pPr>
        <w:ind w:left="2175" w:hanging="360"/>
      </w:pPr>
      <w:rPr>
        <w:rFonts w:ascii="Courier New" w:hAnsi="Courier New" w:cs="Courier New" w:hint="default"/>
      </w:rPr>
    </w:lvl>
    <w:lvl w:ilvl="5" w:tplc="FFFFFFFF" w:tentative="1">
      <w:start w:val="1"/>
      <w:numFmt w:val="bullet"/>
      <w:lvlText w:val=""/>
      <w:lvlJc w:val="left"/>
      <w:pPr>
        <w:ind w:left="2895" w:hanging="360"/>
      </w:pPr>
      <w:rPr>
        <w:rFonts w:ascii="Wingdings" w:hAnsi="Wingdings" w:hint="default"/>
      </w:rPr>
    </w:lvl>
    <w:lvl w:ilvl="6" w:tplc="FFFFFFFF" w:tentative="1">
      <w:start w:val="1"/>
      <w:numFmt w:val="bullet"/>
      <w:lvlText w:val=""/>
      <w:lvlJc w:val="left"/>
      <w:pPr>
        <w:ind w:left="3615" w:hanging="360"/>
      </w:pPr>
      <w:rPr>
        <w:rFonts w:ascii="Symbol" w:hAnsi="Symbol" w:hint="default"/>
      </w:rPr>
    </w:lvl>
    <w:lvl w:ilvl="7" w:tplc="FFFFFFFF" w:tentative="1">
      <w:start w:val="1"/>
      <w:numFmt w:val="bullet"/>
      <w:lvlText w:val="o"/>
      <w:lvlJc w:val="left"/>
      <w:pPr>
        <w:ind w:left="4335" w:hanging="360"/>
      </w:pPr>
      <w:rPr>
        <w:rFonts w:ascii="Courier New" w:hAnsi="Courier New" w:cs="Courier New" w:hint="default"/>
      </w:rPr>
    </w:lvl>
    <w:lvl w:ilvl="8" w:tplc="FFFFFFFF" w:tentative="1">
      <w:start w:val="1"/>
      <w:numFmt w:val="bullet"/>
      <w:lvlText w:val=""/>
      <w:lvlJc w:val="left"/>
      <w:pPr>
        <w:ind w:left="5055" w:hanging="360"/>
      </w:pPr>
      <w:rPr>
        <w:rFonts w:ascii="Wingdings" w:hAnsi="Wingdings" w:hint="default"/>
      </w:rPr>
    </w:lvl>
  </w:abstractNum>
  <w:abstractNum w:abstractNumId="94" w15:restartNumberingAfterBreak="0">
    <w:nsid w:val="707B7B4B"/>
    <w:multiLevelType w:val="hybridMultilevel"/>
    <w:tmpl w:val="FFFFFFFF"/>
    <w:lvl w:ilvl="0" w:tplc="771866E2">
      <w:start w:val="1"/>
      <w:numFmt w:val="bullet"/>
      <w:lvlText w:val=""/>
      <w:lvlJc w:val="left"/>
      <w:pPr>
        <w:ind w:left="720" w:hanging="360"/>
      </w:pPr>
      <w:rPr>
        <w:rFonts w:ascii="Symbol" w:hAnsi="Symbol" w:hint="default"/>
      </w:rPr>
    </w:lvl>
    <w:lvl w:ilvl="1" w:tplc="498C0640">
      <w:start w:val="1"/>
      <w:numFmt w:val="bullet"/>
      <w:lvlText w:val="o"/>
      <w:lvlJc w:val="left"/>
      <w:pPr>
        <w:ind w:left="1440" w:hanging="360"/>
      </w:pPr>
      <w:rPr>
        <w:rFonts w:ascii="Courier New" w:hAnsi="Courier New" w:hint="default"/>
      </w:rPr>
    </w:lvl>
    <w:lvl w:ilvl="2" w:tplc="0A42D6D2">
      <w:start w:val="1"/>
      <w:numFmt w:val="bullet"/>
      <w:lvlText w:val=""/>
      <w:lvlJc w:val="left"/>
      <w:pPr>
        <w:ind w:left="2160" w:hanging="360"/>
      </w:pPr>
      <w:rPr>
        <w:rFonts w:ascii="Wingdings" w:hAnsi="Wingdings" w:hint="default"/>
      </w:rPr>
    </w:lvl>
    <w:lvl w:ilvl="3" w:tplc="BDDEA34E">
      <w:start w:val="1"/>
      <w:numFmt w:val="bullet"/>
      <w:lvlText w:val=""/>
      <w:lvlJc w:val="left"/>
      <w:pPr>
        <w:ind w:left="2880" w:hanging="360"/>
      </w:pPr>
      <w:rPr>
        <w:rFonts w:ascii="Symbol" w:hAnsi="Symbol" w:hint="default"/>
      </w:rPr>
    </w:lvl>
    <w:lvl w:ilvl="4" w:tplc="98825DD6">
      <w:start w:val="1"/>
      <w:numFmt w:val="bullet"/>
      <w:lvlText w:val="o"/>
      <w:lvlJc w:val="left"/>
      <w:pPr>
        <w:ind w:left="3600" w:hanging="360"/>
      </w:pPr>
      <w:rPr>
        <w:rFonts w:ascii="Courier New" w:hAnsi="Courier New" w:hint="default"/>
      </w:rPr>
    </w:lvl>
    <w:lvl w:ilvl="5" w:tplc="5E88FE7C">
      <w:start w:val="1"/>
      <w:numFmt w:val="bullet"/>
      <w:lvlText w:val=""/>
      <w:lvlJc w:val="left"/>
      <w:pPr>
        <w:ind w:left="4320" w:hanging="360"/>
      </w:pPr>
      <w:rPr>
        <w:rFonts w:ascii="Wingdings" w:hAnsi="Wingdings" w:hint="default"/>
      </w:rPr>
    </w:lvl>
    <w:lvl w:ilvl="6" w:tplc="6F68631C">
      <w:start w:val="1"/>
      <w:numFmt w:val="bullet"/>
      <w:lvlText w:val=""/>
      <w:lvlJc w:val="left"/>
      <w:pPr>
        <w:ind w:left="5040" w:hanging="360"/>
      </w:pPr>
      <w:rPr>
        <w:rFonts w:ascii="Symbol" w:hAnsi="Symbol" w:hint="default"/>
      </w:rPr>
    </w:lvl>
    <w:lvl w:ilvl="7" w:tplc="B15CCB08">
      <w:start w:val="1"/>
      <w:numFmt w:val="bullet"/>
      <w:lvlText w:val="o"/>
      <w:lvlJc w:val="left"/>
      <w:pPr>
        <w:ind w:left="5760" w:hanging="360"/>
      </w:pPr>
      <w:rPr>
        <w:rFonts w:ascii="Courier New" w:hAnsi="Courier New" w:hint="default"/>
      </w:rPr>
    </w:lvl>
    <w:lvl w:ilvl="8" w:tplc="90464E56">
      <w:start w:val="1"/>
      <w:numFmt w:val="bullet"/>
      <w:lvlText w:val=""/>
      <w:lvlJc w:val="left"/>
      <w:pPr>
        <w:ind w:left="6480" w:hanging="360"/>
      </w:pPr>
      <w:rPr>
        <w:rFonts w:ascii="Wingdings" w:hAnsi="Wingdings" w:hint="default"/>
      </w:rPr>
    </w:lvl>
  </w:abstractNum>
  <w:abstractNum w:abstractNumId="95" w15:restartNumberingAfterBreak="0">
    <w:nsid w:val="72D06835"/>
    <w:multiLevelType w:val="hybridMultilevel"/>
    <w:tmpl w:val="23F86B6E"/>
    <w:lvl w:ilvl="0" w:tplc="CABC4B56">
      <w:start w:val="1"/>
      <w:numFmt w:val="decimal"/>
      <w:lvlText w:val="%1."/>
      <w:lvlJc w:val="left"/>
      <w:pPr>
        <w:ind w:left="1020" w:hanging="360"/>
      </w:pPr>
    </w:lvl>
    <w:lvl w:ilvl="1" w:tplc="80FE2114">
      <w:start w:val="1"/>
      <w:numFmt w:val="decimal"/>
      <w:lvlText w:val="%2."/>
      <w:lvlJc w:val="left"/>
      <w:pPr>
        <w:ind w:left="1020" w:hanging="360"/>
      </w:pPr>
    </w:lvl>
    <w:lvl w:ilvl="2" w:tplc="43268FD0">
      <w:start w:val="1"/>
      <w:numFmt w:val="decimal"/>
      <w:lvlText w:val="%3."/>
      <w:lvlJc w:val="left"/>
      <w:pPr>
        <w:ind w:left="1020" w:hanging="360"/>
      </w:pPr>
    </w:lvl>
    <w:lvl w:ilvl="3" w:tplc="A96CFE02">
      <w:start w:val="1"/>
      <w:numFmt w:val="decimal"/>
      <w:lvlText w:val="%4."/>
      <w:lvlJc w:val="left"/>
      <w:pPr>
        <w:ind w:left="1020" w:hanging="360"/>
      </w:pPr>
    </w:lvl>
    <w:lvl w:ilvl="4" w:tplc="45A8CFF0">
      <w:start w:val="1"/>
      <w:numFmt w:val="decimal"/>
      <w:lvlText w:val="%5."/>
      <w:lvlJc w:val="left"/>
      <w:pPr>
        <w:ind w:left="1020" w:hanging="360"/>
      </w:pPr>
    </w:lvl>
    <w:lvl w:ilvl="5" w:tplc="A1188422">
      <w:start w:val="1"/>
      <w:numFmt w:val="decimal"/>
      <w:lvlText w:val="%6."/>
      <w:lvlJc w:val="left"/>
      <w:pPr>
        <w:ind w:left="1020" w:hanging="360"/>
      </w:pPr>
    </w:lvl>
    <w:lvl w:ilvl="6" w:tplc="6FB4D874">
      <w:start w:val="1"/>
      <w:numFmt w:val="decimal"/>
      <w:lvlText w:val="%7."/>
      <w:lvlJc w:val="left"/>
      <w:pPr>
        <w:ind w:left="1020" w:hanging="360"/>
      </w:pPr>
    </w:lvl>
    <w:lvl w:ilvl="7" w:tplc="9D544D7C">
      <w:start w:val="1"/>
      <w:numFmt w:val="decimal"/>
      <w:lvlText w:val="%8."/>
      <w:lvlJc w:val="left"/>
      <w:pPr>
        <w:ind w:left="1020" w:hanging="360"/>
      </w:pPr>
    </w:lvl>
    <w:lvl w:ilvl="8" w:tplc="1414BC00">
      <w:start w:val="1"/>
      <w:numFmt w:val="decimal"/>
      <w:lvlText w:val="%9."/>
      <w:lvlJc w:val="left"/>
      <w:pPr>
        <w:ind w:left="1020" w:hanging="360"/>
      </w:pPr>
    </w:lvl>
  </w:abstractNum>
  <w:abstractNum w:abstractNumId="96" w15:restartNumberingAfterBreak="0">
    <w:nsid w:val="72E921FA"/>
    <w:multiLevelType w:val="multilevel"/>
    <w:tmpl w:val="D7FEEA16"/>
    <w:lvl w:ilvl="0">
      <w:start w:val="1"/>
      <w:numFmt w:val="decimal"/>
      <w:pStyle w:val="NotesHeading-Level1"/>
      <w:lvlText w:val="Note %1: "/>
      <w:lvlJc w:val="left"/>
      <w:pPr>
        <w:tabs>
          <w:tab w:val="num" w:pos="10491"/>
        </w:tabs>
        <w:ind w:left="10774" w:hanging="1134"/>
      </w:pPr>
      <w:rPr>
        <w:rFonts w:ascii="Arial Bold" w:hAnsi="Arial Bold" w:cs="Times New Roman" w:hint="default"/>
        <w:b/>
        <w:bCs w:val="0"/>
        <w:i w:val="0"/>
        <w:iCs w:val="0"/>
        <w:caps w:val="0"/>
        <w:smallCaps w:val="0"/>
        <w:strike w:val="0"/>
        <w:dstrike w:val="0"/>
        <w:noProof w:val="0"/>
        <w:vanish w:val="0"/>
        <w:color w:val="auto"/>
        <w:spacing w:val="0"/>
        <w:kern w:val="0"/>
        <w:position w:val="0"/>
        <w:sz w:val="20"/>
        <w:u w:val="none"/>
        <w:vertAlign w:val="baseline"/>
        <w:em w:val="none"/>
      </w:rPr>
    </w:lvl>
    <w:lvl w:ilvl="1">
      <w:start w:val="1"/>
      <w:numFmt w:val="upperLetter"/>
      <w:pStyle w:val="NotesHeading-Level2"/>
      <w:lvlText w:val="Note %1%2: "/>
      <w:lvlJc w:val="left"/>
      <w:pPr>
        <w:tabs>
          <w:tab w:val="num" w:pos="851"/>
        </w:tabs>
        <w:ind w:left="1532" w:hanging="1532"/>
      </w:pPr>
      <w:rPr>
        <w:rFonts w:ascii="Times New Roman" w:hAnsi="Times New Roman" w:cs="Times New Roman" w:hint="default"/>
        <w:b/>
        <w:i w:val="0"/>
        <w:color w:val="auto"/>
        <w:sz w:val="20"/>
        <w:szCs w:val="20"/>
        <w:u w:val="single"/>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7" w15:restartNumberingAfterBreak="0">
    <w:nsid w:val="737059D8"/>
    <w:multiLevelType w:val="hybridMultilevel"/>
    <w:tmpl w:val="13AE3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737D4927"/>
    <w:multiLevelType w:val="hybridMultilevel"/>
    <w:tmpl w:val="41E431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773D36A6"/>
    <w:multiLevelType w:val="hybridMultilevel"/>
    <w:tmpl w:val="5764F086"/>
    <w:lvl w:ilvl="0" w:tplc="30080FC4">
      <w:numFmt w:val="bullet"/>
      <w:lvlText w:val="-"/>
      <w:lvlJc w:val="left"/>
      <w:pPr>
        <w:ind w:left="413" w:hanging="360"/>
      </w:pPr>
      <w:rPr>
        <w:rFonts w:ascii="Times New Roman" w:eastAsia="Times New Roman" w:hAnsi="Times New Roman" w:cs="Times New Roman" w:hint="default"/>
      </w:rPr>
    </w:lvl>
    <w:lvl w:ilvl="1" w:tplc="0C090003" w:tentative="1">
      <w:start w:val="1"/>
      <w:numFmt w:val="bullet"/>
      <w:lvlText w:val="o"/>
      <w:lvlJc w:val="left"/>
      <w:pPr>
        <w:ind w:left="1133" w:hanging="360"/>
      </w:pPr>
      <w:rPr>
        <w:rFonts w:ascii="Courier New" w:hAnsi="Courier New" w:cs="Courier New" w:hint="default"/>
      </w:rPr>
    </w:lvl>
    <w:lvl w:ilvl="2" w:tplc="0C090005" w:tentative="1">
      <w:start w:val="1"/>
      <w:numFmt w:val="bullet"/>
      <w:lvlText w:val=""/>
      <w:lvlJc w:val="left"/>
      <w:pPr>
        <w:ind w:left="1853" w:hanging="360"/>
      </w:pPr>
      <w:rPr>
        <w:rFonts w:ascii="Wingdings" w:hAnsi="Wingdings" w:hint="default"/>
      </w:rPr>
    </w:lvl>
    <w:lvl w:ilvl="3" w:tplc="0C090001" w:tentative="1">
      <w:start w:val="1"/>
      <w:numFmt w:val="bullet"/>
      <w:lvlText w:val=""/>
      <w:lvlJc w:val="left"/>
      <w:pPr>
        <w:ind w:left="2573" w:hanging="360"/>
      </w:pPr>
      <w:rPr>
        <w:rFonts w:ascii="Symbol" w:hAnsi="Symbol" w:hint="default"/>
      </w:rPr>
    </w:lvl>
    <w:lvl w:ilvl="4" w:tplc="0C090003" w:tentative="1">
      <w:start w:val="1"/>
      <w:numFmt w:val="bullet"/>
      <w:lvlText w:val="o"/>
      <w:lvlJc w:val="left"/>
      <w:pPr>
        <w:ind w:left="3293" w:hanging="360"/>
      </w:pPr>
      <w:rPr>
        <w:rFonts w:ascii="Courier New" w:hAnsi="Courier New" w:cs="Courier New" w:hint="default"/>
      </w:rPr>
    </w:lvl>
    <w:lvl w:ilvl="5" w:tplc="0C090005" w:tentative="1">
      <w:start w:val="1"/>
      <w:numFmt w:val="bullet"/>
      <w:lvlText w:val=""/>
      <w:lvlJc w:val="left"/>
      <w:pPr>
        <w:ind w:left="4013" w:hanging="360"/>
      </w:pPr>
      <w:rPr>
        <w:rFonts w:ascii="Wingdings" w:hAnsi="Wingdings" w:hint="default"/>
      </w:rPr>
    </w:lvl>
    <w:lvl w:ilvl="6" w:tplc="0C090001" w:tentative="1">
      <w:start w:val="1"/>
      <w:numFmt w:val="bullet"/>
      <w:lvlText w:val=""/>
      <w:lvlJc w:val="left"/>
      <w:pPr>
        <w:ind w:left="4733" w:hanging="360"/>
      </w:pPr>
      <w:rPr>
        <w:rFonts w:ascii="Symbol" w:hAnsi="Symbol" w:hint="default"/>
      </w:rPr>
    </w:lvl>
    <w:lvl w:ilvl="7" w:tplc="0C090003" w:tentative="1">
      <w:start w:val="1"/>
      <w:numFmt w:val="bullet"/>
      <w:lvlText w:val="o"/>
      <w:lvlJc w:val="left"/>
      <w:pPr>
        <w:ind w:left="5453" w:hanging="360"/>
      </w:pPr>
      <w:rPr>
        <w:rFonts w:ascii="Courier New" w:hAnsi="Courier New" w:cs="Courier New" w:hint="default"/>
      </w:rPr>
    </w:lvl>
    <w:lvl w:ilvl="8" w:tplc="0C090005" w:tentative="1">
      <w:start w:val="1"/>
      <w:numFmt w:val="bullet"/>
      <w:lvlText w:val=""/>
      <w:lvlJc w:val="left"/>
      <w:pPr>
        <w:ind w:left="6173" w:hanging="360"/>
      </w:pPr>
      <w:rPr>
        <w:rFonts w:ascii="Wingdings" w:hAnsi="Wingdings" w:hint="default"/>
      </w:rPr>
    </w:lvl>
  </w:abstractNum>
  <w:abstractNum w:abstractNumId="100" w15:restartNumberingAfterBreak="0">
    <w:nsid w:val="797436E5"/>
    <w:multiLevelType w:val="hybridMultilevel"/>
    <w:tmpl w:val="57885CA4"/>
    <w:lvl w:ilvl="0" w:tplc="0C090001">
      <w:start w:val="1"/>
      <w:numFmt w:val="bullet"/>
      <w:lvlText w:val=""/>
      <w:lvlJc w:val="left"/>
      <w:pPr>
        <w:ind w:left="1074" w:hanging="360"/>
      </w:pPr>
      <w:rPr>
        <w:rFonts w:ascii="Symbol" w:hAnsi="Symbol" w:hint="default"/>
      </w:rPr>
    </w:lvl>
    <w:lvl w:ilvl="1" w:tplc="0C090003" w:tentative="1">
      <w:start w:val="1"/>
      <w:numFmt w:val="bullet"/>
      <w:lvlText w:val="o"/>
      <w:lvlJc w:val="left"/>
      <w:pPr>
        <w:ind w:left="1794" w:hanging="360"/>
      </w:pPr>
      <w:rPr>
        <w:rFonts w:ascii="Courier New" w:hAnsi="Courier New" w:cs="Courier New" w:hint="default"/>
      </w:rPr>
    </w:lvl>
    <w:lvl w:ilvl="2" w:tplc="0C090005" w:tentative="1">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101"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2" w15:restartNumberingAfterBreak="0">
    <w:nsid w:val="7D807CF7"/>
    <w:multiLevelType w:val="hybridMultilevel"/>
    <w:tmpl w:val="E2FC97AC"/>
    <w:lvl w:ilvl="0" w:tplc="0B72657E">
      <w:start w:val="1"/>
      <w:numFmt w:val="decimal"/>
      <w:lvlText w:val="%1."/>
      <w:lvlJc w:val="left"/>
      <w:pPr>
        <w:ind w:left="1020" w:hanging="360"/>
      </w:pPr>
    </w:lvl>
    <w:lvl w:ilvl="1" w:tplc="0A026AB2">
      <w:start w:val="1"/>
      <w:numFmt w:val="decimal"/>
      <w:lvlText w:val="%2."/>
      <w:lvlJc w:val="left"/>
      <w:pPr>
        <w:ind w:left="1020" w:hanging="360"/>
      </w:pPr>
    </w:lvl>
    <w:lvl w:ilvl="2" w:tplc="BE600A10">
      <w:start w:val="1"/>
      <w:numFmt w:val="decimal"/>
      <w:lvlText w:val="%3."/>
      <w:lvlJc w:val="left"/>
      <w:pPr>
        <w:ind w:left="1020" w:hanging="360"/>
      </w:pPr>
    </w:lvl>
    <w:lvl w:ilvl="3" w:tplc="6728CD10">
      <w:start w:val="1"/>
      <w:numFmt w:val="decimal"/>
      <w:lvlText w:val="%4."/>
      <w:lvlJc w:val="left"/>
      <w:pPr>
        <w:ind w:left="1020" w:hanging="360"/>
      </w:pPr>
    </w:lvl>
    <w:lvl w:ilvl="4" w:tplc="7988B796">
      <w:start w:val="1"/>
      <w:numFmt w:val="decimal"/>
      <w:lvlText w:val="%5."/>
      <w:lvlJc w:val="left"/>
      <w:pPr>
        <w:ind w:left="1020" w:hanging="360"/>
      </w:pPr>
    </w:lvl>
    <w:lvl w:ilvl="5" w:tplc="A280ABE6">
      <w:start w:val="1"/>
      <w:numFmt w:val="decimal"/>
      <w:lvlText w:val="%6."/>
      <w:lvlJc w:val="left"/>
      <w:pPr>
        <w:ind w:left="1020" w:hanging="360"/>
      </w:pPr>
    </w:lvl>
    <w:lvl w:ilvl="6" w:tplc="2CF66774">
      <w:start w:val="1"/>
      <w:numFmt w:val="decimal"/>
      <w:lvlText w:val="%7."/>
      <w:lvlJc w:val="left"/>
      <w:pPr>
        <w:ind w:left="1020" w:hanging="360"/>
      </w:pPr>
    </w:lvl>
    <w:lvl w:ilvl="7" w:tplc="3FCABBCE">
      <w:start w:val="1"/>
      <w:numFmt w:val="decimal"/>
      <w:lvlText w:val="%8."/>
      <w:lvlJc w:val="left"/>
      <w:pPr>
        <w:ind w:left="1020" w:hanging="360"/>
      </w:pPr>
    </w:lvl>
    <w:lvl w:ilvl="8" w:tplc="67A6DFD0">
      <w:start w:val="1"/>
      <w:numFmt w:val="decimal"/>
      <w:lvlText w:val="%9."/>
      <w:lvlJc w:val="left"/>
      <w:pPr>
        <w:ind w:left="1020" w:hanging="360"/>
      </w:pPr>
    </w:lvl>
  </w:abstractNum>
  <w:abstractNum w:abstractNumId="103" w15:restartNumberingAfterBreak="0">
    <w:nsid w:val="7E0318A8"/>
    <w:multiLevelType w:val="multilevel"/>
    <w:tmpl w:val="32124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07611780">
    <w:abstractNumId w:val="50"/>
  </w:num>
  <w:num w:numId="2" w16cid:durableId="862402279">
    <w:abstractNumId w:val="18"/>
  </w:num>
  <w:num w:numId="3" w16cid:durableId="1991639433">
    <w:abstractNumId w:val="27"/>
  </w:num>
  <w:num w:numId="4" w16cid:durableId="739518056">
    <w:abstractNumId w:val="101"/>
  </w:num>
  <w:num w:numId="5" w16cid:durableId="145901810">
    <w:abstractNumId w:val="41"/>
  </w:num>
  <w:num w:numId="6" w16cid:durableId="2084796931">
    <w:abstractNumId w:val="23"/>
  </w:num>
  <w:num w:numId="7" w16cid:durableId="154877118">
    <w:abstractNumId w:val="44"/>
  </w:num>
  <w:num w:numId="8" w16cid:durableId="623803465">
    <w:abstractNumId w:val="71"/>
  </w:num>
  <w:num w:numId="9" w16cid:durableId="1657562670">
    <w:abstractNumId w:val="55"/>
  </w:num>
  <w:num w:numId="10" w16cid:durableId="1040786866">
    <w:abstractNumId w:val="79"/>
  </w:num>
  <w:num w:numId="11" w16cid:durableId="561142459">
    <w:abstractNumId w:val="83"/>
  </w:num>
  <w:num w:numId="12" w16cid:durableId="1390423885">
    <w:abstractNumId w:val="67"/>
  </w:num>
  <w:num w:numId="13" w16cid:durableId="939872084">
    <w:abstractNumId w:val="98"/>
  </w:num>
  <w:num w:numId="14" w16cid:durableId="2079555021">
    <w:abstractNumId w:val="87"/>
  </w:num>
  <w:num w:numId="15" w16cid:durableId="1566835653">
    <w:abstractNumId w:val="3"/>
  </w:num>
  <w:num w:numId="16" w16cid:durableId="695426283">
    <w:abstractNumId w:val="2"/>
  </w:num>
  <w:num w:numId="17" w16cid:durableId="1813936263">
    <w:abstractNumId w:val="0"/>
  </w:num>
  <w:num w:numId="18" w16cid:durableId="1718506619">
    <w:abstractNumId w:val="1"/>
  </w:num>
  <w:num w:numId="19" w16cid:durableId="1453665806">
    <w:abstractNumId w:val="5"/>
  </w:num>
  <w:num w:numId="20" w16cid:durableId="988482682">
    <w:abstractNumId w:val="88"/>
  </w:num>
  <w:num w:numId="21" w16cid:durableId="16444603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43090406">
    <w:abstractNumId w:val="9"/>
  </w:num>
  <w:num w:numId="23" w16cid:durableId="228469413">
    <w:abstractNumId w:val="16"/>
  </w:num>
  <w:num w:numId="24" w16cid:durableId="1751122066">
    <w:abstractNumId w:val="5"/>
    <w:lvlOverride w:ilvl="0">
      <w:startOverride w:val="1"/>
    </w:lvlOverride>
  </w:num>
  <w:num w:numId="25" w16cid:durableId="836962138">
    <w:abstractNumId w:val="5"/>
    <w:lvlOverride w:ilvl="0">
      <w:startOverride w:val="1"/>
    </w:lvlOverride>
  </w:num>
  <w:num w:numId="26" w16cid:durableId="33311068">
    <w:abstractNumId w:val="11"/>
  </w:num>
  <w:num w:numId="27" w16cid:durableId="1622956776">
    <w:abstractNumId w:val="84"/>
  </w:num>
  <w:num w:numId="28" w16cid:durableId="1325742520">
    <w:abstractNumId w:val="33"/>
  </w:num>
  <w:num w:numId="29" w16cid:durableId="1003433240">
    <w:abstractNumId w:val="39"/>
  </w:num>
  <w:num w:numId="30" w16cid:durableId="502859714">
    <w:abstractNumId w:val="70"/>
  </w:num>
  <w:num w:numId="31" w16cid:durableId="307978614">
    <w:abstractNumId w:val="58"/>
  </w:num>
  <w:num w:numId="32" w16cid:durableId="1892645570">
    <w:abstractNumId w:val="45"/>
  </w:num>
  <w:num w:numId="33" w16cid:durableId="1999990320">
    <w:abstractNumId w:val="97"/>
  </w:num>
  <w:num w:numId="34" w16cid:durableId="1554776598">
    <w:abstractNumId w:val="49"/>
  </w:num>
  <w:num w:numId="35" w16cid:durableId="589241725">
    <w:abstractNumId w:val="100"/>
  </w:num>
  <w:num w:numId="36" w16cid:durableId="664943147">
    <w:abstractNumId w:val="91"/>
  </w:num>
  <w:num w:numId="37" w16cid:durableId="1694842215">
    <w:abstractNumId w:val="68"/>
  </w:num>
  <w:num w:numId="38" w16cid:durableId="674721519">
    <w:abstractNumId w:val="29"/>
  </w:num>
  <w:num w:numId="39" w16cid:durableId="1503935920">
    <w:abstractNumId w:val="92"/>
  </w:num>
  <w:num w:numId="40" w16cid:durableId="592739946">
    <w:abstractNumId w:val="94"/>
  </w:num>
  <w:num w:numId="41" w16cid:durableId="330184637">
    <w:abstractNumId w:val="80"/>
  </w:num>
  <w:num w:numId="42" w16cid:durableId="424613596">
    <w:abstractNumId w:val="46"/>
  </w:num>
  <w:num w:numId="43" w16cid:durableId="44136981">
    <w:abstractNumId w:val="57"/>
  </w:num>
  <w:num w:numId="44" w16cid:durableId="1794515824">
    <w:abstractNumId w:val="30"/>
  </w:num>
  <w:num w:numId="45" w16cid:durableId="390077965">
    <w:abstractNumId w:val="13"/>
  </w:num>
  <w:num w:numId="46" w16cid:durableId="2042044891">
    <w:abstractNumId w:val="17"/>
  </w:num>
  <w:num w:numId="47" w16cid:durableId="942374628">
    <w:abstractNumId w:val="63"/>
  </w:num>
  <w:num w:numId="48" w16cid:durableId="1206135070">
    <w:abstractNumId w:val="42"/>
  </w:num>
  <w:num w:numId="49" w16cid:durableId="486632011">
    <w:abstractNumId w:val="38"/>
  </w:num>
  <w:num w:numId="50" w16cid:durableId="390739016">
    <w:abstractNumId w:val="10"/>
  </w:num>
  <w:num w:numId="51" w16cid:durableId="1564291714">
    <w:abstractNumId w:val="103"/>
  </w:num>
  <w:num w:numId="52" w16cid:durableId="1389574959">
    <w:abstractNumId w:val="47"/>
  </w:num>
  <w:num w:numId="53" w16cid:durableId="2016371676">
    <w:abstractNumId w:val="48"/>
  </w:num>
  <w:num w:numId="54" w16cid:durableId="1011832998">
    <w:abstractNumId w:val="37"/>
  </w:num>
  <w:num w:numId="55" w16cid:durableId="967010431">
    <w:abstractNumId w:val="21"/>
  </w:num>
  <w:num w:numId="56" w16cid:durableId="143861838">
    <w:abstractNumId w:val="89"/>
  </w:num>
  <w:num w:numId="57" w16cid:durableId="292488882">
    <w:abstractNumId w:val="8"/>
  </w:num>
  <w:num w:numId="58" w16cid:durableId="1494449972">
    <w:abstractNumId w:val="62"/>
  </w:num>
  <w:num w:numId="59" w16cid:durableId="1423255703">
    <w:abstractNumId w:val="86"/>
  </w:num>
  <w:num w:numId="60" w16cid:durableId="1045256773">
    <w:abstractNumId w:val="6"/>
  </w:num>
  <w:num w:numId="61" w16cid:durableId="699742119">
    <w:abstractNumId w:val="52"/>
  </w:num>
  <w:num w:numId="62" w16cid:durableId="305858631">
    <w:abstractNumId w:val="53"/>
  </w:num>
  <w:num w:numId="63" w16cid:durableId="821583559">
    <w:abstractNumId w:val="66"/>
  </w:num>
  <w:num w:numId="64" w16cid:durableId="899055603">
    <w:abstractNumId w:val="72"/>
  </w:num>
  <w:num w:numId="65" w16cid:durableId="1051729341">
    <w:abstractNumId w:val="12"/>
  </w:num>
  <w:num w:numId="66" w16cid:durableId="1753120390">
    <w:abstractNumId w:val="28"/>
  </w:num>
  <w:num w:numId="67" w16cid:durableId="1972057281">
    <w:abstractNumId w:val="15"/>
  </w:num>
  <w:num w:numId="68" w16cid:durableId="7294594">
    <w:abstractNumId w:val="26"/>
  </w:num>
  <w:num w:numId="69" w16cid:durableId="1262448879">
    <w:abstractNumId w:val="69"/>
  </w:num>
  <w:num w:numId="70" w16cid:durableId="568229427">
    <w:abstractNumId w:val="73"/>
  </w:num>
  <w:num w:numId="71" w16cid:durableId="2095083151">
    <w:abstractNumId w:val="35"/>
  </w:num>
  <w:num w:numId="72" w16cid:durableId="1159997714">
    <w:abstractNumId w:val="34"/>
  </w:num>
  <w:num w:numId="73" w16cid:durableId="662928002">
    <w:abstractNumId w:val="93"/>
  </w:num>
  <w:num w:numId="74" w16cid:durableId="1708144436">
    <w:abstractNumId w:val="61"/>
  </w:num>
  <w:num w:numId="75" w16cid:durableId="2087072387">
    <w:abstractNumId w:val="96"/>
  </w:num>
  <w:num w:numId="76" w16cid:durableId="514270544">
    <w:abstractNumId w:val="81"/>
  </w:num>
  <w:num w:numId="77" w16cid:durableId="1321036747">
    <w:abstractNumId w:val="25"/>
  </w:num>
  <w:num w:numId="78" w16cid:durableId="1678922838">
    <w:abstractNumId w:val="4"/>
  </w:num>
  <w:num w:numId="79" w16cid:durableId="161436028">
    <w:abstractNumId w:val="76"/>
  </w:num>
  <w:num w:numId="80" w16cid:durableId="1883979336">
    <w:abstractNumId w:val="24"/>
  </w:num>
  <w:num w:numId="81" w16cid:durableId="915087237">
    <w:abstractNumId w:val="77"/>
  </w:num>
  <w:num w:numId="82" w16cid:durableId="2001274279">
    <w:abstractNumId w:val="43"/>
  </w:num>
  <w:num w:numId="83" w16cid:durableId="1679506494">
    <w:abstractNumId w:val="40"/>
  </w:num>
  <w:num w:numId="84" w16cid:durableId="91972508">
    <w:abstractNumId w:val="75"/>
  </w:num>
  <w:num w:numId="85" w16cid:durableId="102113399">
    <w:abstractNumId w:val="56"/>
  </w:num>
  <w:num w:numId="86" w16cid:durableId="205024636">
    <w:abstractNumId w:val="31"/>
  </w:num>
  <w:num w:numId="87" w16cid:durableId="17614139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916208270">
    <w:abstractNumId w:val="65"/>
  </w:num>
  <w:num w:numId="89" w16cid:durableId="901988754">
    <w:abstractNumId w:val="19"/>
  </w:num>
  <w:num w:numId="90" w16cid:durableId="1726561142">
    <w:abstractNumId w:val="7"/>
  </w:num>
  <w:num w:numId="91" w16cid:durableId="1522204774">
    <w:abstractNumId w:val="85"/>
  </w:num>
  <w:num w:numId="92" w16cid:durableId="318851281">
    <w:abstractNumId w:val="36"/>
  </w:num>
  <w:num w:numId="93" w16cid:durableId="973023275">
    <w:abstractNumId w:val="99"/>
  </w:num>
  <w:num w:numId="94" w16cid:durableId="189387979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71248727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900047536">
    <w:abstractNumId w:val="64"/>
  </w:num>
  <w:num w:numId="97" w16cid:durableId="1786850003">
    <w:abstractNumId w:val="95"/>
  </w:num>
  <w:num w:numId="98" w16cid:durableId="1881015465">
    <w:abstractNumId w:val="102"/>
  </w:num>
  <w:num w:numId="99" w16cid:durableId="1169784185">
    <w:abstractNumId w:val="74"/>
  </w:num>
  <w:num w:numId="100" w16cid:durableId="1108355766">
    <w:abstractNumId w:val="60"/>
  </w:num>
  <w:num w:numId="101" w16cid:durableId="16086217">
    <w:abstractNumId w:val="14"/>
  </w:num>
  <w:num w:numId="102" w16cid:durableId="1635139361">
    <w:abstractNumId w:val="54"/>
  </w:num>
  <w:num w:numId="103" w16cid:durableId="476603852">
    <w:abstractNumId w:val="59"/>
  </w:num>
  <w:num w:numId="104" w16cid:durableId="692924586">
    <w:abstractNumId w:val="32"/>
  </w:num>
  <w:num w:numId="105" w16cid:durableId="1489901287">
    <w:abstractNumId w:val="82"/>
  </w:num>
  <w:num w:numId="106" w16cid:durableId="2060476675">
    <w:abstractNumId w:val="90"/>
  </w:num>
  <w:num w:numId="107" w16cid:durableId="2124491879">
    <w:abstractNumId w:val="22"/>
  </w:num>
  <w:num w:numId="108" w16cid:durableId="225994547">
    <w:abstractNumId w:val="2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767"/>
    <w:rsid w:val="000002C3"/>
    <w:rsid w:val="000003AB"/>
    <w:rsid w:val="00000F42"/>
    <w:rsid w:val="00000F7B"/>
    <w:rsid w:val="000010C3"/>
    <w:rsid w:val="00001537"/>
    <w:rsid w:val="00001956"/>
    <w:rsid w:val="00001F13"/>
    <w:rsid w:val="0000218C"/>
    <w:rsid w:val="000021FA"/>
    <w:rsid w:val="00002C30"/>
    <w:rsid w:val="000031B3"/>
    <w:rsid w:val="00003204"/>
    <w:rsid w:val="000033AF"/>
    <w:rsid w:val="00003965"/>
    <w:rsid w:val="00004275"/>
    <w:rsid w:val="00004596"/>
    <w:rsid w:val="0000475B"/>
    <w:rsid w:val="00004A17"/>
    <w:rsid w:val="00004F7D"/>
    <w:rsid w:val="000068C3"/>
    <w:rsid w:val="00006BFE"/>
    <w:rsid w:val="00006F23"/>
    <w:rsid w:val="0000756F"/>
    <w:rsid w:val="00007B18"/>
    <w:rsid w:val="00007CFB"/>
    <w:rsid w:val="00007E9D"/>
    <w:rsid w:val="00010871"/>
    <w:rsid w:val="00010D6F"/>
    <w:rsid w:val="00011866"/>
    <w:rsid w:val="0001198D"/>
    <w:rsid w:val="0001272E"/>
    <w:rsid w:val="00012977"/>
    <w:rsid w:val="00012A50"/>
    <w:rsid w:val="00012D81"/>
    <w:rsid w:val="00012E26"/>
    <w:rsid w:val="00012E35"/>
    <w:rsid w:val="00013269"/>
    <w:rsid w:val="00013291"/>
    <w:rsid w:val="000137A6"/>
    <w:rsid w:val="000137DA"/>
    <w:rsid w:val="00014528"/>
    <w:rsid w:val="00014C66"/>
    <w:rsid w:val="000151B7"/>
    <w:rsid w:val="00015989"/>
    <w:rsid w:val="00015A85"/>
    <w:rsid w:val="00015C53"/>
    <w:rsid w:val="00016053"/>
    <w:rsid w:val="00016570"/>
    <w:rsid w:val="00016C0C"/>
    <w:rsid w:val="00016C63"/>
    <w:rsid w:val="00016E4A"/>
    <w:rsid w:val="00016F3D"/>
    <w:rsid w:val="00017072"/>
    <w:rsid w:val="000170BA"/>
    <w:rsid w:val="0001723F"/>
    <w:rsid w:val="00017AA7"/>
    <w:rsid w:val="00020434"/>
    <w:rsid w:val="00020525"/>
    <w:rsid w:val="00020CD4"/>
    <w:rsid w:val="000210D1"/>
    <w:rsid w:val="00021FF6"/>
    <w:rsid w:val="00022CAB"/>
    <w:rsid w:val="00023146"/>
    <w:rsid w:val="00023461"/>
    <w:rsid w:val="00023AA9"/>
    <w:rsid w:val="00023B01"/>
    <w:rsid w:val="00024822"/>
    <w:rsid w:val="00024901"/>
    <w:rsid w:val="000249F6"/>
    <w:rsid w:val="00024AFA"/>
    <w:rsid w:val="00025189"/>
    <w:rsid w:val="000252B4"/>
    <w:rsid w:val="000252E9"/>
    <w:rsid w:val="000253D1"/>
    <w:rsid w:val="00025405"/>
    <w:rsid w:val="000255B8"/>
    <w:rsid w:val="0002562D"/>
    <w:rsid w:val="00025EFA"/>
    <w:rsid w:val="00026210"/>
    <w:rsid w:val="00026C83"/>
    <w:rsid w:val="00026D19"/>
    <w:rsid w:val="00026EA0"/>
    <w:rsid w:val="00026F51"/>
    <w:rsid w:val="00027170"/>
    <w:rsid w:val="000275E6"/>
    <w:rsid w:val="00027AF6"/>
    <w:rsid w:val="00027B30"/>
    <w:rsid w:val="00027BBC"/>
    <w:rsid w:val="000300E3"/>
    <w:rsid w:val="00030290"/>
    <w:rsid w:val="000302A9"/>
    <w:rsid w:val="0003081C"/>
    <w:rsid w:val="00030844"/>
    <w:rsid w:val="00030976"/>
    <w:rsid w:val="00030FE2"/>
    <w:rsid w:val="00031480"/>
    <w:rsid w:val="00031691"/>
    <w:rsid w:val="0003169D"/>
    <w:rsid w:val="00031ADE"/>
    <w:rsid w:val="000327D0"/>
    <w:rsid w:val="00032827"/>
    <w:rsid w:val="00032B5E"/>
    <w:rsid w:val="00032FE8"/>
    <w:rsid w:val="00033F93"/>
    <w:rsid w:val="00033FD9"/>
    <w:rsid w:val="00034192"/>
    <w:rsid w:val="0003476D"/>
    <w:rsid w:val="00035017"/>
    <w:rsid w:val="000353B4"/>
    <w:rsid w:val="00035D93"/>
    <w:rsid w:val="00036707"/>
    <w:rsid w:val="00036AF3"/>
    <w:rsid w:val="000375BE"/>
    <w:rsid w:val="00037DC4"/>
    <w:rsid w:val="00037FAD"/>
    <w:rsid w:val="0004016D"/>
    <w:rsid w:val="0004028C"/>
    <w:rsid w:val="0004048B"/>
    <w:rsid w:val="000406B8"/>
    <w:rsid w:val="00041B2E"/>
    <w:rsid w:val="00041C42"/>
    <w:rsid w:val="00042833"/>
    <w:rsid w:val="00042C02"/>
    <w:rsid w:val="00042EF9"/>
    <w:rsid w:val="0004319C"/>
    <w:rsid w:val="000431EB"/>
    <w:rsid w:val="000436C6"/>
    <w:rsid w:val="00043C99"/>
    <w:rsid w:val="0004411D"/>
    <w:rsid w:val="0004427E"/>
    <w:rsid w:val="00044489"/>
    <w:rsid w:val="00044526"/>
    <w:rsid w:val="00044544"/>
    <w:rsid w:val="00044E61"/>
    <w:rsid w:val="000451EC"/>
    <w:rsid w:val="0004520E"/>
    <w:rsid w:val="00046153"/>
    <w:rsid w:val="0004660C"/>
    <w:rsid w:val="00046AF7"/>
    <w:rsid w:val="0004743F"/>
    <w:rsid w:val="00047903"/>
    <w:rsid w:val="00047CB8"/>
    <w:rsid w:val="00050A8D"/>
    <w:rsid w:val="00051236"/>
    <w:rsid w:val="0005159F"/>
    <w:rsid w:val="00051ED5"/>
    <w:rsid w:val="00053597"/>
    <w:rsid w:val="00053D4C"/>
    <w:rsid w:val="00053E5E"/>
    <w:rsid w:val="00053E6E"/>
    <w:rsid w:val="00053E8A"/>
    <w:rsid w:val="00054629"/>
    <w:rsid w:val="0005480A"/>
    <w:rsid w:val="00054C7D"/>
    <w:rsid w:val="00054CA7"/>
    <w:rsid w:val="00055360"/>
    <w:rsid w:val="00055511"/>
    <w:rsid w:val="00055A42"/>
    <w:rsid w:val="000562F4"/>
    <w:rsid w:val="000564F1"/>
    <w:rsid w:val="000570E6"/>
    <w:rsid w:val="000579B0"/>
    <w:rsid w:val="00060883"/>
    <w:rsid w:val="00060F29"/>
    <w:rsid w:val="00061172"/>
    <w:rsid w:val="000611CD"/>
    <w:rsid w:val="000612CF"/>
    <w:rsid w:val="00061A66"/>
    <w:rsid w:val="00061D1C"/>
    <w:rsid w:val="0006227A"/>
    <w:rsid w:val="0006265E"/>
    <w:rsid w:val="0006275C"/>
    <w:rsid w:val="000629E2"/>
    <w:rsid w:val="00063804"/>
    <w:rsid w:val="000638C0"/>
    <w:rsid w:val="00063A32"/>
    <w:rsid w:val="00063D9D"/>
    <w:rsid w:val="00064287"/>
    <w:rsid w:val="0006492F"/>
    <w:rsid w:val="000655A0"/>
    <w:rsid w:val="0006578D"/>
    <w:rsid w:val="000661C2"/>
    <w:rsid w:val="00066632"/>
    <w:rsid w:val="00066AE8"/>
    <w:rsid w:val="00066B7B"/>
    <w:rsid w:val="000679BA"/>
    <w:rsid w:val="00070850"/>
    <w:rsid w:val="00070952"/>
    <w:rsid w:val="00070C82"/>
    <w:rsid w:val="00071392"/>
    <w:rsid w:val="000714F5"/>
    <w:rsid w:val="00071764"/>
    <w:rsid w:val="000728E3"/>
    <w:rsid w:val="000728FE"/>
    <w:rsid w:val="000731AC"/>
    <w:rsid w:val="00073FCA"/>
    <w:rsid w:val="00074118"/>
    <w:rsid w:val="000742D8"/>
    <w:rsid w:val="000742EC"/>
    <w:rsid w:val="0007451E"/>
    <w:rsid w:val="00074EBD"/>
    <w:rsid w:val="00075137"/>
    <w:rsid w:val="000753A9"/>
    <w:rsid w:val="00075415"/>
    <w:rsid w:val="00075519"/>
    <w:rsid w:val="0007555E"/>
    <w:rsid w:val="00075FB4"/>
    <w:rsid w:val="00076D5F"/>
    <w:rsid w:val="00076E6E"/>
    <w:rsid w:val="00077FF2"/>
    <w:rsid w:val="00080240"/>
    <w:rsid w:val="000803F6"/>
    <w:rsid w:val="000803FC"/>
    <w:rsid w:val="0008107C"/>
    <w:rsid w:val="000819C1"/>
    <w:rsid w:val="0008207B"/>
    <w:rsid w:val="00082312"/>
    <w:rsid w:val="00082A93"/>
    <w:rsid w:val="00082B6D"/>
    <w:rsid w:val="00082B87"/>
    <w:rsid w:val="00083268"/>
    <w:rsid w:val="0008332A"/>
    <w:rsid w:val="00083D25"/>
    <w:rsid w:val="000841CD"/>
    <w:rsid w:val="000842E8"/>
    <w:rsid w:val="000847B6"/>
    <w:rsid w:val="00084D2F"/>
    <w:rsid w:val="00084D93"/>
    <w:rsid w:val="000851CE"/>
    <w:rsid w:val="00085762"/>
    <w:rsid w:val="000859CA"/>
    <w:rsid w:val="00085AA4"/>
    <w:rsid w:val="00085CE8"/>
    <w:rsid w:val="00085D11"/>
    <w:rsid w:val="0008609C"/>
    <w:rsid w:val="0008649A"/>
    <w:rsid w:val="000866EE"/>
    <w:rsid w:val="00086B47"/>
    <w:rsid w:val="000870E2"/>
    <w:rsid w:val="00087AC1"/>
    <w:rsid w:val="00087E79"/>
    <w:rsid w:val="00090E19"/>
    <w:rsid w:val="00091315"/>
    <w:rsid w:val="0009135C"/>
    <w:rsid w:val="00091856"/>
    <w:rsid w:val="00091F57"/>
    <w:rsid w:val="00093596"/>
    <w:rsid w:val="00093E44"/>
    <w:rsid w:val="00093E51"/>
    <w:rsid w:val="00093FB2"/>
    <w:rsid w:val="00094D9C"/>
    <w:rsid w:val="00095102"/>
    <w:rsid w:val="000957C4"/>
    <w:rsid w:val="00095BDD"/>
    <w:rsid w:val="00095EC5"/>
    <w:rsid w:val="00096262"/>
    <w:rsid w:val="00096617"/>
    <w:rsid w:val="00096B4B"/>
    <w:rsid w:val="00097D37"/>
    <w:rsid w:val="000A08F6"/>
    <w:rsid w:val="000A0A30"/>
    <w:rsid w:val="000A0E6A"/>
    <w:rsid w:val="000A0E6B"/>
    <w:rsid w:val="000A1084"/>
    <w:rsid w:val="000A10E1"/>
    <w:rsid w:val="000A113B"/>
    <w:rsid w:val="000A14C5"/>
    <w:rsid w:val="000A1773"/>
    <w:rsid w:val="000A18E0"/>
    <w:rsid w:val="000A1AFF"/>
    <w:rsid w:val="000A2168"/>
    <w:rsid w:val="000A26CB"/>
    <w:rsid w:val="000A2A8D"/>
    <w:rsid w:val="000A3258"/>
    <w:rsid w:val="000A3484"/>
    <w:rsid w:val="000A3884"/>
    <w:rsid w:val="000A3F19"/>
    <w:rsid w:val="000A4403"/>
    <w:rsid w:val="000A50FB"/>
    <w:rsid w:val="000A5A5B"/>
    <w:rsid w:val="000A5ED1"/>
    <w:rsid w:val="000A6733"/>
    <w:rsid w:val="000A69F6"/>
    <w:rsid w:val="000A6A3D"/>
    <w:rsid w:val="000A6CCC"/>
    <w:rsid w:val="000A7531"/>
    <w:rsid w:val="000A7544"/>
    <w:rsid w:val="000A78A2"/>
    <w:rsid w:val="000A7BC2"/>
    <w:rsid w:val="000A7C92"/>
    <w:rsid w:val="000A7DA7"/>
    <w:rsid w:val="000B0170"/>
    <w:rsid w:val="000B05F0"/>
    <w:rsid w:val="000B0987"/>
    <w:rsid w:val="000B0A2C"/>
    <w:rsid w:val="000B0CC7"/>
    <w:rsid w:val="000B1011"/>
    <w:rsid w:val="000B1928"/>
    <w:rsid w:val="000B1EF1"/>
    <w:rsid w:val="000B2714"/>
    <w:rsid w:val="000B33F4"/>
    <w:rsid w:val="000B3638"/>
    <w:rsid w:val="000B365B"/>
    <w:rsid w:val="000B37ED"/>
    <w:rsid w:val="000B440C"/>
    <w:rsid w:val="000B4954"/>
    <w:rsid w:val="000B4E10"/>
    <w:rsid w:val="000B4EFE"/>
    <w:rsid w:val="000B55D7"/>
    <w:rsid w:val="000B5E33"/>
    <w:rsid w:val="000B6146"/>
    <w:rsid w:val="000B66FC"/>
    <w:rsid w:val="000B682D"/>
    <w:rsid w:val="000B6AFE"/>
    <w:rsid w:val="000B6E45"/>
    <w:rsid w:val="000B716E"/>
    <w:rsid w:val="000B7931"/>
    <w:rsid w:val="000C1BB7"/>
    <w:rsid w:val="000C1BF7"/>
    <w:rsid w:val="000C1DC7"/>
    <w:rsid w:val="000C1E8E"/>
    <w:rsid w:val="000C2674"/>
    <w:rsid w:val="000C2867"/>
    <w:rsid w:val="000C2A5C"/>
    <w:rsid w:val="000C2BAD"/>
    <w:rsid w:val="000C3179"/>
    <w:rsid w:val="000C33FE"/>
    <w:rsid w:val="000C3CD8"/>
    <w:rsid w:val="000C3DD5"/>
    <w:rsid w:val="000C4333"/>
    <w:rsid w:val="000C481B"/>
    <w:rsid w:val="000C48B1"/>
    <w:rsid w:val="000C4C76"/>
    <w:rsid w:val="000C4CBC"/>
    <w:rsid w:val="000C4D19"/>
    <w:rsid w:val="000C4F03"/>
    <w:rsid w:val="000C5485"/>
    <w:rsid w:val="000C56F0"/>
    <w:rsid w:val="000C573C"/>
    <w:rsid w:val="000C5E42"/>
    <w:rsid w:val="000C628B"/>
    <w:rsid w:val="000C62FD"/>
    <w:rsid w:val="000C6317"/>
    <w:rsid w:val="000C65D7"/>
    <w:rsid w:val="000C6B10"/>
    <w:rsid w:val="000C71EE"/>
    <w:rsid w:val="000C72E3"/>
    <w:rsid w:val="000C73DA"/>
    <w:rsid w:val="000C79EE"/>
    <w:rsid w:val="000C7F65"/>
    <w:rsid w:val="000D03BD"/>
    <w:rsid w:val="000D03C1"/>
    <w:rsid w:val="000D05E4"/>
    <w:rsid w:val="000D06FD"/>
    <w:rsid w:val="000D1027"/>
    <w:rsid w:val="000D147E"/>
    <w:rsid w:val="000D1B02"/>
    <w:rsid w:val="000D1E17"/>
    <w:rsid w:val="000D22A1"/>
    <w:rsid w:val="000D257A"/>
    <w:rsid w:val="000D3288"/>
    <w:rsid w:val="000D374A"/>
    <w:rsid w:val="000D38C3"/>
    <w:rsid w:val="000D4A52"/>
    <w:rsid w:val="000D57B7"/>
    <w:rsid w:val="000D5C59"/>
    <w:rsid w:val="000D5D7E"/>
    <w:rsid w:val="000D64B7"/>
    <w:rsid w:val="000D66AB"/>
    <w:rsid w:val="000D6C90"/>
    <w:rsid w:val="000D6FF5"/>
    <w:rsid w:val="000D7047"/>
    <w:rsid w:val="000D715D"/>
    <w:rsid w:val="000D76C9"/>
    <w:rsid w:val="000D7D5F"/>
    <w:rsid w:val="000D7F3E"/>
    <w:rsid w:val="000D7FB2"/>
    <w:rsid w:val="000E07B5"/>
    <w:rsid w:val="000E0F54"/>
    <w:rsid w:val="000E1041"/>
    <w:rsid w:val="000E11A3"/>
    <w:rsid w:val="000E1875"/>
    <w:rsid w:val="000E22B9"/>
    <w:rsid w:val="000E231C"/>
    <w:rsid w:val="000E2B77"/>
    <w:rsid w:val="000E2F97"/>
    <w:rsid w:val="000E3050"/>
    <w:rsid w:val="000E3D18"/>
    <w:rsid w:val="000E414F"/>
    <w:rsid w:val="000E46A1"/>
    <w:rsid w:val="000E47FA"/>
    <w:rsid w:val="000E4C29"/>
    <w:rsid w:val="000E4CFC"/>
    <w:rsid w:val="000E5A01"/>
    <w:rsid w:val="000E675D"/>
    <w:rsid w:val="000E6A72"/>
    <w:rsid w:val="000E6F25"/>
    <w:rsid w:val="000E6FF7"/>
    <w:rsid w:val="000E722D"/>
    <w:rsid w:val="000E78AE"/>
    <w:rsid w:val="000E7AD2"/>
    <w:rsid w:val="000E7E12"/>
    <w:rsid w:val="000F02A9"/>
    <w:rsid w:val="000F0337"/>
    <w:rsid w:val="000F0729"/>
    <w:rsid w:val="000F0C93"/>
    <w:rsid w:val="000F1275"/>
    <w:rsid w:val="000F26F6"/>
    <w:rsid w:val="000F28A8"/>
    <w:rsid w:val="000F28F2"/>
    <w:rsid w:val="000F2B21"/>
    <w:rsid w:val="000F2E5C"/>
    <w:rsid w:val="000F378F"/>
    <w:rsid w:val="000F395D"/>
    <w:rsid w:val="000F3DFF"/>
    <w:rsid w:val="000F426E"/>
    <w:rsid w:val="000F431C"/>
    <w:rsid w:val="000F48CA"/>
    <w:rsid w:val="000F5DAD"/>
    <w:rsid w:val="000F60A0"/>
    <w:rsid w:val="000F610E"/>
    <w:rsid w:val="000F6650"/>
    <w:rsid w:val="000F6655"/>
    <w:rsid w:val="000F6662"/>
    <w:rsid w:val="000F66C5"/>
    <w:rsid w:val="000F67E6"/>
    <w:rsid w:val="000F68E7"/>
    <w:rsid w:val="000F691A"/>
    <w:rsid w:val="000F6F3D"/>
    <w:rsid w:val="000F71CC"/>
    <w:rsid w:val="000F7480"/>
    <w:rsid w:val="000F7557"/>
    <w:rsid w:val="000F7D14"/>
    <w:rsid w:val="000F7DF7"/>
    <w:rsid w:val="001003E9"/>
    <w:rsid w:val="00100589"/>
    <w:rsid w:val="00100693"/>
    <w:rsid w:val="00100E1B"/>
    <w:rsid w:val="001010C2"/>
    <w:rsid w:val="00101871"/>
    <w:rsid w:val="00101BBC"/>
    <w:rsid w:val="00101CC0"/>
    <w:rsid w:val="00101DE0"/>
    <w:rsid w:val="00102731"/>
    <w:rsid w:val="00102748"/>
    <w:rsid w:val="00102847"/>
    <w:rsid w:val="00102A1D"/>
    <w:rsid w:val="00102E0D"/>
    <w:rsid w:val="00102F67"/>
    <w:rsid w:val="00103073"/>
    <w:rsid w:val="001032CC"/>
    <w:rsid w:val="001032F5"/>
    <w:rsid w:val="00103398"/>
    <w:rsid w:val="00103BAB"/>
    <w:rsid w:val="00104612"/>
    <w:rsid w:val="00104845"/>
    <w:rsid w:val="0010488C"/>
    <w:rsid w:val="00104C41"/>
    <w:rsid w:val="00104F2C"/>
    <w:rsid w:val="00105077"/>
    <w:rsid w:val="0010550A"/>
    <w:rsid w:val="00105882"/>
    <w:rsid w:val="001058B4"/>
    <w:rsid w:val="00105CEF"/>
    <w:rsid w:val="001060F0"/>
    <w:rsid w:val="001069ED"/>
    <w:rsid w:val="00106FE7"/>
    <w:rsid w:val="00107D7C"/>
    <w:rsid w:val="00107F11"/>
    <w:rsid w:val="00110255"/>
    <w:rsid w:val="001104E7"/>
    <w:rsid w:val="00110F79"/>
    <w:rsid w:val="001118A4"/>
    <w:rsid w:val="00111E05"/>
    <w:rsid w:val="00111E3A"/>
    <w:rsid w:val="0011277A"/>
    <w:rsid w:val="00112AF0"/>
    <w:rsid w:val="00112BE4"/>
    <w:rsid w:val="00112CE6"/>
    <w:rsid w:val="00112FAA"/>
    <w:rsid w:val="0011327E"/>
    <w:rsid w:val="001136E5"/>
    <w:rsid w:val="0011393E"/>
    <w:rsid w:val="00113EA4"/>
    <w:rsid w:val="00114192"/>
    <w:rsid w:val="00114488"/>
    <w:rsid w:val="00114542"/>
    <w:rsid w:val="0011466E"/>
    <w:rsid w:val="00114B78"/>
    <w:rsid w:val="00114D80"/>
    <w:rsid w:val="00114DE1"/>
    <w:rsid w:val="00115135"/>
    <w:rsid w:val="00115A30"/>
    <w:rsid w:val="00115FA3"/>
    <w:rsid w:val="0011606D"/>
    <w:rsid w:val="001160BB"/>
    <w:rsid w:val="0011612F"/>
    <w:rsid w:val="00116330"/>
    <w:rsid w:val="00116360"/>
    <w:rsid w:val="00116879"/>
    <w:rsid w:val="00116B88"/>
    <w:rsid w:val="00116E2A"/>
    <w:rsid w:val="001173AA"/>
    <w:rsid w:val="00117736"/>
    <w:rsid w:val="00117749"/>
    <w:rsid w:val="001179CD"/>
    <w:rsid w:val="00117B7C"/>
    <w:rsid w:val="00117FCC"/>
    <w:rsid w:val="00120248"/>
    <w:rsid w:val="00121EE2"/>
    <w:rsid w:val="001221B1"/>
    <w:rsid w:val="00122447"/>
    <w:rsid w:val="001224BC"/>
    <w:rsid w:val="00122AE1"/>
    <w:rsid w:val="00122E53"/>
    <w:rsid w:val="001235D1"/>
    <w:rsid w:val="001238DF"/>
    <w:rsid w:val="00124051"/>
    <w:rsid w:val="001248B7"/>
    <w:rsid w:val="00124912"/>
    <w:rsid w:val="001252A6"/>
    <w:rsid w:val="001252F2"/>
    <w:rsid w:val="001257DE"/>
    <w:rsid w:val="001258BB"/>
    <w:rsid w:val="00125E02"/>
    <w:rsid w:val="00125F20"/>
    <w:rsid w:val="001260FF"/>
    <w:rsid w:val="00126872"/>
    <w:rsid w:val="00126922"/>
    <w:rsid w:val="0012692C"/>
    <w:rsid w:val="00126F97"/>
    <w:rsid w:val="00126FC1"/>
    <w:rsid w:val="00127137"/>
    <w:rsid w:val="001300C4"/>
    <w:rsid w:val="00130525"/>
    <w:rsid w:val="001308FE"/>
    <w:rsid w:val="00130A79"/>
    <w:rsid w:val="00130BAC"/>
    <w:rsid w:val="00130E1F"/>
    <w:rsid w:val="00130E98"/>
    <w:rsid w:val="00131004"/>
    <w:rsid w:val="00131935"/>
    <w:rsid w:val="00131DC5"/>
    <w:rsid w:val="00131EE3"/>
    <w:rsid w:val="00132678"/>
    <w:rsid w:val="00133067"/>
    <w:rsid w:val="0013312B"/>
    <w:rsid w:val="0013356D"/>
    <w:rsid w:val="00133F31"/>
    <w:rsid w:val="001340BF"/>
    <w:rsid w:val="001340F8"/>
    <w:rsid w:val="001344A9"/>
    <w:rsid w:val="00134678"/>
    <w:rsid w:val="00134AC5"/>
    <w:rsid w:val="00134D4A"/>
    <w:rsid w:val="0013544A"/>
    <w:rsid w:val="0013586C"/>
    <w:rsid w:val="001359C1"/>
    <w:rsid w:val="00135A6C"/>
    <w:rsid w:val="00135ABA"/>
    <w:rsid w:val="00135C30"/>
    <w:rsid w:val="00135C58"/>
    <w:rsid w:val="00135E07"/>
    <w:rsid w:val="00136115"/>
    <w:rsid w:val="001363C3"/>
    <w:rsid w:val="00136645"/>
    <w:rsid w:val="0013664A"/>
    <w:rsid w:val="001374A0"/>
    <w:rsid w:val="001375CA"/>
    <w:rsid w:val="00137A78"/>
    <w:rsid w:val="0014005F"/>
    <w:rsid w:val="001401BE"/>
    <w:rsid w:val="001404E5"/>
    <w:rsid w:val="00141115"/>
    <w:rsid w:val="001411F5"/>
    <w:rsid w:val="0014206C"/>
    <w:rsid w:val="0014207A"/>
    <w:rsid w:val="0014232B"/>
    <w:rsid w:val="0014248E"/>
    <w:rsid w:val="00142CBE"/>
    <w:rsid w:val="0014357D"/>
    <w:rsid w:val="00143780"/>
    <w:rsid w:val="001439BE"/>
    <w:rsid w:val="001440D0"/>
    <w:rsid w:val="0014470A"/>
    <w:rsid w:val="001449C4"/>
    <w:rsid w:val="00144BB6"/>
    <w:rsid w:val="00145939"/>
    <w:rsid w:val="00145A8B"/>
    <w:rsid w:val="00145BAE"/>
    <w:rsid w:val="00145DA3"/>
    <w:rsid w:val="00146105"/>
    <w:rsid w:val="001462D5"/>
    <w:rsid w:val="00146526"/>
    <w:rsid w:val="00146584"/>
    <w:rsid w:val="00147198"/>
    <w:rsid w:val="0014798B"/>
    <w:rsid w:val="00147AF3"/>
    <w:rsid w:val="00147D34"/>
    <w:rsid w:val="00150462"/>
    <w:rsid w:val="0015068A"/>
    <w:rsid w:val="00150ED4"/>
    <w:rsid w:val="00151333"/>
    <w:rsid w:val="001513F8"/>
    <w:rsid w:val="001516FD"/>
    <w:rsid w:val="001518A4"/>
    <w:rsid w:val="00151FFB"/>
    <w:rsid w:val="0015216D"/>
    <w:rsid w:val="001538AC"/>
    <w:rsid w:val="001538CA"/>
    <w:rsid w:val="00153A55"/>
    <w:rsid w:val="0015453D"/>
    <w:rsid w:val="0015487F"/>
    <w:rsid w:val="001549D8"/>
    <w:rsid w:val="00155208"/>
    <w:rsid w:val="0015553C"/>
    <w:rsid w:val="0015598D"/>
    <w:rsid w:val="00155C0A"/>
    <w:rsid w:val="00156281"/>
    <w:rsid w:val="0015666A"/>
    <w:rsid w:val="001568BD"/>
    <w:rsid w:val="00156A35"/>
    <w:rsid w:val="00156AEC"/>
    <w:rsid w:val="00157E44"/>
    <w:rsid w:val="00157F2E"/>
    <w:rsid w:val="00160944"/>
    <w:rsid w:val="00160ACA"/>
    <w:rsid w:val="00160B80"/>
    <w:rsid w:val="00161098"/>
    <w:rsid w:val="001612BD"/>
    <w:rsid w:val="00161573"/>
    <w:rsid w:val="00161EA5"/>
    <w:rsid w:val="00161EAD"/>
    <w:rsid w:val="001621BF"/>
    <w:rsid w:val="00162A07"/>
    <w:rsid w:val="00162C61"/>
    <w:rsid w:val="00163185"/>
    <w:rsid w:val="00163427"/>
    <w:rsid w:val="00163B48"/>
    <w:rsid w:val="00163D4F"/>
    <w:rsid w:val="00163D65"/>
    <w:rsid w:val="0016446E"/>
    <w:rsid w:val="001646E7"/>
    <w:rsid w:val="00164739"/>
    <w:rsid w:val="00164769"/>
    <w:rsid w:val="00164C47"/>
    <w:rsid w:val="00164F14"/>
    <w:rsid w:val="0016520B"/>
    <w:rsid w:val="00165274"/>
    <w:rsid w:val="00165307"/>
    <w:rsid w:val="00165505"/>
    <w:rsid w:val="00165CF0"/>
    <w:rsid w:val="00165EA0"/>
    <w:rsid w:val="00165EDA"/>
    <w:rsid w:val="00165FAA"/>
    <w:rsid w:val="001665A1"/>
    <w:rsid w:val="0016679C"/>
    <w:rsid w:val="00167019"/>
    <w:rsid w:val="0016776E"/>
    <w:rsid w:val="001678A5"/>
    <w:rsid w:val="001679EC"/>
    <w:rsid w:val="00167DA7"/>
    <w:rsid w:val="001704E2"/>
    <w:rsid w:val="00170D16"/>
    <w:rsid w:val="00170EC0"/>
    <w:rsid w:val="00171414"/>
    <w:rsid w:val="00171483"/>
    <w:rsid w:val="001718D3"/>
    <w:rsid w:val="00171C1B"/>
    <w:rsid w:val="00171D8B"/>
    <w:rsid w:val="00172730"/>
    <w:rsid w:val="00172BA0"/>
    <w:rsid w:val="0017305C"/>
    <w:rsid w:val="0017335C"/>
    <w:rsid w:val="00173C39"/>
    <w:rsid w:val="0017475F"/>
    <w:rsid w:val="00175564"/>
    <w:rsid w:val="00175675"/>
    <w:rsid w:val="00175949"/>
    <w:rsid w:val="00175BB4"/>
    <w:rsid w:val="00175FED"/>
    <w:rsid w:val="001761B4"/>
    <w:rsid w:val="001768AE"/>
    <w:rsid w:val="0017766E"/>
    <w:rsid w:val="001800E8"/>
    <w:rsid w:val="0018080D"/>
    <w:rsid w:val="001809B3"/>
    <w:rsid w:val="001809C1"/>
    <w:rsid w:val="00180D51"/>
    <w:rsid w:val="0018110F"/>
    <w:rsid w:val="00181678"/>
    <w:rsid w:val="00182058"/>
    <w:rsid w:val="0018223C"/>
    <w:rsid w:val="0018236F"/>
    <w:rsid w:val="00182ADA"/>
    <w:rsid w:val="00182D3A"/>
    <w:rsid w:val="00182E1D"/>
    <w:rsid w:val="00182F19"/>
    <w:rsid w:val="0018382C"/>
    <w:rsid w:val="00183EB4"/>
    <w:rsid w:val="0018422B"/>
    <w:rsid w:val="00184352"/>
    <w:rsid w:val="00184491"/>
    <w:rsid w:val="00184CD7"/>
    <w:rsid w:val="00184F8D"/>
    <w:rsid w:val="00185140"/>
    <w:rsid w:val="001851A0"/>
    <w:rsid w:val="00185458"/>
    <w:rsid w:val="00185808"/>
    <w:rsid w:val="00185938"/>
    <w:rsid w:val="00185C7B"/>
    <w:rsid w:val="0018632D"/>
    <w:rsid w:val="001863BB"/>
    <w:rsid w:val="00186549"/>
    <w:rsid w:val="00187EA6"/>
    <w:rsid w:val="001903D4"/>
    <w:rsid w:val="00191063"/>
    <w:rsid w:val="00191112"/>
    <w:rsid w:val="001913DF"/>
    <w:rsid w:val="001915AC"/>
    <w:rsid w:val="001915BC"/>
    <w:rsid w:val="0019176F"/>
    <w:rsid w:val="0019234C"/>
    <w:rsid w:val="00192485"/>
    <w:rsid w:val="001928F1"/>
    <w:rsid w:val="00192F7E"/>
    <w:rsid w:val="00193B72"/>
    <w:rsid w:val="001946FE"/>
    <w:rsid w:val="00194A5A"/>
    <w:rsid w:val="00194AB6"/>
    <w:rsid w:val="00194FF3"/>
    <w:rsid w:val="001952CE"/>
    <w:rsid w:val="001954EC"/>
    <w:rsid w:val="0019581F"/>
    <w:rsid w:val="00195F4A"/>
    <w:rsid w:val="00196876"/>
    <w:rsid w:val="00196B0F"/>
    <w:rsid w:val="001972EA"/>
    <w:rsid w:val="00197529"/>
    <w:rsid w:val="00197DD5"/>
    <w:rsid w:val="001A07EB"/>
    <w:rsid w:val="001A0830"/>
    <w:rsid w:val="001A0B97"/>
    <w:rsid w:val="001A0D90"/>
    <w:rsid w:val="001A0F94"/>
    <w:rsid w:val="001A15AB"/>
    <w:rsid w:val="001A1A9F"/>
    <w:rsid w:val="001A1E87"/>
    <w:rsid w:val="001A225F"/>
    <w:rsid w:val="001A23A6"/>
    <w:rsid w:val="001A26A7"/>
    <w:rsid w:val="001A272C"/>
    <w:rsid w:val="001A277A"/>
    <w:rsid w:val="001A29B8"/>
    <w:rsid w:val="001A2D38"/>
    <w:rsid w:val="001A3446"/>
    <w:rsid w:val="001A4960"/>
    <w:rsid w:val="001A5089"/>
    <w:rsid w:val="001A5643"/>
    <w:rsid w:val="001A5684"/>
    <w:rsid w:val="001A6D13"/>
    <w:rsid w:val="001A72A6"/>
    <w:rsid w:val="001A7489"/>
    <w:rsid w:val="001A7735"/>
    <w:rsid w:val="001A7755"/>
    <w:rsid w:val="001A7BF1"/>
    <w:rsid w:val="001A7D27"/>
    <w:rsid w:val="001B01FF"/>
    <w:rsid w:val="001B05EA"/>
    <w:rsid w:val="001B0677"/>
    <w:rsid w:val="001B07CA"/>
    <w:rsid w:val="001B0A12"/>
    <w:rsid w:val="001B1080"/>
    <w:rsid w:val="001B1C43"/>
    <w:rsid w:val="001B1F8C"/>
    <w:rsid w:val="001B2148"/>
    <w:rsid w:val="001B2E29"/>
    <w:rsid w:val="001B30DF"/>
    <w:rsid w:val="001B34CE"/>
    <w:rsid w:val="001B35AB"/>
    <w:rsid w:val="001B3ADA"/>
    <w:rsid w:val="001B3E35"/>
    <w:rsid w:val="001B444B"/>
    <w:rsid w:val="001B4688"/>
    <w:rsid w:val="001B479D"/>
    <w:rsid w:val="001B4B1D"/>
    <w:rsid w:val="001B4CB4"/>
    <w:rsid w:val="001B5503"/>
    <w:rsid w:val="001B5EC7"/>
    <w:rsid w:val="001B6656"/>
    <w:rsid w:val="001B6990"/>
    <w:rsid w:val="001B7507"/>
    <w:rsid w:val="001B772C"/>
    <w:rsid w:val="001B7EFB"/>
    <w:rsid w:val="001C050F"/>
    <w:rsid w:val="001C08C9"/>
    <w:rsid w:val="001C0F47"/>
    <w:rsid w:val="001C1197"/>
    <w:rsid w:val="001C2084"/>
    <w:rsid w:val="001C22EA"/>
    <w:rsid w:val="001C2A15"/>
    <w:rsid w:val="001C2B6E"/>
    <w:rsid w:val="001C2CB4"/>
    <w:rsid w:val="001C3390"/>
    <w:rsid w:val="001C34B7"/>
    <w:rsid w:val="001C38BB"/>
    <w:rsid w:val="001C3B11"/>
    <w:rsid w:val="001C3CFD"/>
    <w:rsid w:val="001C41DD"/>
    <w:rsid w:val="001C429B"/>
    <w:rsid w:val="001C45E4"/>
    <w:rsid w:val="001C4D78"/>
    <w:rsid w:val="001C55D8"/>
    <w:rsid w:val="001C562B"/>
    <w:rsid w:val="001C5712"/>
    <w:rsid w:val="001C5E23"/>
    <w:rsid w:val="001C609B"/>
    <w:rsid w:val="001C6248"/>
    <w:rsid w:val="001C670A"/>
    <w:rsid w:val="001C6AFB"/>
    <w:rsid w:val="001C6F9B"/>
    <w:rsid w:val="001C75D7"/>
    <w:rsid w:val="001C77AB"/>
    <w:rsid w:val="001D0161"/>
    <w:rsid w:val="001D03F1"/>
    <w:rsid w:val="001D0965"/>
    <w:rsid w:val="001D0B26"/>
    <w:rsid w:val="001D0C4E"/>
    <w:rsid w:val="001D18F5"/>
    <w:rsid w:val="001D20A2"/>
    <w:rsid w:val="001D330C"/>
    <w:rsid w:val="001D4B68"/>
    <w:rsid w:val="001D4BAE"/>
    <w:rsid w:val="001D4EA5"/>
    <w:rsid w:val="001D540C"/>
    <w:rsid w:val="001D5702"/>
    <w:rsid w:val="001D583F"/>
    <w:rsid w:val="001D584A"/>
    <w:rsid w:val="001D59BE"/>
    <w:rsid w:val="001D6708"/>
    <w:rsid w:val="001D6865"/>
    <w:rsid w:val="001D68C8"/>
    <w:rsid w:val="001D6A1E"/>
    <w:rsid w:val="001D6D60"/>
    <w:rsid w:val="001D6E74"/>
    <w:rsid w:val="001D6E7F"/>
    <w:rsid w:val="001D71A8"/>
    <w:rsid w:val="001D7234"/>
    <w:rsid w:val="001D72F7"/>
    <w:rsid w:val="001E08F5"/>
    <w:rsid w:val="001E0A33"/>
    <w:rsid w:val="001E0E39"/>
    <w:rsid w:val="001E13C6"/>
    <w:rsid w:val="001E1406"/>
    <w:rsid w:val="001E1D99"/>
    <w:rsid w:val="001E1F95"/>
    <w:rsid w:val="001E296D"/>
    <w:rsid w:val="001E2B19"/>
    <w:rsid w:val="001E369F"/>
    <w:rsid w:val="001E37B5"/>
    <w:rsid w:val="001E3CE1"/>
    <w:rsid w:val="001E4096"/>
    <w:rsid w:val="001E448B"/>
    <w:rsid w:val="001E48BA"/>
    <w:rsid w:val="001E4AE8"/>
    <w:rsid w:val="001E4F33"/>
    <w:rsid w:val="001E5074"/>
    <w:rsid w:val="001E51C8"/>
    <w:rsid w:val="001E5A1A"/>
    <w:rsid w:val="001E5AED"/>
    <w:rsid w:val="001E5B4F"/>
    <w:rsid w:val="001E61BD"/>
    <w:rsid w:val="001E624A"/>
    <w:rsid w:val="001E62ED"/>
    <w:rsid w:val="001E630D"/>
    <w:rsid w:val="001E6B03"/>
    <w:rsid w:val="001E7FDB"/>
    <w:rsid w:val="001F01ED"/>
    <w:rsid w:val="001F0244"/>
    <w:rsid w:val="001F0344"/>
    <w:rsid w:val="001F05A7"/>
    <w:rsid w:val="001F05FB"/>
    <w:rsid w:val="001F10DF"/>
    <w:rsid w:val="001F1707"/>
    <w:rsid w:val="001F1797"/>
    <w:rsid w:val="001F19BC"/>
    <w:rsid w:val="001F1C15"/>
    <w:rsid w:val="001F1DE2"/>
    <w:rsid w:val="001F1E61"/>
    <w:rsid w:val="001F1FE1"/>
    <w:rsid w:val="001F2A15"/>
    <w:rsid w:val="001F2C51"/>
    <w:rsid w:val="001F328E"/>
    <w:rsid w:val="001F346A"/>
    <w:rsid w:val="001F3476"/>
    <w:rsid w:val="001F363F"/>
    <w:rsid w:val="001F369E"/>
    <w:rsid w:val="001F3A81"/>
    <w:rsid w:val="001F4BFA"/>
    <w:rsid w:val="001F5461"/>
    <w:rsid w:val="001F55C2"/>
    <w:rsid w:val="001F580B"/>
    <w:rsid w:val="001F58AD"/>
    <w:rsid w:val="001F5E52"/>
    <w:rsid w:val="001F6195"/>
    <w:rsid w:val="001F6B15"/>
    <w:rsid w:val="001F6F97"/>
    <w:rsid w:val="001F6FD3"/>
    <w:rsid w:val="001F7270"/>
    <w:rsid w:val="001F7A0B"/>
    <w:rsid w:val="001F7E06"/>
    <w:rsid w:val="00201032"/>
    <w:rsid w:val="002015CD"/>
    <w:rsid w:val="002016A9"/>
    <w:rsid w:val="00202223"/>
    <w:rsid w:val="002026D4"/>
    <w:rsid w:val="002027CB"/>
    <w:rsid w:val="00202927"/>
    <w:rsid w:val="00202A44"/>
    <w:rsid w:val="002033AC"/>
    <w:rsid w:val="00203C52"/>
    <w:rsid w:val="002041BE"/>
    <w:rsid w:val="002047BE"/>
    <w:rsid w:val="00204C9E"/>
    <w:rsid w:val="00204CB9"/>
    <w:rsid w:val="00204E9D"/>
    <w:rsid w:val="00205618"/>
    <w:rsid w:val="002056CF"/>
    <w:rsid w:val="0020589A"/>
    <w:rsid w:val="002058E8"/>
    <w:rsid w:val="00205E31"/>
    <w:rsid w:val="002060F1"/>
    <w:rsid w:val="00206346"/>
    <w:rsid w:val="00206AB0"/>
    <w:rsid w:val="0020718A"/>
    <w:rsid w:val="00207983"/>
    <w:rsid w:val="00207A5F"/>
    <w:rsid w:val="00207D86"/>
    <w:rsid w:val="0021020E"/>
    <w:rsid w:val="00210520"/>
    <w:rsid w:val="0021055B"/>
    <w:rsid w:val="00210988"/>
    <w:rsid w:val="0021165F"/>
    <w:rsid w:val="002118DB"/>
    <w:rsid w:val="00212953"/>
    <w:rsid w:val="002133D9"/>
    <w:rsid w:val="0021353C"/>
    <w:rsid w:val="002135C9"/>
    <w:rsid w:val="00213605"/>
    <w:rsid w:val="00213B07"/>
    <w:rsid w:val="00213BD6"/>
    <w:rsid w:val="00213FCB"/>
    <w:rsid w:val="00214AAD"/>
    <w:rsid w:val="00214C08"/>
    <w:rsid w:val="00214D88"/>
    <w:rsid w:val="002151C9"/>
    <w:rsid w:val="00215F5A"/>
    <w:rsid w:val="0021625A"/>
    <w:rsid w:val="002164C2"/>
    <w:rsid w:val="00216A90"/>
    <w:rsid w:val="00217513"/>
    <w:rsid w:val="00220041"/>
    <w:rsid w:val="00220176"/>
    <w:rsid w:val="002208EC"/>
    <w:rsid w:val="002210BD"/>
    <w:rsid w:val="00221A01"/>
    <w:rsid w:val="00221D08"/>
    <w:rsid w:val="00222213"/>
    <w:rsid w:val="002222FD"/>
    <w:rsid w:val="00222617"/>
    <w:rsid w:val="0022270D"/>
    <w:rsid w:val="0022287B"/>
    <w:rsid w:val="002231FE"/>
    <w:rsid w:val="00223737"/>
    <w:rsid w:val="00223DBB"/>
    <w:rsid w:val="0022417D"/>
    <w:rsid w:val="002246D2"/>
    <w:rsid w:val="00224A30"/>
    <w:rsid w:val="00224D10"/>
    <w:rsid w:val="00224F34"/>
    <w:rsid w:val="002253F1"/>
    <w:rsid w:val="002255EA"/>
    <w:rsid w:val="00225912"/>
    <w:rsid w:val="00225949"/>
    <w:rsid w:val="0022614E"/>
    <w:rsid w:val="002263F4"/>
    <w:rsid w:val="002266D8"/>
    <w:rsid w:val="0022714D"/>
    <w:rsid w:val="002276C2"/>
    <w:rsid w:val="00227874"/>
    <w:rsid w:val="00227985"/>
    <w:rsid w:val="002279F5"/>
    <w:rsid w:val="00227B33"/>
    <w:rsid w:val="0023001C"/>
    <w:rsid w:val="00230CE8"/>
    <w:rsid w:val="002311B0"/>
    <w:rsid w:val="00231289"/>
    <w:rsid w:val="002314B2"/>
    <w:rsid w:val="002315CA"/>
    <w:rsid w:val="00231C48"/>
    <w:rsid w:val="002320FF"/>
    <w:rsid w:val="002321EA"/>
    <w:rsid w:val="00232343"/>
    <w:rsid w:val="00232503"/>
    <w:rsid w:val="00232C15"/>
    <w:rsid w:val="002332E9"/>
    <w:rsid w:val="0023393E"/>
    <w:rsid w:val="00233967"/>
    <w:rsid w:val="00233BDD"/>
    <w:rsid w:val="0023483D"/>
    <w:rsid w:val="00234B37"/>
    <w:rsid w:val="00235560"/>
    <w:rsid w:val="00235847"/>
    <w:rsid w:val="0023603F"/>
    <w:rsid w:val="0023622F"/>
    <w:rsid w:val="00236F37"/>
    <w:rsid w:val="00237298"/>
    <w:rsid w:val="002406D2"/>
    <w:rsid w:val="00241054"/>
    <w:rsid w:val="00242129"/>
    <w:rsid w:val="00242569"/>
    <w:rsid w:val="002432D3"/>
    <w:rsid w:val="0024333E"/>
    <w:rsid w:val="002445C8"/>
    <w:rsid w:val="00244823"/>
    <w:rsid w:val="002452BA"/>
    <w:rsid w:val="00245441"/>
    <w:rsid w:val="0024555C"/>
    <w:rsid w:val="00245757"/>
    <w:rsid w:val="0024576F"/>
    <w:rsid w:val="00245D01"/>
    <w:rsid w:val="00245FBD"/>
    <w:rsid w:val="002463DF"/>
    <w:rsid w:val="002464EC"/>
    <w:rsid w:val="00246A84"/>
    <w:rsid w:val="00246AB1"/>
    <w:rsid w:val="00247090"/>
    <w:rsid w:val="002478F2"/>
    <w:rsid w:val="00247AF8"/>
    <w:rsid w:val="00247B46"/>
    <w:rsid w:val="00247B63"/>
    <w:rsid w:val="00250A7B"/>
    <w:rsid w:val="00250BAE"/>
    <w:rsid w:val="00250C0E"/>
    <w:rsid w:val="002516A5"/>
    <w:rsid w:val="00251AF6"/>
    <w:rsid w:val="00252052"/>
    <w:rsid w:val="00252189"/>
    <w:rsid w:val="002523C9"/>
    <w:rsid w:val="0025303C"/>
    <w:rsid w:val="00253262"/>
    <w:rsid w:val="00253722"/>
    <w:rsid w:val="00253754"/>
    <w:rsid w:val="002537C1"/>
    <w:rsid w:val="00254373"/>
    <w:rsid w:val="00254619"/>
    <w:rsid w:val="00254791"/>
    <w:rsid w:val="00254E68"/>
    <w:rsid w:val="00255969"/>
    <w:rsid w:val="00255A2A"/>
    <w:rsid w:val="00255DF4"/>
    <w:rsid w:val="0025660E"/>
    <w:rsid w:val="00256705"/>
    <w:rsid w:val="00257209"/>
    <w:rsid w:val="002574F9"/>
    <w:rsid w:val="00257BD4"/>
    <w:rsid w:val="00260913"/>
    <w:rsid w:val="00260EE5"/>
    <w:rsid w:val="002610FB"/>
    <w:rsid w:val="00261202"/>
    <w:rsid w:val="002615A6"/>
    <w:rsid w:val="00261B7D"/>
    <w:rsid w:val="00261F72"/>
    <w:rsid w:val="00262B1C"/>
    <w:rsid w:val="00263F3B"/>
    <w:rsid w:val="0026492C"/>
    <w:rsid w:val="002649A8"/>
    <w:rsid w:val="00264A08"/>
    <w:rsid w:val="00264D9D"/>
    <w:rsid w:val="002651AC"/>
    <w:rsid w:val="00266102"/>
    <w:rsid w:val="002662BD"/>
    <w:rsid w:val="00266CED"/>
    <w:rsid w:val="002673F0"/>
    <w:rsid w:val="002677D6"/>
    <w:rsid w:val="00267B41"/>
    <w:rsid w:val="00270899"/>
    <w:rsid w:val="00270975"/>
    <w:rsid w:val="00270F1C"/>
    <w:rsid w:val="00271390"/>
    <w:rsid w:val="00271EAC"/>
    <w:rsid w:val="002722A5"/>
    <w:rsid w:val="0027249B"/>
    <w:rsid w:val="00272809"/>
    <w:rsid w:val="00272DA7"/>
    <w:rsid w:val="00272DEB"/>
    <w:rsid w:val="00273A7F"/>
    <w:rsid w:val="00273F37"/>
    <w:rsid w:val="00273F6F"/>
    <w:rsid w:val="002741B2"/>
    <w:rsid w:val="0027488D"/>
    <w:rsid w:val="002748DD"/>
    <w:rsid w:val="00274D37"/>
    <w:rsid w:val="00274F6A"/>
    <w:rsid w:val="00275702"/>
    <w:rsid w:val="002759CB"/>
    <w:rsid w:val="00276137"/>
    <w:rsid w:val="002762BE"/>
    <w:rsid w:val="0027711E"/>
    <w:rsid w:val="0027765B"/>
    <w:rsid w:val="00280071"/>
    <w:rsid w:val="002803F1"/>
    <w:rsid w:val="00280565"/>
    <w:rsid w:val="00280938"/>
    <w:rsid w:val="00280955"/>
    <w:rsid w:val="00280F0F"/>
    <w:rsid w:val="0028122F"/>
    <w:rsid w:val="00281415"/>
    <w:rsid w:val="00281478"/>
    <w:rsid w:val="002814D7"/>
    <w:rsid w:val="00281BF4"/>
    <w:rsid w:val="00281C08"/>
    <w:rsid w:val="00281E10"/>
    <w:rsid w:val="00281E6E"/>
    <w:rsid w:val="00281F80"/>
    <w:rsid w:val="00282132"/>
    <w:rsid w:val="00282133"/>
    <w:rsid w:val="00282D38"/>
    <w:rsid w:val="002834CD"/>
    <w:rsid w:val="00283B88"/>
    <w:rsid w:val="00283E0D"/>
    <w:rsid w:val="00283F91"/>
    <w:rsid w:val="002840AE"/>
    <w:rsid w:val="00284BAF"/>
    <w:rsid w:val="00284EA0"/>
    <w:rsid w:val="002850DD"/>
    <w:rsid w:val="00285520"/>
    <w:rsid w:val="0028569C"/>
    <w:rsid w:val="002857B0"/>
    <w:rsid w:val="00285843"/>
    <w:rsid w:val="00285A72"/>
    <w:rsid w:val="00285A7E"/>
    <w:rsid w:val="00285DEE"/>
    <w:rsid w:val="00286173"/>
    <w:rsid w:val="00286D89"/>
    <w:rsid w:val="002873A5"/>
    <w:rsid w:val="002876D1"/>
    <w:rsid w:val="00287893"/>
    <w:rsid w:val="00290403"/>
    <w:rsid w:val="00290773"/>
    <w:rsid w:val="00290B47"/>
    <w:rsid w:val="00290BF5"/>
    <w:rsid w:val="00290F2C"/>
    <w:rsid w:val="002915B8"/>
    <w:rsid w:val="00291BF0"/>
    <w:rsid w:val="00291C01"/>
    <w:rsid w:val="00291DBE"/>
    <w:rsid w:val="0029211D"/>
    <w:rsid w:val="0029261C"/>
    <w:rsid w:val="00292773"/>
    <w:rsid w:val="002929CE"/>
    <w:rsid w:val="00293AB7"/>
    <w:rsid w:val="00293AE0"/>
    <w:rsid w:val="00293F89"/>
    <w:rsid w:val="0029403B"/>
    <w:rsid w:val="00294A49"/>
    <w:rsid w:val="00295056"/>
    <w:rsid w:val="00295205"/>
    <w:rsid w:val="00295F50"/>
    <w:rsid w:val="00295FF3"/>
    <w:rsid w:val="00296A4C"/>
    <w:rsid w:val="0029720A"/>
    <w:rsid w:val="0029792F"/>
    <w:rsid w:val="00297AA5"/>
    <w:rsid w:val="00297BE4"/>
    <w:rsid w:val="002A04C9"/>
    <w:rsid w:val="002A0773"/>
    <w:rsid w:val="002A104D"/>
    <w:rsid w:val="002A258C"/>
    <w:rsid w:val="002A301C"/>
    <w:rsid w:val="002A30E0"/>
    <w:rsid w:val="002A335F"/>
    <w:rsid w:val="002A3A1D"/>
    <w:rsid w:val="002A3B83"/>
    <w:rsid w:val="002A3BF5"/>
    <w:rsid w:val="002A3BFC"/>
    <w:rsid w:val="002A3E63"/>
    <w:rsid w:val="002A3FA6"/>
    <w:rsid w:val="002A42AF"/>
    <w:rsid w:val="002A46F9"/>
    <w:rsid w:val="002A490D"/>
    <w:rsid w:val="002A4BBC"/>
    <w:rsid w:val="002A4ECB"/>
    <w:rsid w:val="002A5153"/>
    <w:rsid w:val="002A517F"/>
    <w:rsid w:val="002A51AB"/>
    <w:rsid w:val="002A54C0"/>
    <w:rsid w:val="002A557A"/>
    <w:rsid w:val="002A58D5"/>
    <w:rsid w:val="002A5C79"/>
    <w:rsid w:val="002A6CAE"/>
    <w:rsid w:val="002A73D3"/>
    <w:rsid w:val="002A793D"/>
    <w:rsid w:val="002B00A7"/>
    <w:rsid w:val="002B01A1"/>
    <w:rsid w:val="002B0FC4"/>
    <w:rsid w:val="002B172D"/>
    <w:rsid w:val="002B176A"/>
    <w:rsid w:val="002B1810"/>
    <w:rsid w:val="002B1994"/>
    <w:rsid w:val="002B1EDC"/>
    <w:rsid w:val="002B1F21"/>
    <w:rsid w:val="002B2542"/>
    <w:rsid w:val="002B2752"/>
    <w:rsid w:val="002B27DE"/>
    <w:rsid w:val="002B2D56"/>
    <w:rsid w:val="002B2DF2"/>
    <w:rsid w:val="002B3504"/>
    <w:rsid w:val="002B392C"/>
    <w:rsid w:val="002B3A14"/>
    <w:rsid w:val="002B3B80"/>
    <w:rsid w:val="002B3BF6"/>
    <w:rsid w:val="002B3DAB"/>
    <w:rsid w:val="002B432C"/>
    <w:rsid w:val="002B45AC"/>
    <w:rsid w:val="002B469C"/>
    <w:rsid w:val="002B49C4"/>
    <w:rsid w:val="002B52A6"/>
    <w:rsid w:val="002B5402"/>
    <w:rsid w:val="002B58E5"/>
    <w:rsid w:val="002B5F8B"/>
    <w:rsid w:val="002B63BB"/>
    <w:rsid w:val="002B6C73"/>
    <w:rsid w:val="002B7830"/>
    <w:rsid w:val="002B7D82"/>
    <w:rsid w:val="002C028B"/>
    <w:rsid w:val="002C05DB"/>
    <w:rsid w:val="002C073F"/>
    <w:rsid w:val="002C08A5"/>
    <w:rsid w:val="002C0E53"/>
    <w:rsid w:val="002C12A0"/>
    <w:rsid w:val="002C134A"/>
    <w:rsid w:val="002C2694"/>
    <w:rsid w:val="002C2730"/>
    <w:rsid w:val="002C29E9"/>
    <w:rsid w:val="002C3013"/>
    <w:rsid w:val="002C31EC"/>
    <w:rsid w:val="002C34A1"/>
    <w:rsid w:val="002C3520"/>
    <w:rsid w:val="002C39CE"/>
    <w:rsid w:val="002C3B2D"/>
    <w:rsid w:val="002C40EF"/>
    <w:rsid w:val="002C4446"/>
    <w:rsid w:val="002C4D80"/>
    <w:rsid w:val="002C52B8"/>
    <w:rsid w:val="002C650E"/>
    <w:rsid w:val="002C6574"/>
    <w:rsid w:val="002C677C"/>
    <w:rsid w:val="002C6F25"/>
    <w:rsid w:val="002C76B8"/>
    <w:rsid w:val="002C7CC9"/>
    <w:rsid w:val="002C7E02"/>
    <w:rsid w:val="002D00C5"/>
    <w:rsid w:val="002D071E"/>
    <w:rsid w:val="002D0779"/>
    <w:rsid w:val="002D07D8"/>
    <w:rsid w:val="002D07EA"/>
    <w:rsid w:val="002D1DD3"/>
    <w:rsid w:val="002D1F46"/>
    <w:rsid w:val="002D27E1"/>
    <w:rsid w:val="002D2E27"/>
    <w:rsid w:val="002D30D7"/>
    <w:rsid w:val="002D3232"/>
    <w:rsid w:val="002D3784"/>
    <w:rsid w:val="002D3971"/>
    <w:rsid w:val="002D3A0D"/>
    <w:rsid w:val="002D40CE"/>
    <w:rsid w:val="002D433D"/>
    <w:rsid w:val="002D4366"/>
    <w:rsid w:val="002D4DF0"/>
    <w:rsid w:val="002D59FD"/>
    <w:rsid w:val="002D5A4B"/>
    <w:rsid w:val="002D63F9"/>
    <w:rsid w:val="002D64DA"/>
    <w:rsid w:val="002D6771"/>
    <w:rsid w:val="002D6E7E"/>
    <w:rsid w:val="002D6F71"/>
    <w:rsid w:val="002D70C4"/>
    <w:rsid w:val="002D7108"/>
    <w:rsid w:val="002D75A6"/>
    <w:rsid w:val="002D7C8C"/>
    <w:rsid w:val="002E02FC"/>
    <w:rsid w:val="002E03A4"/>
    <w:rsid w:val="002E0A76"/>
    <w:rsid w:val="002E0CA9"/>
    <w:rsid w:val="002E1BCD"/>
    <w:rsid w:val="002E20CE"/>
    <w:rsid w:val="002E21B5"/>
    <w:rsid w:val="002E2543"/>
    <w:rsid w:val="002E298E"/>
    <w:rsid w:val="002E2FB4"/>
    <w:rsid w:val="002E2FEA"/>
    <w:rsid w:val="002E2FFC"/>
    <w:rsid w:val="002E30DA"/>
    <w:rsid w:val="002E3387"/>
    <w:rsid w:val="002E3996"/>
    <w:rsid w:val="002E3D9B"/>
    <w:rsid w:val="002E52A4"/>
    <w:rsid w:val="002E52BC"/>
    <w:rsid w:val="002E5436"/>
    <w:rsid w:val="002E58CB"/>
    <w:rsid w:val="002E5AAF"/>
    <w:rsid w:val="002E5F86"/>
    <w:rsid w:val="002E607D"/>
    <w:rsid w:val="002E61E1"/>
    <w:rsid w:val="002E6493"/>
    <w:rsid w:val="002E64F8"/>
    <w:rsid w:val="002E66BB"/>
    <w:rsid w:val="002E6776"/>
    <w:rsid w:val="002E69C7"/>
    <w:rsid w:val="002E6AD7"/>
    <w:rsid w:val="002E6F4D"/>
    <w:rsid w:val="002E7071"/>
    <w:rsid w:val="002E72AE"/>
    <w:rsid w:val="002E7302"/>
    <w:rsid w:val="002E7C85"/>
    <w:rsid w:val="002F0712"/>
    <w:rsid w:val="002F07E5"/>
    <w:rsid w:val="002F0924"/>
    <w:rsid w:val="002F0A72"/>
    <w:rsid w:val="002F16B3"/>
    <w:rsid w:val="002F1F83"/>
    <w:rsid w:val="002F2C95"/>
    <w:rsid w:val="002F3041"/>
    <w:rsid w:val="002F30B0"/>
    <w:rsid w:val="002F35A7"/>
    <w:rsid w:val="002F3CE6"/>
    <w:rsid w:val="002F3F7E"/>
    <w:rsid w:val="002F4069"/>
    <w:rsid w:val="002F45DB"/>
    <w:rsid w:val="002F4678"/>
    <w:rsid w:val="002F4CF1"/>
    <w:rsid w:val="002F4D5D"/>
    <w:rsid w:val="002F5707"/>
    <w:rsid w:val="002F644F"/>
    <w:rsid w:val="002F6C87"/>
    <w:rsid w:val="002F6E71"/>
    <w:rsid w:val="002F70DE"/>
    <w:rsid w:val="002F73E6"/>
    <w:rsid w:val="002F7C1A"/>
    <w:rsid w:val="002F7C36"/>
    <w:rsid w:val="0030019E"/>
    <w:rsid w:val="00300393"/>
    <w:rsid w:val="003008AC"/>
    <w:rsid w:val="00300BE2"/>
    <w:rsid w:val="00300F34"/>
    <w:rsid w:val="0030172B"/>
    <w:rsid w:val="00302BD3"/>
    <w:rsid w:val="00303000"/>
    <w:rsid w:val="00303312"/>
    <w:rsid w:val="0030394E"/>
    <w:rsid w:val="00303BA0"/>
    <w:rsid w:val="00303E14"/>
    <w:rsid w:val="003045E7"/>
    <w:rsid w:val="003049B5"/>
    <w:rsid w:val="00304C4D"/>
    <w:rsid w:val="003051F1"/>
    <w:rsid w:val="00305DA8"/>
    <w:rsid w:val="00305EC8"/>
    <w:rsid w:val="0030613F"/>
    <w:rsid w:val="00306635"/>
    <w:rsid w:val="003067DC"/>
    <w:rsid w:val="003068AF"/>
    <w:rsid w:val="00306CC7"/>
    <w:rsid w:val="00306F4A"/>
    <w:rsid w:val="00307512"/>
    <w:rsid w:val="003079E3"/>
    <w:rsid w:val="00307D3B"/>
    <w:rsid w:val="00307F2B"/>
    <w:rsid w:val="00307FEB"/>
    <w:rsid w:val="0031049A"/>
    <w:rsid w:val="00310AAA"/>
    <w:rsid w:val="0031135D"/>
    <w:rsid w:val="00311693"/>
    <w:rsid w:val="00311B32"/>
    <w:rsid w:val="00311F49"/>
    <w:rsid w:val="00311FCE"/>
    <w:rsid w:val="003121DB"/>
    <w:rsid w:val="003122EB"/>
    <w:rsid w:val="00312684"/>
    <w:rsid w:val="003128A7"/>
    <w:rsid w:val="00312F41"/>
    <w:rsid w:val="00313336"/>
    <w:rsid w:val="00313447"/>
    <w:rsid w:val="00313880"/>
    <w:rsid w:val="00314B8C"/>
    <w:rsid w:val="00315487"/>
    <w:rsid w:val="003155F4"/>
    <w:rsid w:val="00315665"/>
    <w:rsid w:val="003156FD"/>
    <w:rsid w:val="00315788"/>
    <w:rsid w:val="003159A4"/>
    <w:rsid w:val="00316AB5"/>
    <w:rsid w:val="0031769A"/>
    <w:rsid w:val="003200AD"/>
    <w:rsid w:val="00320FC5"/>
    <w:rsid w:val="00321D6C"/>
    <w:rsid w:val="00321EEA"/>
    <w:rsid w:val="0032215C"/>
    <w:rsid w:val="003225B9"/>
    <w:rsid w:val="00322B6E"/>
    <w:rsid w:val="00322F73"/>
    <w:rsid w:val="00323085"/>
    <w:rsid w:val="00323BB7"/>
    <w:rsid w:val="00324933"/>
    <w:rsid w:val="003249B3"/>
    <w:rsid w:val="00324A0E"/>
    <w:rsid w:val="00324F3B"/>
    <w:rsid w:val="0032570B"/>
    <w:rsid w:val="00325A91"/>
    <w:rsid w:val="00325B65"/>
    <w:rsid w:val="0032631E"/>
    <w:rsid w:val="003268E9"/>
    <w:rsid w:val="00327072"/>
    <w:rsid w:val="0032735B"/>
    <w:rsid w:val="003273D1"/>
    <w:rsid w:val="003275C2"/>
    <w:rsid w:val="00327610"/>
    <w:rsid w:val="003278A6"/>
    <w:rsid w:val="00327A47"/>
    <w:rsid w:val="00327D20"/>
    <w:rsid w:val="00327F78"/>
    <w:rsid w:val="00330385"/>
    <w:rsid w:val="00330573"/>
    <w:rsid w:val="00330996"/>
    <w:rsid w:val="00330CC6"/>
    <w:rsid w:val="00331151"/>
    <w:rsid w:val="003313CD"/>
    <w:rsid w:val="00331B1D"/>
    <w:rsid w:val="00332067"/>
    <w:rsid w:val="0033284A"/>
    <w:rsid w:val="00332A85"/>
    <w:rsid w:val="003332B8"/>
    <w:rsid w:val="003338DB"/>
    <w:rsid w:val="00334520"/>
    <w:rsid w:val="00334902"/>
    <w:rsid w:val="00334C4E"/>
    <w:rsid w:val="003355F7"/>
    <w:rsid w:val="00335F19"/>
    <w:rsid w:val="00337459"/>
    <w:rsid w:val="003374E2"/>
    <w:rsid w:val="00337A5A"/>
    <w:rsid w:val="00337BBA"/>
    <w:rsid w:val="00340751"/>
    <w:rsid w:val="003408B9"/>
    <w:rsid w:val="00340A4F"/>
    <w:rsid w:val="00340C88"/>
    <w:rsid w:val="00341835"/>
    <w:rsid w:val="00342148"/>
    <w:rsid w:val="0034289E"/>
    <w:rsid w:val="00342D42"/>
    <w:rsid w:val="003437DF"/>
    <w:rsid w:val="00343F16"/>
    <w:rsid w:val="003442F8"/>
    <w:rsid w:val="00344611"/>
    <w:rsid w:val="00344EFA"/>
    <w:rsid w:val="0034517F"/>
    <w:rsid w:val="00345BD8"/>
    <w:rsid w:val="003461C1"/>
    <w:rsid w:val="00346735"/>
    <w:rsid w:val="00346861"/>
    <w:rsid w:val="00346BA2"/>
    <w:rsid w:val="00346BBB"/>
    <w:rsid w:val="00346C4C"/>
    <w:rsid w:val="00346CF6"/>
    <w:rsid w:val="00346F71"/>
    <w:rsid w:val="00347329"/>
    <w:rsid w:val="00347673"/>
    <w:rsid w:val="0034772D"/>
    <w:rsid w:val="00347941"/>
    <w:rsid w:val="00347C58"/>
    <w:rsid w:val="00350C6A"/>
    <w:rsid w:val="00351040"/>
    <w:rsid w:val="0035111C"/>
    <w:rsid w:val="00352484"/>
    <w:rsid w:val="003525AE"/>
    <w:rsid w:val="00352698"/>
    <w:rsid w:val="00352800"/>
    <w:rsid w:val="00352892"/>
    <w:rsid w:val="00352BC1"/>
    <w:rsid w:val="00352F71"/>
    <w:rsid w:val="00352FC6"/>
    <w:rsid w:val="0035303E"/>
    <w:rsid w:val="00353788"/>
    <w:rsid w:val="00353A0E"/>
    <w:rsid w:val="003540DF"/>
    <w:rsid w:val="00354387"/>
    <w:rsid w:val="0035495B"/>
    <w:rsid w:val="003556C6"/>
    <w:rsid w:val="00356121"/>
    <w:rsid w:val="003563E5"/>
    <w:rsid w:val="00356614"/>
    <w:rsid w:val="003567A7"/>
    <w:rsid w:val="00357056"/>
    <w:rsid w:val="003571FB"/>
    <w:rsid w:val="00357570"/>
    <w:rsid w:val="0036031F"/>
    <w:rsid w:val="003604D5"/>
    <w:rsid w:val="00360F21"/>
    <w:rsid w:val="0036100F"/>
    <w:rsid w:val="0036159F"/>
    <w:rsid w:val="00361BAA"/>
    <w:rsid w:val="00361BFC"/>
    <w:rsid w:val="003621CE"/>
    <w:rsid w:val="003622D9"/>
    <w:rsid w:val="003623B2"/>
    <w:rsid w:val="00362539"/>
    <w:rsid w:val="003630A9"/>
    <w:rsid w:val="00363110"/>
    <w:rsid w:val="003639E5"/>
    <w:rsid w:val="003639FE"/>
    <w:rsid w:val="00363AB6"/>
    <w:rsid w:val="00363CB9"/>
    <w:rsid w:val="00363F94"/>
    <w:rsid w:val="00363FCF"/>
    <w:rsid w:val="00364588"/>
    <w:rsid w:val="00364BB2"/>
    <w:rsid w:val="003651E3"/>
    <w:rsid w:val="003652DA"/>
    <w:rsid w:val="00365831"/>
    <w:rsid w:val="003663B7"/>
    <w:rsid w:val="003664F3"/>
    <w:rsid w:val="0036677C"/>
    <w:rsid w:val="0036686F"/>
    <w:rsid w:val="00366B73"/>
    <w:rsid w:val="00366E92"/>
    <w:rsid w:val="0036701B"/>
    <w:rsid w:val="00367110"/>
    <w:rsid w:val="00367B78"/>
    <w:rsid w:val="00367C86"/>
    <w:rsid w:val="00367CD9"/>
    <w:rsid w:val="00367D80"/>
    <w:rsid w:val="00367F98"/>
    <w:rsid w:val="003706AA"/>
    <w:rsid w:val="0037073C"/>
    <w:rsid w:val="00370D3F"/>
    <w:rsid w:val="00371294"/>
    <w:rsid w:val="003713CB"/>
    <w:rsid w:val="00371669"/>
    <w:rsid w:val="0037189D"/>
    <w:rsid w:val="00371C48"/>
    <w:rsid w:val="0037225A"/>
    <w:rsid w:val="003725FE"/>
    <w:rsid w:val="00372C8C"/>
    <w:rsid w:val="0037343F"/>
    <w:rsid w:val="00373494"/>
    <w:rsid w:val="00373E0B"/>
    <w:rsid w:val="00373E74"/>
    <w:rsid w:val="00373EDF"/>
    <w:rsid w:val="00375005"/>
    <w:rsid w:val="0037506B"/>
    <w:rsid w:val="00375BE3"/>
    <w:rsid w:val="00375F26"/>
    <w:rsid w:val="00377081"/>
    <w:rsid w:val="00377303"/>
    <w:rsid w:val="00377472"/>
    <w:rsid w:val="00377C14"/>
    <w:rsid w:val="003800AA"/>
    <w:rsid w:val="0038086E"/>
    <w:rsid w:val="00380A7A"/>
    <w:rsid w:val="003810DA"/>
    <w:rsid w:val="00381CD5"/>
    <w:rsid w:val="00381E20"/>
    <w:rsid w:val="003820DF"/>
    <w:rsid w:val="00382384"/>
    <w:rsid w:val="003823D7"/>
    <w:rsid w:val="003829B0"/>
    <w:rsid w:val="003830E2"/>
    <w:rsid w:val="00383B2A"/>
    <w:rsid w:val="00384342"/>
    <w:rsid w:val="00384B0C"/>
    <w:rsid w:val="00384CBE"/>
    <w:rsid w:val="00384D6C"/>
    <w:rsid w:val="00384F61"/>
    <w:rsid w:val="003854E8"/>
    <w:rsid w:val="00385643"/>
    <w:rsid w:val="00385B21"/>
    <w:rsid w:val="003862AC"/>
    <w:rsid w:val="003862D4"/>
    <w:rsid w:val="00386611"/>
    <w:rsid w:val="00386812"/>
    <w:rsid w:val="00386DE1"/>
    <w:rsid w:val="00386FCD"/>
    <w:rsid w:val="003907B5"/>
    <w:rsid w:val="00390C05"/>
    <w:rsid w:val="003922A3"/>
    <w:rsid w:val="0039246A"/>
    <w:rsid w:val="003927F6"/>
    <w:rsid w:val="00392A19"/>
    <w:rsid w:val="00392BA6"/>
    <w:rsid w:val="00392E00"/>
    <w:rsid w:val="003932EF"/>
    <w:rsid w:val="003937E9"/>
    <w:rsid w:val="00394242"/>
    <w:rsid w:val="00394675"/>
    <w:rsid w:val="0039474A"/>
    <w:rsid w:val="0039510A"/>
    <w:rsid w:val="00395430"/>
    <w:rsid w:val="00395AEF"/>
    <w:rsid w:val="00396432"/>
    <w:rsid w:val="0039697A"/>
    <w:rsid w:val="003969F6"/>
    <w:rsid w:val="00397048"/>
    <w:rsid w:val="00397371"/>
    <w:rsid w:val="00397867"/>
    <w:rsid w:val="00397FFA"/>
    <w:rsid w:val="003A04EC"/>
    <w:rsid w:val="003A06CD"/>
    <w:rsid w:val="003A0DBF"/>
    <w:rsid w:val="003A0E64"/>
    <w:rsid w:val="003A0EBF"/>
    <w:rsid w:val="003A1C1E"/>
    <w:rsid w:val="003A1CE3"/>
    <w:rsid w:val="003A1F04"/>
    <w:rsid w:val="003A26D4"/>
    <w:rsid w:val="003A2934"/>
    <w:rsid w:val="003A2CAB"/>
    <w:rsid w:val="003A3245"/>
    <w:rsid w:val="003A3E42"/>
    <w:rsid w:val="003A3EED"/>
    <w:rsid w:val="003A3FCC"/>
    <w:rsid w:val="003A4391"/>
    <w:rsid w:val="003A4588"/>
    <w:rsid w:val="003A4826"/>
    <w:rsid w:val="003A4848"/>
    <w:rsid w:val="003A49FE"/>
    <w:rsid w:val="003A4B0E"/>
    <w:rsid w:val="003A4C0A"/>
    <w:rsid w:val="003A557F"/>
    <w:rsid w:val="003A58D1"/>
    <w:rsid w:val="003A5AD4"/>
    <w:rsid w:val="003A60EF"/>
    <w:rsid w:val="003A6411"/>
    <w:rsid w:val="003A64F3"/>
    <w:rsid w:val="003A6556"/>
    <w:rsid w:val="003A6BB2"/>
    <w:rsid w:val="003A6BF4"/>
    <w:rsid w:val="003A706A"/>
    <w:rsid w:val="003A747F"/>
    <w:rsid w:val="003A75AB"/>
    <w:rsid w:val="003A782D"/>
    <w:rsid w:val="003A7D76"/>
    <w:rsid w:val="003B0046"/>
    <w:rsid w:val="003B0316"/>
    <w:rsid w:val="003B06AD"/>
    <w:rsid w:val="003B0772"/>
    <w:rsid w:val="003B0D73"/>
    <w:rsid w:val="003B1333"/>
    <w:rsid w:val="003B1B59"/>
    <w:rsid w:val="003B1D12"/>
    <w:rsid w:val="003B22AA"/>
    <w:rsid w:val="003B22DA"/>
    <w:rsid w:val="003B23FB"/>
    <w:rsid w:val="003B262D"/>
    <w:rsid w:val="003B2BB8"/>
    <w:rsid w:val="003B3026"/>
    <w:rsid w:val="003B36F0"/>
    <w:rsid w:val="003B388E"/>
    <w:rsid w:val="003B3999"/>
    <w:rsid w:val="003B3D58"/>
    <w:rsid w:val="003B3D95"/>
    <w:rsid w:val="003B3E37"/>
    <w:rsid w:val="003B3F1F"/>
    <w:rsid w:val="003B4403"/>
    <w:rsid w:val="003B441D"/>
    <w:rsid w:val="003B470E"/>
    <w:rsid w:val="003B4A3B"/>
    <w:rsid w:val="003B4D04"/>
    <w:rsid w:val="003B4DB4"/>
    <w:rsid w:val="003B54AC"/>
    <w:rsid w:val="003B5596"/>
    <w:rsid w:val="003B588F"/>
    <w:rsid w:val="003B5F97"/>
    <w:rsid w:val="003B68D2"/>
    <w:rsid w:val="003B6B5C"/>
    <w:rsid w:val="003B7946"/>
    <w:rsid w:val="003B7A61"/>
    <w:rsid w:val="003B7DDF"/>
    <w:rsid w:val="003C02F9"/>
    <w:rsid w:val="003C0AB6"/>
    <w:rsid w:val="003C0C20"/>
    <w:rsid w:val="003C1B9D"/>
    <w:rsid w:val="003C1BEB"/>
    <w:rsid w:val="003C22FF"/>
    <w:rsid w:val="003C330A"/>
    <w:rsid w:val="003C334F"/>
    <w:rsid w:val="003C36E8"/>
    <w:rsid w:val="003C3B27"/>
    <w:rsid w:val="003C415F"/>
    <w:rsid w:val="003C4413"/>
    <w:rsid w:val="003C4792"/>
    <w:rsid w:val="003C4920"/>
    <w:rsid w:val="003C4BA3"/>
    <w:rsid w:val="003C5139"/>
    <w:rsid w:val="003C51E6"/>
    <w:rsid w:val="003C52C3"/>
    <w:rsid w:val="003C74D3"/>
    <w:rsid w:val="003C7BA2"/>
    <w:rsid w:val="003C7FDD"/>
    <w:rsid w:val="003D041C"/>
    <w:rsid w:val="003D06DB"/>
    <w:rsid w:val="003D20E0"/>
    <w:rsid w:val="003D2B7B"/>
    <w:rsid w:val="003D3321"/>
    <w:rsid w:val="003D34FF"/>
    <w:rsid w:val="003D36B5"/>
    <w:rsid w:val="003D3A4D"/>
    <w:rsid w:val="003D3B7F"/>
    <w:rsid w:val="003D3BEE"/>
    <w:rsid w:val="003D445F"/>
    <w:rsid w:val="003D5683"/>
    <w:rsid w:val="003D56C4"/>
    <w:rsid w:val="003D570C"/>
    <w:rsid w:val="003D579C"/>
    <w:rsid w:val="003D6CCE"/>
    <w:rsid w:val="003D6E31"/>
    <w:rsid w:val="003D7356"/>
    <w:rsid w:val="003D75CB"/>
    <w:rsid w:val="003D76AC"/>
    <w:rsid w:val="003D79A6"/>
    <w:rsid w:val="003E06DC"/>
    <w:rsid w:val="003E08DE"/>
    <w:rsid w:val="003E0E2B"/>
    <w:rsid w:val="003E105A"/>
    <w:rsid w:val="003E13D3"/>
    <w:rsid w:val="003E159D"/>
    <w:rsid w:val="003E1703"/>
    <w:rsid w:val="003E1CE2"/>
    <w:rsid w:val="003E2430"/>
    <w:rsid w:val="003E2E62"/>
    <w:rsid w:val="003E3256"/>
    <w:rsid w:val="003E32DB"/>
    <w:rsid w:val="003E34C1"/>
    <w:rsid w:val="003E3996"/>
    <w:rsid w:val="003E3CFE"/>
    <w:rsid w:val="003E40D4"/>
    <w:rsid w:val="003E4B7C"/>
    <w:rsid w:val="003E5079"/>
    <w:rsid w:val="003E5366"/>
    <w:rsid w:val="003E578A"/>
    <w:rsid w:val="003E5891"/>
    <w:rsid w:val="003E5E42"/>
    <w:rsid w:val="003E601F"/>
    <w:rsid w:val="003E67C0"/>
    <w:rsid w:val="003E77A2"/>
    <w:rsid w:val="003E7F67"/>
    <w:rsid w:val="003E7FC8"/>
    <w:rsid w:val="003F0018"/>
    <w:rsid w:val="003F043F"/>
    <w:rsid w:val="003F0683"/>
    <w:rsid w:val="003F1030"/>
    <w:rsid w:val="003F138C"/>
    <w:rsid w:val="003F140C"/>
    <w:rsid w:val="003F16CA"/>
    <w:rsid w:val="003F19DC"/>
    <w:rsid w:val="003F2413"/>
    <w:rsid w:val="003F24A6"/>
    <w:rsid w:val="003F2C7B"/>
    <w:rsid w:val="003F2DA2"/>
    <w:rsid w:val="003F3273"/>
    <w:rsid w:val="003F33FB"/>
    <w:rsid w:val="003F3A0B"/>
    <w:rsid w:val="003F3DEE"/>
    <w:rsid w:val="003F3EE2"/>
    <w:rsid w:val="003F3F12"/>
    <w:rsid w:val="003F452A"/>
    <w:rsid w:val="003F48A9"/>
    <w:rsid w:val="003F4B28"/>
    <w:rsid w:val="003F53B7"/>
    <w:rsid w:val="003F55B7"/>
    <w:rsid w:val="003F5A4E"/>
    <w:rsid w:val="003F5B7D"/>
    <w:rsid w:val="003F5B86"/>
    <w:rsid w:val="003F5CF5"/>
    <w:rsid w:val="003F5E15"/>
    <w:rsid w:val="003F6C2A"/>
    <w:rsid w:val="003F6ED7"/>
    <w:rsid w:val="003F76C7"/>
    <w:rsid w:val="00400129"/>
    <w:rsid w:val="0040062A"/>
    <w:rsid w:val="004014A2"/>
    <w:rsid w:val="004016EE"/>
    <w:rsid w:val="00401858"/>
    <w:rsid w:val="0040185D"/>
    <w:rsid w:val="0040191B"/>
    <w:rsid w:val="00401A4B"/>
    <w:rsid w:val="00401A9B"/>
    <w:rsid w:val="00401D3B"/>
    <w:rsid w:val="00402201"/>
    <w:rsid w:val="004024C2"/>
    <w:rsid w:val="0040298F"/>
    <w:rsid w:val="00402A46"/>
    <w:rsid w:val="00402E05"/>
    <w:rsid w:val="0040336F"/>
    <w:rsid w:val="004039DB"/>
    <w:rsid w:val="004039F5"/>
    <w:rsid w:val="00404298"/>
    <w:rsid w:val="0040472E"/>
    <w:rsid w:val="00405165"/>
    <w:rsid w:val="00405876"/>
    <w:rsid w:val="00406420"/>
    <w:rsid w:val="00407024"/>
    <w:rsid w:val="004072AD"/>
    <w:rsid w:val="00407570"/>
    <w:rsid w:val="0040763E"/>
    <w:rsid w:val="00407A94"/>
    <w:rsid w:val="00407CE9"/>
    <w:rsid w:val="00410841"/>
    <w:rsid w:val="00410949"/>
    <w:rsid w:val="00410980"/>
    <w:rsid w:val="004111AB"/>
    <w:rsid w:val="004118A8"/>
    <w:rsid w:val="00412214"/>
    <w:rsid w:val="00412AD0"/>
    <w:rsid w:val="00412E39"/>
    <w:rsid w:val="004130F2"/>
    <w:rsid w:val="004138AE"/>
    <w:rsid w:val="0041412A"/>
    <w:rsid w:val="0041436F"/>
    <w:rsid w:val="004146FD"/>
    <w:rsid w:val="00414717"/>
    <w:rsid w:val="00414B1D"/>
    <w:rsid w:val="00414B73"/>
    <w:rsid w:val="00415282"/>
    <w:rsid w:val="00415434"/>
    <w:rsid w:val="004159CE"/>
    <w:rsid w:val="00415ACE"/>
    <w:rsid w:val="00415B5C"/>
    <w:rsid w:val="00415C58"/>
    <w:rsid w:val="00415C77"/>
    <w:rsid w:val="0041645A"/>
    <w:rsid w:val="004167B8"/>
    <w:rsid w:val="004168A5"/>
    <w:rsid w:val="00416A5D"/>
    <w:rsid w:val="00416B6F"/>
    <w:rsid w:val="00416DB3"/>
    <w:rsid w:val="00417098"/>
    <w:rsid w:val="0041723A"/>
    <w:rsid w:val="00417730"/>
    <w:rsid w:val="00417DF7"/>
    <w:rsid w:val="00420E28"/>
    <w:rsid w:val="00420F07"/>
    <w:rsid w:val="00421787"/>
    <w:rsid w:val="00421F32"/>
    <w:rsid w:val="0042201A"/>
    <w:rsid w:val="004221EB"/>
    <w:rsid w:val="00422259"/>
    <w:rsid w:val="00422F11"/>
    <w:rsid w:val="00423D5F"/>
    <w:rsid w:val="004243FD"/>
    <w:rsid w:val="004245DE"/>
    <w:rsid w:val="00425090"/>
    <w:rsid w:val="004250ED"/>
    <w:rsid w:val="0042514A"/>
    <w:rsid w:val="00425720"/>
    <w:rsid w:val="00425A99"/>
    <w:rsid w:val="00426164"/>
    <w:rsid w:val="00426313"/>
    <w:rsid w:val="00426619"/>
    <w:rsid w:val="00426671"/>
    <w:rsid w:val="004267DB"/>
    <w:rsid w:val="00426867"/>
    <w:rsid w:val="00427DC4"/>
    <w:rsid w:val="00430774"/>
    <w:rsid w:val="00430FF9"/>
    <w:rsid w:val="004325B1"/>
    <w:rsid w:val="004325D8"/>
    <w:rsid w:val="00432670"/>
    <w:rsid w:val="00432691"/>
    <w:rsid w:val="00432EAE"/>
    <w:rsid w:val="00433149"/>
    <w:rsid w:val="004331F1"/>
    <w:rsid w:val="00433474"/>
    <w:rsid w:val="0043361B"/>
    <w:rsid w:val="0043383B"/>
    <w:rsid w:val="00433A60"/>
    <w:rsid w:val="0043498C"/>
    <w:rsid w:val="00434B40"/>
    <w:rsid w:val="004358AB"/>
    <w:rsid w:val="00435ACB"/>
    <w:rsid w:val="00435F38"/>
    <w:rsid w:val="00435F8B"/>
    <w:rsid w:val="00436528"/>
    <w:rsid w:val="00436600"/>
    <w:rsid w:val="00436C43"/>
    <w:rsid w:val="004371F1"/>
    <w:rsid w:val="004375EE"/>
    <w:rsid w:val="00437ADF"/>
    <w:rsid w:val="00437CBF"/>
    <w:rsid w:val="00437FBE"/>
    <w:rsid w:val="00440997"/>
    <w:rsid w:val="00440AA2"/>
    <w:rsid w:val="00440FDF"/>
    <w:rsid w:val="004412F1"/>
    <w:rsid w:val="00441683"/>
    <w:rsid w:val="00441824"/>
    <w:rsid w:val="00441B99"/>
    <w:rsid w:val="00442037"/>
    <w:rsid w:val="0044230E"/>
    <w:rsid w:val="00442419"/>
    <w:rsid w:val="0044330B"/>
    <w:rsid w:val="004436B3"/>
    <w:rsid w:val="00443E28"/>
    <w:rsid w:val="00443EEA"/>
    <w:rsid w:val="00444008"/>
    <w:rsid w:val="0044415B"/>
    <w:rsid w:val="004446F7"/>
    <w:rsid w:val="00444AE4"/>
    <w:rsid w:val="00444B9B"/>
    <w:rsid w:val="00444ED6"/>
    <w:rsid w:val="00445775"/>
    <w:rsid w:val="0044585C"/>
    <w:rsid w:val="004459A6"/>
    <w:rsid w:val="00445CFD"/>
    <w:rsid w:val="004475E2"/>
    <w:rsid w:val="00447AD7"/>
    <w:rsid w:val="004500C5"/>
    <w:rsid w:val="00450470"/>
    <w:rsid w:val="00450746"/>
    <w:rsid w:val="0045081D"/>
    <w:rsid w:val="00450A24"/>
    <w:rsid w:val="00450C2E"/>
    <w:rsid w:val="00450C86"/>
    <w:rsid w:val="004517AE"/>
    <w:rsid w:val="00451827"/>
    <w:rsid w:val="00451B50"/>
    <w:rsid w:val="0045224E"/>
    <w:rsid w:val="004524DC"/>
    <w:rsid w:val="00452597"/>
    <w:rsid w:val="00452B57"/>
    <w:rsid w:val="00452E97"/>
    <w:rsid w:val="004530D1"/>
    <w:rsid w:val="00453633"/>
    <w:rsid w:val="00453AE7"/>
    <w:rsid w:val="004540CE"/>
    <w:rsid w:val="00454400"/>
    <w:rsid w:val="0045444A"/>
    <w:rsid w:val="00454A60"/>
    <w:rsid w:val="00454EAF"/>
    <w:rsid w:val="00455485"/>
    <w:rsid w:val="004556C2"/>
    <w:rsid w:val="00455B6C"/>
    <w:rsid w:val="00455BB6"/>
    <w:rsid w:val="00455E26"/>
    <w:rsid w:val="0045753D"/>
    <w:rsid w:val="00457696"/>
    <w:rsid w:val="004576E2"/>
    <w:rsid w:val="00457914"/>
    <w:rsid w:val="00457C16"/>
    <w:rsid w:val="00457EF1"/>
    <w:rsid w:val="00457F13"/>
    <w:rsid w:val="0046005F"/>
    <w:rsid w:val="00460874"/>
    <w:rsid w:val="00460985"/>
    <w:rsid w:val="00460F9B"/>
    <w:rsid w:val="0046101A"/>
    <w:rsid w:val="004612C5"/>
    <w:rsid w:val="004618F9"/>
    <w:rsid w:val="00461D37"/>
    <w:rsid w:val="00461E03"/>
    <w:rsid w:val="00462322"/>
    <w:rsid w:val="004624AC"/>
    <w:rsid w:val="00462784"/>
    <w:rsid w:val="00462A43"/>
    <w:rsid w:val="00462F68"/>
    <w:rsid w:val="00463231"/>
    <w:rsid w:val="00465495"/>
    <w:rsid w:val="0046750B"/>
    <w:rsid w:val="00467593"/>
    <w:rsid w:val="00470221"/>
    <w:rsid w:val="004706A9"/>
    <w:rsid w:val="00470831"/>
    <w:rsid w:val="0047095D"/>
    <w:rsid w:val="00470A91"/>
    <w:rsid w:val="004710C1"/>
    <w:rsid w:val="004714BB"/>
    <w:rsid w:val="00471795"/>
    <w:rsid w:val="004720BD"/>
    <w:rsid w:val="0047244C"/>
    <w:rsid w:val="0047274E"/>
    <w:rsid w:val="00472A1B"/>
    <w:rsid w:val="00472C3C"/>
    <w:rsid w:val="004730D2"/>
    <w:rsid w:val="004732B1"/>
    <w:rsid w:val="0047385F"/>
    <w:rsid w:val="0047398F"/>
    <w:rsid w:val="00473EC2"/>
    <w:rsid w:val="0047475D"/>
    <w:rsid w:val="00474CBA"/>
    <w:rsid w:val="0047506A"/>
    <w:rsid w:val="004756D8"/>
    <w:rsid w:val="004759AA"/>
    <w:rsid w:val="00475F9C"/>
    <w:rsid w:val="00476288"/>
    <w:rsid w:val="00476332"/>
    <w:rsid w:val="004763F5"/>
    <w:rsid w:val="004764C3"/>
    <w:rsid w:val="00476714"/>
    <w:rsid w:val="0047689B"/>
    <w:rsid w:val="0047693A"/>
    <w:rsid w:val="00476AF0"/>
    <w:rsid w:val="00476B6D"/>
    <w:rsid w:val="00476F96"/>
    <w:rsid w:val="00476FC9"/>
    <w:rsid w:val="00477529"/>
    <w:rsid w:val="00477EF6"/>
    <w:rsid w:val="0048002C"/>
    <w:rsid w:val="0048005E"/>
    <w:rsid w:val="004804B7"/>
    <w:rsid w:val="00480A90"/>
    <w:rsid w:val="00480F08"/>
    <w:rsid w:val="0048162A"/>
    <w:rsid w:val="00481663"/>
    <w:rsid w:val="00481898"/>
    <w:rsid w:val="00481DA8"/>
    <w:rsid w:val="00482375"/>
    <w:rsid w:val="00483157"/>
    <w:rsid w:val="00483420"/>
    <w:rsid w:val="004837A0"/>
    <w:rsid w:val="00484310"/>
    <w:rsid w:val="0048471F"/>
    <w:rsid w:val="0048478F"/>
    <w:rsid w:val="00485019"/>
    <w:rsid w:val="00485235"/>
    <w:rsid w:val="0048563A"/>
    <w:rsid w:val="0048567B"/>
    <w:rsid w:val="00485EBF"/>
    <w:rsid w:val="00485F2E"/>
    <w:rsid w:val="004861C3"/>
    <w:rsid w:val="0048631B"/>
    <w:rsid w:val="004867C9"/>
    <w:rsid w:val="0048690F"/>
    <w:rsid w:val="00486CFC"/>
    <w:rsid w:val="00486D05"/>
    <w:rsid w:val="00487345"/>
    <w:rsid w:val="00487500"/>
    <w:rsid w:val="004876FD"/>
    <w:rsid w:val="004878FA"/>
    <w:rsid w:val="00487ECB"/>
    <w:rsid w:val="0049064A"/>
    <w:rsid w:val="00490CFA"/>
    <w:rsid w:val="004915E5"/>
    <w:rsid w:val="00491E2D"/>
    <w:rsid w:val="0049226B"/>
    <w:rsid w:val="00493345"/>
    <w:rsid w:val="004938A8"/>
    <w:rsid w:val="00493F95"/>
    <w:rsid w:val="00493FB2"/>
    <w:rsid w:val="00494C36"/>
    <w:rsid w:val="00494C88"/>
    <w:rsid w:val="00495051"/>
    <w:rsid w:val="0049543B"/>
    <w:rsid w:val="00495717"/>
    <w:rsid w:val="0049587E"/>
    <w:rsid w:val="00495BE8"/>
    <w:rsid w:val="00495EA2"/>
    <w:rsid w:val="0049617F"/>
    <w:rsid w:val="00496362"/>
    <w:rsid w:val="004964D6"/>
    <w:rsid w:val="00496E51"/>
    <w:rsid w:val="00496F12"/>
    <w:rsid w:val="004970CD"/>
    <w:rsid w:val="00497C8B"/>
    <w:rsid w:val="00497DA3"/>
    <w:rsid w:val="004A001D"/>
    <w:rsid w:val="004A0944"/>
    <w:rsid w:val="004A0988"/>
    <w:rsid w:val="004A0C19"/>
    <w:rsid w:val="004A1932"/>
    <w:rsid w:val="004A19A4"/>
    <w:rsid w:val="004A1EBE"/>
    <w:rsid w:val="004A2068"/>
    <w:rsid w:val="004A4084"/>
    <w:rsid w:val="004A4851"/>
    <w:rsid w:val="004A49EE"/>
    <w:rsid w:val="004A4F16"/>
    <w:rsid w:val="004A4F3C"/>
    <w:rsid w:val="004A513E"/>
    <w:rsid w:val="004A5813"/>
    <w:rsid w:val="004A5950"/>
    <w:rsid w:val="004A5BB3"/>
    <w:rsid w:val="004A5F79"/>
    <w:rsid w:val="004A61C6"/>
    <w:rsid w:val="004A61DD"/>
    <w:rsid w:val="004A6618"/>
    <w:rsid w:val="004A7A6A"/>
    <w:rsid w:val="004A7BD5"/>
    <w:rsid w:val="004A7C72"/>
    <w:rsid w:val="004A7CA4"/>
    <w:rsid w:val="004B0108"/>
    <w:rsid w:val="004B0566"/>
    <w:rsid w:val="004B060B"/>
    <w:rsid w:val="004B079A"/>
    <w:rsid w:val="004B1263"/>
    <w:rsid w:val="004B13A9"/>
    <w:rsid w:val="004B1725"/>
    <w:rsid w:val="004B1D38"/>
    <w:rsid w:val="004B278C"/>
    <w:rsid w:val="004B2828"/>
    <w:rsid w:val="004B292A"/>
    <w:rsid w:val="004B2C4B"/>
    <w:rsid w:val="004B33F0"/>
    <w:rsid w:val="004B3957"/>
    <w:rsid w:val="004B3A18"/>
    <w:rsid w:val="004B3B20"/>
    <w:rsid w:val="004B44AC"/>
    <w:rsid w:val="004B4811"/>
    <w:rsid w:val="004B54CA"/>
    <w:rsid w:val="004B581C"/>
    <w:rsid w:val="004B58C7"/>
    <w:rsid w:val="004B5BE4"/>
    <w:rsid w:val="004B5C76"/>
    <w:rsid w:val="004B643D"/>
    <w:rsid w:val="004B70AE"/>
    <w:rsid w:val="004B7133"/>
    <w:rsid w:val="004B78FD"/>
    <w:rsid w:val="004B79E7"/>
    <w:rsid w:val="004B7A98"/>
    <w:rsid w:val="004B7F89"/>
    <w:rsid w:val="004C01DB"/>
    <w:rsid w:val="004C06A9"/>
    <w:rsid w:val="004C0935"/>
    <w:rsid w:val="004C093A"/>
    <w:rsid w:val="004C09A3"/>
    <w:rsid w:val="004C0B8D"/>
    <w:rsid w:val="004C238E"/>
    <w:rsid w:val="004C2BAB"/>
    <w:rsid w:val="004C2CF1"/>
    <w:rsid w:val="004C2D9C"/>
    <w:rsid w:val="004C330F"/>
    <w:rsid w:val="004C38C3"/>
    <w:rsid w:val="004C4076"/>
    <w:rsid w:val="004C41D4"/>
    <w:rsid w:val="004C4734"/>
    <w:rsid w:val="004C4AA4"/>
    <w:rsid w:val="004C4B58"/>
    <w:rsid w:val="004C4FB8"/>
    <w:rsid w:val="004C56B6"/>
    <w:rsid w:val="004C5A27"/>
    <w:rsid w:val="004C5CC9"/>
    <w:rsid w:val="004C6398"/>
    <w:rsid w:val="004C655B"/>
    <w:rsid w:val="004C6BC5"/>
    <w:rsid w:val="004C7A1A"/>
    <w:rsid w:val="004C7C37"/>
    <w:rsid w:val="004C7D29"/>
    <w:rsid w:val="004C7D6E"/>
    <w:rsid w:val="004D0072"/>
    <w:rsid w:val="004D0406"/>
    <w:rsid w:val="004D0C67"/>
    <w:rsid w:val="004D0F9D"/>
    <w:rsid w:val="004D1124"/>
    <w:rsid w:val="004D112C"/>
    <w:rsid w:val="004D119F"/>
    <w:rsid w:val="004D240C"/>
    <w:rsid w:val="004D2EBA"/>
    <w:rsid w:val="004D32B5"/>
    <w:rsid w:val="004D3334"/>
    <w:rsid w:val="004D34E4"/>
    <w:rsid w:val="004D3BFD"/>
    <w:rsid w:val="004D40E9"/>
    <w:rsid w:val="004D41CA"/>
    <w:rsid w:val="004D42DA"/>
    <w:rsid w:val="004D4526"/>
    <w:rsid w:val="004D4724"/>
    <w:rsid w:val="004D4A06"/>
    <w:rsid w:val="004D4A3F"/>
    <w:rsid w:val="004D4D24"/>
    <w:rsid w:val="004D5185"/>
    <w:rsid w:val="004D5413"/>
    <w:rsid w:val="004D5535"/>
    <w:rsid w:val="004D59DA"/>
    <w:rsid w:val="004D5F7D"/>
    <w:rsid w:val="004D5FC7"/>
    <w:rsid w:val="004D60E8"/>
    <w:rsid w:val="004D6442"/>
    <w:rsid w:val="004D6A51"/>
    <w:rsid w:val="004D7158"/>
    <w:rsid w:val="004D718E"/>
    <w:rsid w:val="004D75AC"/>
    <w:rsid w:val="004D7B43"/>
    <w:rsid w:val="004D7B98"/>
    <w:rsid w:val="004D7DCB"/>
    <w:rsid w:val="004D7FDB"/>
    <w:rsid w:val="004E054B"/>
    <w:rsid w:val="004E102B"/>
    <w:rsid w:val="004E116E"/>
    <w:rsid w:val="004E17A4"/>
    <w:rsid w:val="004E22F8"/>
    <w:rsid w:val="004E235F"/>
    <w:rsid w:val="004E2663"/>
    <w:rsid w:val="004E274E"/>
    <w:rsid w:val="004E2DDA"/>
    <w:rsid w:val="004E30CF"/>
    <w:rsid w:val="004E3430"/>
    <w:rsid w:val="004E35EB"/>
    <w:rsid w:val="004E3767"/>
    <w:rsid w:val="004E3879"/>
    <w:rsid w:val="004E3965"/>
    <w:rsid w:val="004E3992"/>
    <w:rsid w:val="004E3BF6"/>
    <w:rsid w:val="004E3C1A"/>
    <w:rsid w:val="004E422E"/>
    <w:rsid w:val="004E461E"/>
    <w:rsid w:val="004E484A"/>
    <w:rsid w:val="004E48F5"/>
    <w:rsid w:val="004E4B18"/>
    <w:rsid w:val="004E4D22"/>
    <w:rsid w:val="004E5118"/>
    <w:rsid w:val="004E526A"/>
    <w:rsid w:val="004E550D"/>
    <w:rsid w:val="004E58B2"/>
    <w:rsid w:val="004E5B31"/>
    <w:rsid w:val="004E5CBF"/>
    <w:rsid w:val="004E7786"/>
    <w:rsid w:val="004E7B7B"/>
    <w:rsid w:val="004F0FBB"/>
    <w:rsid w:val="004F124F"/>
    <w:rsid w:val="004F1662"/>
    <w:rsid w:val="004F25FC"/>
    <w:rsid w:val="004F2A08"/>
    <w:rsid w:val="004F308D"/>
    <w:rsid w:val="004F33B8"/>
    <w:rsid w:val="004F3B69"/>
    <w:rsid w:val="004F3F3C"/>
    <w:rsid w:val="004F448C"/>
    <w:rsid w:val="004F45DD"/>
    <w:rsid w:val="004F4741"/>
    <w:rsid w:val="004F5086"/>
    <w:rsid w:val="004F5522"/>
    <w:rsid w:val="004F6250"/>
    <w:rsid w:val="004F630F"/>
    <w:rsid w:val="004F6441"/>
    <w:rsid w:val="004F66BA"/>
    <w:rsid w:val="004F71E8"/>
    <w:rsid w:val="004F727A"/>
    <w:rsid w:val="004F7E57"/>
    <w:rsid w:val="004F7F3D"/>
    <w:rsid w:val="0050030E"/>
    <w:rsid w:val="00500B38"/>
    <w:rsid w:val="005011C5"/>
    <w:rsid w:val="0050157C"/>
    <w:rsid w:val="00501A1A"/>
    <w:rsid w:val="00501AB9"/>
    <w:rsid w:val="00501C05"/>
    <w:rsid w:val="005023E3"/>
    <w:rsid w:val="00503174"/>
    <w:rsid w:val="00503186"/>
    <w:rsid w:val="005032F0"/>
    <w:rsid w:val="00503505"/>
    <w:rsid w:val="0050395F"/>
    <w:rsid w:val="00503ADD"/>
    <w:rsid w:val="0050517F"/>
    <w:rsid w:val="0050593A"/>
    <w:rsid w:val="005061DC"/>
    <w:rsid w:val="0050641A"/>
    <w:rsid w:val="005067DB"/>
    <w:rsid w:val="00506875"/>
    <w:rsid w:val="00506B71"/>
    <w:rsid w:val="00506B86"/>
    <w:rsid w:val="00506BA3"/>
    <w:rsid w:val="00506E69"/>
    <w:rsid w:val="00507165"/>
    <w:rsid w:val="005076EA"/>
    <w:rsid w:val="0050795B"/>
    <w:rsid w:val="0051038C"/>
    <w:rsid w:val="005105D9"/>
    <w:rsid w:val="0051067D"/>
    <w:rsid w:val="00510AE2"/>
    <w:rsid w:val="0051128F"/>
    <w:rsid w:val="005121FF"/>
    <w:rsid w:val="005125E7"/>
    <w:rsid w:val="005128D7"/>
    <w:rsid w:val="00512A43"/>
    <w:rsid w:val="00512F4E"/>
    <w:rsid w:val="00513C14"/>
    <w:rsid w:val="00513CAF"/>
    <w:rsid w:val="0051453C"/>
    <w:rsid w:val="00514E2C"/>
    <w:rsid w:val="00515AB6"/>
    <w:rsid w:val="00515FF7"/>
    <w:rsid w:val="00516019"/>
    <w:rsid w:val="005160ED"/>
    <w:rsid w:val="00516790"/>
    <w:rsid w:val="00516E57"/>
    <w:rsid w:val="00516F57"/>
    <w:rsid w:val="00517094"/>
    <w:rsid w:val="00517187"/>
    <w:rsid w:val="005171C3"/>
    <w:rsid w:val="00517F83"/>
    <w:rsid w:val="005203B8"/>
    <w:rsid w:val="00520DC1"/>
    <w:rsid w:val="00520F92"/>
    <w:rsid w:val="0052126A"/>
    <w:rsid w:val="005214A4"/>
    <w:rsid w:val="00521C27"/>
    <w:rsid w:val="00521D8F"/>
    <w:rsid w:val="005224AD"/>
    <w:rsid w:val="005224C8"/>
    <w:rsid w:val="00522A4F"/>
    <w:rsid w:val="00522CE4"/>
    <w:rsid w:val="00522F75"/>
    <w:rsid w:val="0052305F"/>
    <w:rsid w:val="00523A98"/>
    <w:rsid w:val="00524184"/>
    <w:rsid w:val="005244E5"/>
    <w:rsid w:val="005256E3"/>
    <w:rsid w:val="00525897"/>
    <w:rsid w:val="00525C31"/>
    <w:rsid w:val="00525F06"/>
    <w:rsid w:val="00525F8B"/>
    <w:rsid w:val="00525FBC"/>
    <w:rsid w:val="0052631F"/>
    <w:rsid w:val="00526428"/>
    <w:rsid w:val="0052681D"/>
    <w:rsid w:val="00526886"/>
    <w:rsid w:val="00526989"/>
    <w:rsid w:val="005269A4"/>
    <w:rsid w:val="005279A6"/>
    <w:rsid w:val="00530A61"/>
    <w:rsid w:val="00530AF3"/>
    <w:rsid w:val="00531895"/>
    <w:rsid w:val="00531E4B"/>
    <w:rsid w:val="00532339"/>
    <w:rsid w:val="0053236B"/>
    <w:rsid w:val="005326F8"/>
    <w:rsid w:val="00532EB6"/>
    <w:rsid w:val="005330AE"/>
    <w:rsid w:val="00533131"/>
    <w:rsid w:val="005331A1"/>
    <w:rsid w:val="005334B1"/>
    <w:rsid w:val="00533EF7"/>
    <w:rsid w:val="005345E7"/>
    <w:rsid w:val="00534B9B"/>
    <w:rsid w:val="00535418"/>
    <w:rsid w:val="005354AB"/>
    <w:rsid w:val="00535D97"/>
    <w:rsid w:val="00535F2A"/>
    <w:rsid w:val="00536B91"/>
    <w:rsid w:val="005372F2"/>
    <w:rsid w:val="005373AA"/>
    <w:rsid w:val="005373D0"/>
    <w:rsid w:val="005373E9"/>
    <w:rsid w:val="0053785A"/>
    <w:rsid w:val="00537C7E"/>
    <w:rsid w:val="005400AE"/>
    <w:rsid w:val="00540551"/>
    <w:rsid w:val="0054084C"/>
    <w:rsid w:val="00540B49"/>
    <w:rsid w:val="00540C30"/>
    <w:rsid w:val="00540E98"/>
    <w:rsid w:val="0054145A"/>
    <w:rsid w:val="00541660"/>
    <w:rsid w:val="00541703"/>
    <w:rsid w:val="00542041"/>
    <w:rsid w:val="0054206C"/>
    <w:rsid w:val="0054222F"/>
    <w:rsid w:val="00542BD1"/>
    <w:rsid w:val="00542ED3"/>
    <w:rsid w:val="00543240"/>
    <w:rsid w:val="0054375F"/>
    <w:rsid w:val="0054378A"/>
    <w:rsid w:val="00543AB5"/>
    <w:rsid w:val="00544229"/>
    <w:rsid w:val="005450FE"/>
    <w:rsid w:val="00545397"/>
    <w:rsid w:val="00545AF0"/>
    <w:rsid w:val="00545F72"/>
    <w:rsid w:val="00546350"/>
    <w:rsid w:val="00546486"/>
    <w:rsid w:val="00546F93"/>
    <w:rsid w:val="00547E2D"/>
    <w:rsid w:val="00547FE9"/>
    <w:rsid w:val="00550795"/>
    <w:rsid w:val="00550D8E"/>
    <w:rsid w:val="00550E9A"/>
    <w:rsid w:val="00551803"/>
    <w:rsid w:val="00551F13"/>
    <w:rsid w:val="005520E1"/>
    <w:rsid w:val="0055232A"/>
    <w:rsid w:val="00552336"/>
    <w:rsid w:val="00552D5D"/>
    <w:rsid w:val="00553446"/>
    <w:rsid w:val="0055363D"/>
    <w:rsid w:val="0055366D"/>
    <w:rsid w:val="00553830"/>
    <w:rsid w:val="005538BF"/>
    <w:rsid w:val="005538E4"/>
    <w:rsid w:val="00553995"/>
    <w:rsid w:val="00553C97"/>
    <w:rsid w:val="00554154"/>
    <w:rsid w:val="005544AA"/>
    <w:rsid w:val="0055490A"/>
    <w:rsid w:val="0055492D"/>
    <w:rsid w:val="00554ABE"/>
    <w:rsid w:val="00554C30"/>
    <w:rsid w:val="005551F6"/>
    <w:rsid w:val="00555F1C"/>
    <w:rsid w:val="0055681B"/>
    <w:rsid w:val="00556E9A"/>
    <w:rsid w:val="00556FD8"/>
    <w:rsid w:val="005572DC"/>
    <w:rsid w:val="0055740D"/>
    <w:rsid w:val="00557809"/>
    <w:rsid w:val="00560AB9"/>
    <w:rsid w:val="00560C1B"/>
    <w:rsid w:val="005613E0"/>
    <w:rsid w:val="005616C7"/>
    <w:rsid w:val="00561BD3"/>
    <w:rsid w:val="00562284"/>
    <w:rsid w:val="005626F1"/>
    <w:rsid w:val="00562B83"/>
    <w:rsid w:val="0056302A"/>
    <w:rsid w:val="005632F2"/>
    <w:rsid w:val="005638E2"/>
    <w:rsid w:val="00563B1A"/>
    <w:rsid w:val="00563BEC"/>
    <w:rsid w:val="00563CFB"/>
    <w:rsid w:val="00563D78"/>
    <w:rsid w:val="005641EA"/>
    <w:rsid w:val="005648FD"/>
    <w:rsid w:val="00564943"/>
    <w:rsid w:val="0056498A"/>
    <w:rsid w:val="00565B0B"/>
    <w:rsid w:val="005660B0"/>
    <w:rsid w:val="00566848"/>
    <w:rsid w:val="00566B0A"/>
    <w:rsid w:val="00566F82"/>
    <w:rsid w:val="005671D9"/>
    <w:rsid w:val="0056746C"/>
    <w:rsid w:val="00567683"/>
    <w:rsid w:val="00567891"/>
    <w:rsid w:val="00567EF4"/>
    <w:rsid w:val="00570330"/>
    <w:rsid w:val="00570781"/>
    <w:rsid w:val="005709FB"/>
    <w:rsid w:val="00570AD2"/>
    <w:rsid w:val="005722AF"/>
    <w:rsid w:val="00572315"/>
    <w:rsid w:val="005726CC"/>
    <w:rsid w:val="00572AF4"/>
    <w:rsid w:val="0057319A"/>
    <w:rsid w:val="00573291"/>
    <w:rsid w:val="0057398E"/>
    <w:rsid w:val="00573B0F"/>
    <w:rsid w:val="00573C1C"/>
    <w:rsid w:val="00573D21"/>
    <w:rsid w:val="00574058"/>
    <w:rsid w:val="005743A7"/>
    <w:rsid w:val="00574CF1"/>
    <w:rsid w:val="00574D04"/>
    <w:rsid w:val="00575E8A"/>
    <w:rsid w:val="00576162"/>
    <w:rsid w:val="005775F8"/>
    <w:rsid w:val="005777B7"/>
    <w:rsid w:val="0057796F"/>
    <w:rsid w:val="0058084A"/>
    <w:rsid w:val="00580D11"/>
    <w:rsid w:val="00580D14"/>
    <w:rsid w:val="00581587"/>
    <w:rsid w:val="0058195E"/>
    <w:rsid w:val="00581B09"/>
    <w:rsid w:val="00581DAE"/>
    <w:rsid w:val="0058224A"/>
    <w:rsid w:val="00583740"/>
    <w:rsid w:val="0058398F"/>
    <w:rsid w:val="00583A9E"/>
    <w:rsid w:val="00584012"/>
    <w:rsid w:val="005846CB"/>
    <w:rsid w:val="00584DB0"/>
    <w:rsid w:val="00584E14"/>
    <w:rsid w:val="00585111"/>
    <w:rsid w:val="00585193"/>
    <w:rsid w:val="00585428"/>
    <w:rsid w:val="005856EE"/>
    <w:rsid w:val="00585952"/>
    <w:rsid w:val="00585D19"/>
    <w:rsid w:val="00585DE3"/>
    <w:rsid w:val="00586107"/>
    <w:rsid w:val="00586763"/>
    <w:rsid w:val="00586C79"/>
    <w:rsid w:val="00587073"/>
    <w:rsid w:val="005875DD"/>
    <w:rsid w:val="0058784A"/>
    <w:rsid w:val="00587996"/>
    <w:rsid w:val="00587FDD"/>
    <w:rsid w:val="00590027"/>
    <w:rsid w:val="005909D3"/>
    <w:rsid w:val="00590A5B"/>
    <w:rsid w:val="00591059"/>
    <w:rsid w:val="005910F9"/>
    <w:rsid w:val="00591336"/>
    <w:rsid w:val="00591732"/>
    <w:rsid w:val="00591FC1"/>
    <w:rsid w:val="00592046"/>
    <w:rsid w:val="005927E9"/>
    <w:rsid w:val="00592CEC"/>
    <w:rsid w:val="00592E50"/>
    <w:rsid w:val="00593343"/>
    <w:rsid w:val="00593565"/>
    <w:rsid w:val="005938B8"/>
    <w:rsid w:val="00593917"/>
    <w:rsid w:val="00593B4E"/>
    <w:rsid w:val="00593C73"/>
    <w:rsid w:val="00593CC4"/>
    <w:rsid w:val="00594264"/>
    <w:rsid w:val="00596071"/>
    <w:rsid w:val="0059626B"/>
    <w:rsid w:val="00596575"/>
    <w:rsid w:val="00596B30"/>
    <w:rsid w:val="005976FD"/>
    <w:rsid w:val="0059788B"/>
    <w:rsid w:val="005A02D4"/>
    <w:rsid w:val="005A0985"/>
    <w:rsid w:val="005A09F2"/>
    <w:rsid w:val="005A1094"/>
    <w:rsid w:val="005A1276"/>
    <w:rsid w:val="005A1683"/>
    <w:rsid w:val="005A1743"/>
    <w:rsid w:val="005A2816"/>
    <w:rsid w:val="005A2CAB"/>
    <w:rsid w:val="005A2CE0"/>
    <w:rsid w:val="005A2CFA"/>
    <w:rsid w:val="005A3031"/>
    <w:rsid w:val="005A36D1"/>
    <w:rsid w:val="005A3936"/>
    <w:rsid w:val="005A3B20"/>
    <w:rsid w:val="005A3D8A"/>
    <w:rsid w:val="005A4788"/>
    <w:rsid w:val="005A55EC"/>
    <w:rsid w:val="005A60B7"/>
    <w:rsid w:val="005A6245"/>
    <w:rsid w:val="005A6312"/>
    <w:rsid w:val="005A66AB"/>
    <w:rsid w:val="005A6C7F"/>
    <w:rsid w:val="005A6E0D"/>
    <w:rsid w:val="005A725A"/>
    <w:rsid w:val="005A7AD2"/>
    <w:rsid w:val="005A7AFF"/>
    <w:rsid w:val="005B08F1"/>
    <w:rsid w:val="005B1C0E"/>
    <w:rsid w:val="005B1FF6"/>
    <w:rsid w:val="005B225D"/>
    <w:rsid w:val="005B2A4D"/>
    <w:rsid w:val="005B318C"/>
    <w:rsid w:val="005B3701"/>
    <w:rsid w:val="005B371D"/>
    <w:rsid w:val="005B3D58"/>
    <w:rsid w:val="005B3E4E"/>
    <w:rsid w:val="005B41F5"/>
    <w:rsid w:val="005B4B48"/>
    <w:rsid w:val="005B5B22"/>
    <w:rsid w:val="005B6056"/>
    <w:rsid w:val="005B629F"/>
    <w:rsid w:val="005B63C0"/>
    <w:rsid w:val="005B6565"/>
    <w:rsid w:val="005B6A05"/>
    <w:rsid w:val="005B6E57"/>
    <w:rsid w:val="005B6E63"/>
    <w:rsid w:val="005B6EDD"/>
    <w:rsid w:val="005B6F03"/>
    <w:rsid w:val="005B6F79"/>
    <w:rsid w:val="005B7264"/>
    <w:rsid w:val="005B74B5"/>
    <w:rsid w:val="005B75C7"/>
    <w:rsid w:val="005C01F6"/>
    <w:rsid w:val="005C0265"/>
    <w:rsid w:val="005C0F61"/>
    <w:rsid w:val="005C111F"/>
    <w:rsid w:val="005C14F3"/>
    <w:rsid w:val="005C16FE"/>
    <w:rsid w:val="005C186E"/>
    <w:rsid w:val="005C1972"/>
    <w:rsid w:val="005C1EF4"/>
    <w:rsid w:val="005C20D6"/>
    <w:rsid w:val="005C2297"/>
    <w:rsid w:val="005C2997"/>
    <w:rsid w:val="005C2C74"/>
    <w:rsid w:val="005C2C77"/>
    <w:rsid w:val="005C3208"/>
    <w:rsid w:val="005C3272"/>
    <w:rsid w:val="005C3433"/>
    <w:rsid w:val="005C3598"/>
    <w:rsid w:val="005C383C"/>
    <w:rsid w:val="005C3AA9"/>
    <w:rsid w:val="005C3CEA"/>
    <w:rsid w:val="005C4635"/>
    <w:rsid w:val="005C478D"/>
    <w:rsid w:val="005C510F"/>
    <w:rsid w:val="005C51F5"/>
    <w:rsid w:val="005C55F4"/>
    <w:rsid w:val="005C5793"/>
    <w:rsid w:val="005C5D0D"/>
    <w:rsid w:val="005C5F48"/>
    <w:rsid w:val="005C5FB9"/>
    <w:rsid w:val="005C5FD0"/>
    <w:rsid w:val="005C6008"/>
    <w:rsid w:val="005C6408"/>
    <w:rsid w:val="005C6643"/>
    <w:rsid w:val="005C66A4"/>
    <w:rsid w:val="005C67D1"/>
    <w:rsid w:val="005C6A0B"/>
    <w:rsid w:val="005C6DE3"/>
    <w:rsid w:val="005C7493"/>
    <w:rsid w:val="005C7C78"/>
    <w:rsid w:val="005D0A2D"/>
    <w:rsid w:val="005D0CE6"/>
    <w:rsid w:val="005D140D"/>
    <w:rsid w:val="005D16B3"/>
    <w:rsid w:val="005D1752"/>
    <w:rsid w:val="005D17EF"/>
    <w:rsid w:val="005D18E8"/>
    <w:rsid w:val="005D1A57"/>
    <w:rsid w:val="005D2965"/>
    <w:rsid w:val="005D3047"/>
    <w:rsid w:val="005D3098"/>
    <w:rsid w:val="005D34B3"/>
    <w:rsid w:val="005D3B0F"/>
    <w:rsid w:val="005D3B20"/>
    <w:rsid w:val="005D3D81"/>
    <w:rsid w:val="005D40C1"/>
    <w:rsid w:val="005D4394"/>
    <w:rsid w:val="005D4462"/>
    <w:rsid w:val="005D4A60"/>
    <w:rsid w:val="005D538E"/>
    <w:rsid w:val="005D5C79"/>
    <w:rsid w:val="005D5DBA"/>
    <w:rsid w:val="005D5F3B"/>
    <w:rsid w:val="005D6030"/>
    <w:rsid w:val="005D6184"/>
    <w:rsid w:val="005D68AB"/>
    <w:rsid w:val="005D750B"/>
    <w:rsid w:val="005D7520"/>
    <w:rsid w:val="005D770B"/>
    <w:rsid w:val="005D7812"/>
    <w:rsid w:val="005D784E"/>
    <w:rsid w:val="005D7923"/>
    <w:rsid w:val="005D7B53"/>
    <w:rsid w:val="005E0BA9"/>
    <w:rsid w:val="005E157A"/>
    <w:rsid w:val="005E1843"/>
    <w:rsid w:val="005E1A61"/>
    <w:rsid w:val="005E27DE"/>
    <w:rsid w:val="005E2EFA"/>
    <w:rsid w:val="005E2F3A"/>
    <w:rsid w:val="005E419F"/>
    <w:rsid w:val="005E457A"/>
    <w:rsid w:val="005E48BA"/>
    <w:rsid w:val="005E4C84"/>
    <w:rsid w:val="005E502A"/>
    <w:rsid w:val="005E5034"/>
    <w:rsid w:val="005E5074"/>
    <w:rsid w:val="005E5E64"/>
    <w:rsid w:val="005E6228"/>
    <w:rsid w:val="005E637A"/>
    <w:rsid w:val="005E6B7F"/>
    <w:rsid w:val="005E6E2C"/>
    <w:rsid w:val="005E797F"/>
    <w:rsid w:val="005E7ED6"/>
    <w:rsid w:val="005E7FB2"/>
    <w:rsid w:val="005F02A6"/>
    <w:rsid w:val="005F02DC"/>
    <w:rsid w:val="005F0862"/>
    <w:rsid w:val="005F0F55"/>
    <w:rsid w:val="005F1211"/>
    <w:rsid w:val="005F18C1"/>
    <w:rsid w:val="005F197E"/>
    <w:rsid w:val="005F1EF5"/>
    <w:rsid w:val="005F2120"/>
    <w:rsid w:val="005F241A"/>
    <w:rsid w:val="005F2DCB"/>
    <w:rsid w:val="005F2E35"/>
    <w:rsid w:val="005F361D"/>
    <w:rsid w:val="005F3B0D"/>
    <w:rsid w:val="005F3D41"/>
    <w:rsid w:val="005F4015"/>
    <w:rsid w:val="005F436B"/>
    <w:rsid w:val="005F4A5B"/>
    <w:rsid w:val="005F51BE"/>
    <w:rsid w:val="005F5351"/>
    <w:rsid w:val="005F56F8"/>
    <w:rsid w:val="005F5D0B"/>
    <w:rsid w:val="005F65A1"/>
    <w:rsid w:val="005F69C5"/>
    <w:rsid w:val="005F6AFB"/>
    <w:rsid w:val="005F78E7"/>
    <w:rsid w:val="005F7A8F"/>
    <w:rsid w:val="005F7AC2"/>
    <w:rsid w:val="0060007F"/>
    <w:rsid w:val="0060016F"/>
    <w:rsid w:val="00600EE9"/>
    <w:rsid w:val="00601A66"/>
    <w:rsid w:val="0060207E"/>
    <w:rsid w:val="00602445"/>
    <w:rsid w:val="00602534"/>
    <w:rsid w:val="0060298A"/>
    <w:rsid w:val="00602A77"/>
    <w:rsid w:val="00603164"/>
    <w:rsid w:val="00603428"/>
    <w:rsid w:val="00603A8A"/>
    <w:rsid w:val="006040DF"/>
    <w:rsid w:val="006051E1"/>
    <w:rsid w:val="00605E68"/>
    <w:rsid w:val="00606CC5"/>
    <w:rsid w:val="00606E09"/>
    <w:rsid w:val="00606EE9"/>
    <w:rsid w:val="00607FDD"/>
    <w:rsid w:val="006101AC"/>
    <w:rsid w:val="00610718"/>
    <w:rsid w:val="00610B97"/>
    <w:rsid w:val="00611157"/>
    <w:rsid w:val="006111EA"/>
    <w:rsid w:val="006118C7"/>
    <w:rsid w:val="00611906"/>
    <w:rsid w:val="00611BA3"/>
    <w:rsid w:val="00612197"/>
    <w:rsid w:val="006126BC"/>
    <w:rsid w:val="00612B57"/>
    <w:rsid w:val="00612CB7"/>
    <w:rsid w:val="006138D1"/>
    <w:rsid w:val="00613CF1"/>
    <w:rsid w:val="00614054"/>
    <w:rsid w:val="0061428F"/>
    <w:rsid w:val="00614355"/>
    <w:rsid w:val="006143F6"/>
    <w:rsid w:val="00614F6D"/>
    <w:rsid w:val="00615378"/>
    <w:rsid w:val="00615C13"/>
    <w:rsid w:val="00615F71"/>
    <w:rsid w:val="0061612D"/>
    <w:rsid w:val="00616243"/>
    <w:rsid w:val="006168DD"/>
    <w:rsid w:val="00616F16"/>
    <w:rsid w:val="006170E5"/>
    <w:rsid w:val="0062022C"/>
    <w:rsid w:val="00620F76"/>
    <w:rsid w:val="0062110D"/>
    <w:rsid w:val="0062119A"/>
    <w:rsid w:val="0062129E"/>
    <w:rsid w:val="006216EA"/>
    <w:rsid w:val="00621842"/>
    <w:rsid w:val="00622083"/>
    <w:rsid w:val="006220DA"/>
    <w:rsid w:val="00622B8D"/>
    <w:rsid w:val="00622BCE"/>
    <w:rsid w:val="00622F48"/>
    <w:rsid w:val="00624A2A"/>
    <w:rsid w:val="00624A3C"/>
    <w:rsid w:val="00624D45"/>
    <w:rsid w:val="00624DEE"/>
    <w:rsid w:val="006256CD"/>
    <w:rsid w:val="00625713"/>
    <w:rsid w:val="006263A6"/>
    <w:rsid w:val="006265FD"/>
    <w:rsid w:val="006267B4"/>
    <w:rsid w:val="00626C06"/>
    <w:rsid w:val="00626EC7"/>
    <w:rsid w:val="006275FA"/>
    <w:rsid w:val="00627695"/>
    <w:rsid w:val="00627905"/>
    <w:rsid w:val="00627BDB"/>
    <w:rsid w:val="00630451"/>
    <w:rsid w:val="00630A32"/>
    <w:rsid w:val="00631283"/>
    <w:rsid w:val="00631806"/>
    <w:rsid w:val="00631C46"/>
    <w:rsid w:val="00631EB7"/>
    <w:rsid w:val="0063240E"/>
    <w:rsid w:val="00632826"/>
    <w:rsid w:val="00632855"/>
    <w:rsid w:val="00632BB8"/>
    <w:rsid w:val="006336C5"/>
    <w:rsid w:val="00633FB9"/>
    <w:rsid w:val="00634014"/>
    <w:rsid w:val="00634166"/>
    <w:rsid w:val="0063416A"/>
    <w:rsid w:val="006342E8"/>
    <w:rsid w:val="00634F93"/>
    <w:rsid w:val="006364C2"/>
    <w:rsid w:val="006366BC"/>
    <w:rsid w:val="0063721F"/>
    <w:rsid w:val="00637795"/>
    <w:rsid w:val="00637E39"/>
    <w:rsid w:val="0064017A"/>
    <w:rsid w:val="006404B2"/>
    <w:rsid w:val="00640760"/>
    <w:rsid w:val="00640D2E"/>
    <w:rsid w:val="00640FFA"/>
    <w:rsid w:val="00641294"/>
    <w:rsid w:val="0064191C"/>
    <w:rsid w:val="00641E39"/>
    <w:rsid w:val="0064208D"/>
    <w:rsid w:val="006423BD"/>
    <w:rsid w:val="0064265D"/>
    <w:rsid w:val="00643C3D"/>
    <w:rsid w:val="00643E29"/>
    <w:rsid w:val="0064458F"/>
    <w:rsid w:val="00645007"/>
    <w:rsid w:val="00645249"/>
    <w:rsid w:val="006457D7"/>
    <w:rsid w:val="00645CC8"/>
    <w:rsid w:val="00646196"/>
    <w:rsid w:val="006462EE"/>
    <w:rsid w:val="006464D7"/>
    <w:rsid w:val="0064651D"/>
    <w:rsid w:val="006469B0"/>
    <w:rsid w:val="00646C18"/>
    <w:rsid w:val="00646CC1"/>
    <w:rsid w:val="00646D4A"/>
    <w:rsid w:val="006478A0"/>
    <w:rsid w:val="00647B9E"/>
    <w:rsid w:val="00650230"/>
    <w:rsid w:val="006502CA"/>
    <w:rsid w:val="00650790"/>
    <w:rsid w:val="00650DE3"/>
    <w:rsid w:val="006512C2"/>
    <w:rsid w:val="00651ACB"/>
    <w:rsid w:val="00651B20"/>
    <w:rsid w:val="00651DDC"/>
    <w:rsid w:val="00652DE6"/>
    <w:rsid w:val="00652EBF"/>
    <w:rsid w:val="006543A7"/>
    <w:rsid w:val="00654FDE"/>
    <w:rsid w:val="00655452"/>
    <w:rsid w:val="00656910"/>
    <w:rsid w:val="00656DC0"/>
    <w:rsid w:val="006571E6"/>
    <w:rsid w:val="00661112"/>
    <w:rsid w:val="00661370"/>
    <w:rsid w:val="00661827"/>
    <w:rsid w:val="006618FE"/>
    <w:rsid w:val="00661CB4"/>
    <w:rsid w:val="00662155"/>
    <w:rsid w:val="00662C31"/>
    <w:rsid w:val="0066307E"/>
    <w:rsid w:val="00663990"/>
    <w:rsid w:val="00663E17"/>
    <w:rsid w:val="0066457C"/>
    <w:rsid w:val="006645E3"/>
    <w:rsid w:val="006648CA"/>
    <w:rsid w:val="00664E61"/>
    <w:rsid w:val="006651CB"/>
    <w:rsid w:val="00665B04"/>
    <w:rsid w:val="00665D58"/>
    <w:rsid w:val="00665ED0"/>
    <w:rsid w:val="006666D4"/>
    <w:rsid w:val="00666BCB"/>
    <w:rsid w:val="00667172"/>
    <w:rsid w:val="00670567"/>
    <w:rsid w:val="00670685"/>
    <w:rsid w:val="00671653"/>
    <w:rsid w:val="00671695"/>
    <w:rsid w:val="0067195D"/>
    <w:rsid w:val="006719BF"/>
    <w:rsid w:val="00671A7E"/>
    <w:rsid w:val="00671C2B"/>
    <w:rsid w:val="00671E7E"/>
    <w:rsid w:val="00672698"/>
    <w:rsid w:val="00673B39"/>
    <w:rsid w:val="00673F0A"/>
    <w:rsid w:val="006742EA"/>
    <w:rsid w:val="006744D3"/>
    <w:rsid w:val="00674DE6"/>
    <w:rsid w:val="006761C5"/>
    <w:rsid w:val="006765FF"/>
    <w:rsid w:val="00676695"/>
    <w:rsid w:val="0067731C"/>
    <w:rsid w:val="00677610"/>
    <w:rsid w:val="00677627"/>
    <w:rsid w:val="006804AA"/>
    <w:rsid w:val="00680988"/>
    <w:rsid w:val="00680C11"/>
    <w:rsid w:val="0068102D"/>
    <w:rsid w:val="0068179C"/>
    <w:rsid w:val="00681A75"/>
    <w:rsid w:val="00681F30"/>
    <w:rsid w:val="006836DC"/>
    <w:rsid w:val="00683992"/>
    <w:rsid w:val="006839B0"/>
    <w:rsid w:val="00684800"/>
    <w:rsid w:val="00684D3C"/>
    <w:rsid w:val="00684DDA"/>
    <w:rsid w:val="00685524"/>
    <w:rsid w:val="00685776"/>
    <w:rsid w:val="00685947"/>
    <w:rsid w:val="0068596E"/>
    <w:rsid w:val="0068641F"/>
    <w:rsid w:val="006866C3"/>
    <w:rsid w:val="006872E7"/>
    <w:rsid w:val="00687FBE"/>
    <w:rsid w:val="0069063C"/>
    <w:rsid w:val="00690652"/>
    <w:rsid w:val="006915BA"/>
    <w:rsid w:val="0069181B"/>
    <w:rsid w:val="00691FCA"/>
    <w:rsid w:val="0069275E"/>
    <w:rsid w:val="00692ECC"/>
    <w:rsid w:val="00692FAB"/>
    <w:rsid w:val="0069335B"/>
    <w:rsid w:val="00693576"/>
    <w:rsid w:val="00693602"/>
    <w:rsid w:val="006936F0"/>
    <w:rsid w:val="00693957"/>
    <w:rsid w:val="00693EEA"/>
    <w:rsid w:val="00694182"/>
    <w:rsid w:val="00695064"/>
    <w:rsid w:val="00695BFD"/>
    <w:rsid w:val="006961C0"/>
    <w:rsid w:val="00696450"/>
    <w:rsid w:val="00696F1C"/>
    <w:rsid w:val="00697209"/>
    <w:rsid w:val="00697274"/>
    <w:rsid w:val="00697830"/>
    <w:rsid w:val="006A0322"/>
    <w:rsid w:val="006A06C4"/>
    <w:rsid w:val="006A06EC"/>
    <w:rsid w:val="006A0BAC"/>
    <w:rsid w:val="006A13D8"/>
    <w:rsid w:val="006A19D5"/>
    <w:rsid w:val="006A1D65"/>
    <w:rsid w:val="006A1DEA"/>
    <w:rsid w:val="006A2242"/>
    <w:rsid w:val="006A238B"/>
    <w:rsid w:val="006A23A6"/>
    <w:rsid w:val="006A261B"/>
    <w:rsid w:val="006A26BF"/>
    <w:rsid w:val="006A2DFE"/>
    <w:rsid w:val="006A2E07"/>
    <w:rsid w:val="006A308D"/>
    <w:rsid w:val="006A30FE"/>
    <w:rsid w:val="006A3497"/>
    <w:rsid w:val="006A3745"/>
    <w:rsid w:val="006A3CDA"/>
    <w:rsid w:val="006A43C8"/>
    <w:rsid w:val="006A4CE7"/>
    <w:rsid w:val="006A4D08"/>
    <w:rsid w:val="006A5040"/>
    <w:rsid w:val="006A5666"/>
    <w:rsid w:val="006A584F"/>
    <w:rsid w:val="006A6186"/>
    <w:rsid w:val="006A6305"/>
    <w:rsid w:val="006A633C"/>
    <w:rsid w:val="006A654C"/>
    <w:rsid w:val="006A6765"/>
    <w:rsid w:val="006A6779"/>
    <w:rsid w:val="006A6BA6"/>
    <w:rsid w:val="006A6D88"/>
    <w:rsid w:val="006A6DE9"/>
    <w:rsid w:val="006A78F0"/>
    <w:rsid w:val="006A7931"/>
    <w:rsid w:val="006B02C0"/>
    <w:rsid w:val="006B0483"/>
    <w:rsid w:val="006B07C0"/>
    <w:rsid w:val="006B090D"/>
    <w:rsid w:val="006B0C59"/>
    <w:rsid w:val="006B0DB0"/>
    <w:rsid w:val="006B1870"/>
    <w:rsid w:val="006B1A7E"/>
    <w:rsid w:val="006B1E40"/>
    <w:rsid w:val="006B1FD8"/>
    <w:rsid w:val="006B2045"/>
    <w:rsid w:val="006B20BA"/>
    <w:rsid w:val="006B22C5"/>
    <w:rsid w:val="006B23F1"/>
    <w:rsid w:val="006B28B3"/>
    <w:rsid w:val="006B38C0"/>
    <w:rsid w:val="006B3D5B"/>
    <w:rsid w:val="006B3ED0"/>
    <w:rsid w:val="006B3EEB"/>
    <w:rsid w:val="006B40F5"/>
    <w:rsid w:val="006B46BC"/>
    <w:rsid w:val="006B4795"/>
    <w:rsid w:val="006B4979"/>
    <w:rsid w:val="006B4C48"/>
    <w:rsid w:val="006B4C82"/>
    <w:rsid w:val="006B4E16"/>
    <w:rsid w:val="006B5A83"/>
    <w:rsid w:val="006B5CC6"/>
    <w:rsid w:val="006B5DB7"/>
    <w:rsid w:val="006B7417"/>
    <w:rsid w:val="006B7983"/>
    <w:rsid w:val="006C0151"/>
    <w:rsid w:val="006C01D8"/>
    <w:rsid w:val="006C0210"/>
    <w:rsid w:val="006C02DB"/>
    <w:rsid w:val="006C05FE"/>
    <w:rsid w:val="006C067A"/>
    <w:rsid w:val="006C0A17"/>
    <w:rsid w:val="006C124D"/>
    <w:rsid w:val="006C131B"/>
    <w:rsid w:val="006C183E"/>
    <w:rsid w:val="006C188B"/>
    <w:rsid w:val="006C198E"/>
    <w:rsid w:val="006C1EDF"/>
    <w:rsid w:val="006C234D"/>
    <w:rsid w:val="006C29B1"/>
    <w:rsid w:val="006C2A91"/>
    <w:rsid w:val="006C2BB7"/>
    <w:rsid w:val="006C2F92"/>
    <w:rsid w:val="006C3AF5"/>
    <w:rsid w:val="006C43D2"/>
    <w:rsid w:val="006C5192"/>
    <w:rsid w:val="006C51B4"/>
    <w:rsid w:val="006C522A"/>
    <w:rsid w:val="006C545C"/>
    <w:rsid w:val="006C5734"/>
    <w:rsid w:val="006C5D12"/>
    <w:rsid w:val="006C6022"/>
    <w:rsid w:val="006C643F"/>
    <w:rsid w:val="006C6828"/>
    <w:rsid w:val="006C70DB"/>
    <w:rsid w:val="006C71C1"/>
    <w:rsid w:val="006C7898"/>
    <w:rsid w:val="006D02AB"/>
    <w:rsid w:val="006D08AA"/>
    <w:rsid w:val="006D0978"/>
    <w:rsid w:val="006D12AF"/>
    <w:rsid w:val="006D170E"/>
    <w:rsid w:val="006D2835"/>
    <w:rsid w:val="006D2BE2"/>
    <w:rsid w:val="006D38E1"/>
    <w:rsid w:val="006D3AF5"/>
    <w:rsid w:val="006D4843"/>
    <w:rsid w:val="006D4BD1"/>
    <w:rsid w:val="006D4FB1"/>
    <w:rsid w:val="006D51F8"/>
    <w:rsid w:val="006D5284"/>
    <w:rsid w:val="006D5608"/>
    <w:rsid w:val="006D61C0"/>
    <w:rsid w:val="006D6B87"/>
    <w:rsid w:val="006D6CE6"/>
    <w:rsid w:val="006D6EDA"/>
    <w:rsid w:val="006D7854"/>
    <w:rsid w:val="006D796A"/>
    <w:rsid w:val="006D7AA0"/>
    <w:rsid w:val="006D7F34"/>
    <w:rsid w:val="006E010C"/>
    <w:rsid w:val="006E0211"/>
    <w:rsid w:val="006E02BF"/>
    <w:rsid w:val="006E079C"/>
    <w:rsid w:val="006E0B8F"/>
    <w:rsid w:val="006E1038"/>
    <w:rsid w:val="006E10FF"/>
    <w:rsid w:val="006E121C"/>
    <w:rsid w:val="006E1399"/>
    <w:rsid w:val="006E1610"/>
    <w:rsid w:val="006E1856"/>
    <w:rsid w:val="006E1A0B"/>
    <w:rsid w:val="006E1E6C"/>
    <w:rsid w:val="006E2435"/>
    <w:rsid w:val="006E24E7"/>
    <w:rsid w:val="006E2B6D"/>
    <w:rsid w:val="006E3008"/>
    <w:rsid w:val="006E3129"/>
    <w:rsid w:val="006E3D14"/>
    <w:rsid w:val="006E48B1"/>
    <w:rsid w:val="006E5CDE"/>
    <w:rsid w:val="006E610F"/>
    <w:rsid w:val="006E61E5"/>
    <w:rsid w:val="006E634B"/>
    <w:rsid w:val="006E6F9E"/>
    <w:rsid w:val="006E7212"/>
    <w:rsid w:val="006E72BA"/>
    <w:rsid w:val="006E7666"/>
    <w:rsid w:val="006E7815"/>
    <w:rsid w:val="006E7FC8"/>
    <w:rsid w:val="006F0215"/>
    <w:rsid w:val="006F05F2"/>
    <w:rsid w:val="006F0DD4"/>
    <w:rsid w:val="006F10AF"/>
    <w:rsid w:val="006F11A0"/>
    <w:rsid w:val="006F143C"/>
    <w:rsid w:val="006F1736"/>
    <w:rsid w:val="006F1752"/>
    <w:rsid w:val="006F2383"/>
    <w:rsid w:val="006F2401"/>
    <w:rsid w:val="006F2A03"/>
    <w:rsid w:val="006F325E"/>
    <w:rsid w:val="006F3349"/>
    <w:rsid w:val="006F3A11"/>
    <w:rsid w:val="006F3CED"/>
    <w:rsid w:val="006F49DA"/>
    <w:rsid w:val="006F5619"/>
    <w:rsid w:val="006F5A7B"/>
    <w:rsid w:val="006F65ED"/>
    <w:rsid w:val="006F6624"/>
    <w:rsid w:val="006F6C60"/>
    <w:rsid w:val="006F71D6"/>
    <w:rsid w:val="006F7DD1"/>
    <w:rsid w:val="006F7E81"/>
    <w:rsid w:val="006F7F18"/>
    <w:rsid w:val="00700198"/>
    <w:rsid w:val="00700492"/>
    <w:rsid w:val="0070088A"/>
    <w:rsid w:val="0070161C"/>
    <w:rsid w:val="00701A9B"/>
    <w:rsid w:val="00701FB4"/>
    <w:rsid w:val="007020F9"/>
    <w:rsid w:val="00702597"/>
    <w:rsid w:val="00702608"/>
    <w:rsid w:val="0070291B"/>
    <w:rsid w:val="0070306D"/>
    <w:rsid w:val="00703B14"/>
    <w:rsid w:val="00703FAC"/>
    <w:rsid w:val="0070451B"/>
    <w:rsid w:val="00704E08"/>
    <w:rsid w:val="00705137"/>
    <w:rsid w:val="00705800"/>
    <w:rsid w:val="007059AC"/>
    <w:rsid w:val="00706174"/>
    <w:rsid w:val="007070B6"/>
    <w:rsid w:val="00707317"/>
    <w:rsid w:val="00707585"/>
    <w:rsid w:val="0071049B"/>
    <w:rsid w:val="007105AF"/>
    <w:rsid w:val="007105C4"/>
    <w:rsid w:val="00710808"/>
    <w:rsid w:val="007108BD"/>
    <w:rsid w:val="00710B87"/>
    <w:rsid w:val="00710EC8"/>
    <w:rsid w:val="00711198"/>
    <w:rsid w:val="007111C0"/>
    <w:rsid w:val="0071138F"/>
    <w:rsid w:val="00712583"/>
    <w:rsid w:val="007128E1"/>
    <w:rsid w:val="00712E80"/>
    <w:rsid w:val="007132D6"/>
    <w:rsid w:val="007135CF"/>
    <w:rsid w:val="0071397A"/>
    <w:rsid w:val="007147C8"/>
    <w:rsid w:val="007149C7"/>
    <w:rsid w:val="00714C5F"/>
    <w:rsid w:val="007151D3"/>
    <w:rsid w:val="00715486"/>
    <w:rsid w:val="007156EE"/>
    <w:rsid w:val="0071572B"/>
    <w:rsid w:val="00715E34"/>
    <w:rsid w:val="00716553"/>
    <w:rsid w:val="00716A4B"/>
    <w:rsid w:val="00716EAE"/>
    <w:rsid w:val="00717442"/>
    <w:rsid w:val="0071749E"/>
    <w:rsid w:val="00717618"/>
    <w:rsid w:val="0072040F"/>
    <w:rsid w:val="007205A4"/>
    <w:rsid w:val="00720812"/>
    <w:rsid w:val="00720B8C"/>
    <w:rsid w:val="00720FEE"/>
    <w:rsid w:val="00721072"/>
    <w:rsid w:val="0072132B"/>
    <w:rsid w:val="007214F6"/>
    <w:rsid w:val="00721870"/>
    <w:rsid w:val="007219F1"/>
    <w:rsid w:val="00721A54"/>
    <w:rsid w:val="0072228B"/>
    <w:rsid w:val="007222D0"/>
    <w:rsid w:val="00722918"/>
    <w:rsid w:val="00724674"/>
    <w:rsid w:val="00724859"/>
    <w:rsid w:val="00724A9C"/>
    <w:rsid w:val="00724C4A"/>
    <w:rsid w:val="00724D91"/>
    <w:rsid w:val="00725A40"/>
    <w:rsid w:val="00725AD8"/>
    <w:rsid w:val="00725E20"/>
    <w:rsid w:val="007263F6"/>
    <w:rsid w:val="00726ABB"/>
    <w:rsid w:val="00726D8D"/>
    <w:rsid w:val="00726ED4"/>
    <w:rsid w:val="007275AE"/>
    <w:rsid w:val="007279D6"/>
    <w:rsid w:val="00727BF4"/>
    <w:rsid w:val="00727E67"/>
    <w:rsid w:val="0073171E"/>
    <w:rsid w:val="00731E66"/>
    <w:rsid w:val="007324E4"/>
    <w:rsid w:val="007333EB"/>
    <w:rsid w:val="007335EA"/>
    <w:rsid w:val="007336A3"/>
    <w:rsid w:val="00733D04"/>
    <w:rsid w:val="007340DF"/>
    <w:rsid w:val="00734478"/>
    <w:rsid w:val="00734A55"/>
    <w:rsid w:val="00734BFE"/>
    <w:rsid w:val="00734C17"/>
    <w:rsid w:val="0073551E"/>
    <w:rsid w:val="007356DA"/>
    <w:rsid w:val="00735B1F"/>
    <w:rsid w:val="00735C0D"/>
    <w:rsid w:val="00735FD3"/>
    <w:rsid w:val="00736078"/>
    <w:rsid w:val="0073627F"/>
    <w:rsid w:val="007369E2"/>
    <w:rsid w:val="007374C3"/>
    <w:rsid w:val="0073760A"/>
    <w:rsid w:val="00737AD0"/>
    <w:rsid w:val="00740815"/>
    <w:rsid w:val="00740C69"/>
    <w:rsid w:val="00740D5C"/>
    <w:rsid w:val="007412FE"/>
    <w:rsid w:val="0074137D"/>
    <w:rsid w:val="00741632"/>
    <w:rsid w:val="0074188A"/>
    <w:rsid w:val="00741B55"/>
    <w:rsid w:val="00742172"/>
    <w:rsid w:val="007429A1"/>
    <w:rsid w:val="00742BAF"/>
    <w:rsid w:val="00742CDE"/>
    <w:rsid w:val="00743701"/>
    <w:rsid w:val="0074394F"/>
    <w:rsid w:val="00743B31"/>
    <w:rsid w:val="00744AEF"/>
    <w:rsid w:val="00744B8C"/>
    <w:rsid w:val="00744F46"/>
    <w:rsid w:val="00745832"/>
    <w:rsid w:val="00745E40"/>
    <w:rsid w:val="0074604F"/>
    <w:rsid w:val="00746094"/>
    <w:rsid w:val="0074658D"/>
    <w:rsid w:val="00746A7B"/>
    <w:rsid w:val="00746F2C"/>
    <w:rsid w:val="007476DD"/>
    <w:rsid w:val="00747A9E"/>
    <w:rsid w:val="00747BC9"/>
    <w:rsid w:val="007501C7"/>
    <w:rsid w:val="007504BA"/>
    <w:rsid w:val="0075086A"/>
    <w:rsid w:val="00750A0A"/>
    <w:rsid w:val="00750ACD"/>
    <w:rsid w:val="00750D7C"/>
    <w:rsid w:val="00750E47"/>
    <w:rsid w:val="0075107C"/>
    <w:rsid w:val="00751192"/>
    <w:rsid w:val="007512CF"/>
    <w:rsid w:val="00751346"/>
    <w:rsid w:val="00751A97"/>
    <w:rsid w:val="00751C02"/>
    <w:rsid w:val="00751C31"/>
    <w:rsid w:val="00752694"/>
    <w:rsid w:val="0075286E"/>
    <w:rsid w:val="00753749"/>
    <w:rsid w:val="00753C07"/>
    <w:rsid w:val="007543C4"/>
    <w:rsid w:val="00754801"/>
    <w:rsid w:val="007548A3"/>
    <w:rsid w:val="00754A16"/>
    <w:rsid w:val="00754B2E"/>
    <w:rsid w:val="00755B8B"/>
    <w:rsid w:val="007573A6"/>
    <w:rsid w:val="0075741C"/>
    <w:rsid w:val="00757D16"/>
    <w:rsid w:val="00757DDF"/>
    <w:rsid w:val="00757FC3"/>
    <w:rsid w:val="0076036E"/>
    <w:rsid w:val="00760E58"/>
    <w:rsid w:val="00760F72"/>
    <w:rsid w:val="00761483"/>
    <w:rsid w:val="007617AA"/>
    <w:rsid w:val="00761A76"/>
    <w:rsid w:val="00761E08"/>
    <w:rsid w:val="0076226D"/>
    <w:rsid w:val="00762A74"/>
    <w:rsid w:val="00762B1C"/>
    <w:rsid w:val="007630AB"/>
    <w:rsid w:val="00763C30"/>
    <w:rsid w:val="00763E1D"/>
    <w:rsid w:val="00764331"/>
    <w:rsid w:val="0076471D"/>
    <w:rsid w:val="00764948"/>
    <w:rsid w:val="00765CB0"/>
    <w:rsid w:val="00766064"/>
    <w:rsid w:val="00766243"/>
    <w:rsid w:val="00766333"/>
    <w:rsid w:val="0076680A"/>
    <w:rsid w:val="00766944"/>
    <w:rsid w:val="00766CDF"/>
    <w:rsid w:val="00766DAA"/>
    <w:rsid w:val="00767AC0"/>
    <w:rsid w:val="00767BE2"/>
    <w:rsid w:val="00770792"/>
    <w:rsid w:val="00771354"/>
    <w:rsid w:val="00771B7F"/>
    <w:rsid w:val="0077240B"/>
    <w:rsid w:val="00772AF4"/>
    <w:rsid w:val="00772C53"/>
    <w:rsid w:val="00772D52"/>
    <w:rsid w:val="007734CB"/>
    <w:rsid w:val="00773928"/>
    <w:rsid w:val="00773BAA"/>
    <w:rsid w:val="00773F60"/>
    <w:rsid w:val="00773FC3"/>
    <w:rsid w:val="007742AA"/>
    <w:rsid w:val="00774507"/>
    <w:rsid w:val="00774980"/>
    <w:rsid w:val="007750D9"/>
    <w:rsid w:val="007750F7"/>
    <w:rsid w:val="0077577D"/>
    <w:rsid w:val="0077590B"/>
    <w:rsid w:val="00775993"/>
    <w:rsid w:val="00775CB5"/>
    <w:rsid w:val="00775E68"/>
    <w:rsid w:val="00775F1A"/>
    <w:rsid w:val="007762D5"/>
    <w:rsid w:val="0077653D"/>
    <w:rsid w:val="00776790"/>
    <w:rsid w:val="00776D0D"/>
    <w:rsid w:val="007775A0"/>
    <w:rsid w:val="00777842"/>
    <w:rsid w:val="00777FDC"/>
    <w:rsid w:val="007802D8"/>
    <w:rsid w:val="00780925"/>
    <w:rsid w:val="00780A9C"/>
    <w:rsid w:val="00781296"/>
    <w:rsid w:val="007814D6"/>
    <w:rsid w:val="00781766"/>
    <w:rsid w:val="00781987"/>
    <w:rsid w:val="00781F88"/>
    <w:rsid w:val="00782AE6"/>
    <w:rsid w:val="0078363C"/>
    <w:rsid w:val="0078382C"/>
    <w:rsid w:val="0078418D"/>
    <w:rsid w:val="00784ABD"/>
    <w:rsid w:val="00784C2F"/>
    <w:rsid w:val="00784D2E"/>
    <w:rsid w:val="0078509A"/>
    <w:rsid w:val="00785261"/>
    <w:rsid w:val="00785371"/>
    <w:rsid w:val="0078552A"/>
    <w:rsid w:val="00785F02"/>
    <w:rsid w:val="00785FB0"/>
    <w:rsid w:val="00785FF1"/>
    <w:rsid w:val="00786ABE"/>
    <w:rsid w:val="0078754F"/>
    <w:rsid w:val="00787666"/>
    <w:rsid w:val="00787937"/>
    <w:rsid w:val="00787A80"/>
    <w:rsid w:val="00790115"/>
    <w:rsid w:val="00790B45"/>
    <w:rsid w:val="00791111"/>
    <w:rsid w:val="00791135"/>
    <w:rsid w:val="007912FD"/>
    <w:rsid w:val="00791639"/>
    <w:rsid w:val="007918A4"/>
    <w:rsid w:val="007922C6"/>
    <w:rsid w:val="007922ED"/>
    <w:rsid w:val="00792EB5"/>
    <w:rsid w:val="00793237"/>
    <w:rsid w:val="00793C41"/>
    <w:rsid w:val="007945BD"/>
    <w:rsid w:val="007945C4"/>
    <w:rsid w:val="00794F7A"/>
    <w:rsid w:val="00796348"/>
    <w:rsid w:val="007963DF"/>
    <w:rsid w:val="007966EA"/>
    <w:rsid w:val="0079708D"/>
    <w:rsid w:val="00797726"/>
    <w:rsid w:val="00797C7D"/>
    <w:rsid w:val="007A000B"/>
    <w:rsid w:val="007A090C"/>
    <w:rsid w:val="007A195B"/>
    <w:rsid w:val="007A1AFB"/>
    <w:rsid w:val="007A2767"/>
    <w:rsid w:val="007A2BD7"/>
    <w:rsid w:val="007A3B2F"/>
    <w:rsid w:val="007A4062"/>
    <w:rsid w:val="007A40B8"/>
    <w:rsid w:val="007A4580"/>
    <w:rsid w:val="007A47B3"/>
    <w:rsid w:val="007A4927"/>
    <w:rsid w:val="007A4AA0"/>
    <w:rsid w:val="007A50B6"/>
    <w:rsid w:val="007A540C"/>
    <w:rsid w:val="007A5633"/>
    <w:rsid w:val="007A58F4"/>
    <w:rsid w:val="007A5B42"/>
    <w:rsid w:val="007A5C71"/>
    <w:rsid w:val="007A5D7E"/>
    <w:rsid w:val="007A5DB2"/>
    <w:rsid w:val="007A5F28"/>
    <w:rsid w:val="007A5F64"/>
    <w:rsid w:val="007A653A"/>
    <w:rsid w:val="007A67E6"/>
    <w:rsid w:val="007A6856"/>
    <w:rsid w:val="007A68D2"/>
    <w:rsid w:val="007A7604"/>
    <w:rsid w:val="007A7814"/>
    <w:rsid w:val="007A7908"/>
    <w:rsid w:val="007A791A"/>
    <w:rsid w:val="007B0256"/>
    <w:rsid w:val="007B08B2"/>
    <w:rsid w:val="007B0A30"/>
    <w:rsid w:val="007B0FD1"/>
    <w:rsid w:val="007B17C6"/>
    <w:rsid w:val="007B1D92"/>
    <w:rsid w:val="007B23A9"/>
    <w:rsid w:val="007B351D"/>
    <w:rsid w:val="007B47C8"/>
    <w:rsid w:val="007B676E"/>
    <w:rsid w:val="007B6BAB"/>
    <w:rsid w:val="007B6D2D"/>
    <w:rsid w:val="007B718E"/>
    <w:rsid w:val="007B74F4"/>
    <w:rsid w:val="007B7703"/>
    <w:rsid w:val="007B78C9"/>
    <w:rsid w:val="007B7F01"/>
    <w:rsid w:val="007B7FEA"/>
    <w:rsid w:val="007C0393"/>
    <w:rsid w:val="007C0634"/>
    <w:rsid w:val="007C09A6"/>
    <w:rsid w:val="007C0EDB"/>
    <w:rsid w:val="007C1078"/>
    <w:rsid w:val="007C115A"/>
    <w:rsid w:val="007C15DB"/>
    <w:rsid w:val="007C1675"/>
    <w:rsid w:val="007C1A64"/>
    <w:rsid w:val="007C1EF1"/>
    <w:rsid w:val="007C261A"/>
    <w:rsid w:val="007C2AE9"/>
    <w:rsid w:val="007C3830"/>
    <w:rsid w:val="007C4749"/>
    <w:rsid w:val="007C4C58"/>
    <w:rsid w:val="007C5590"/>
    <w:rsid w:val="007C58BD"/>
    <w:rsid w:val="007C5913"/>
    <w:rsid w:val="007C6125"/>
    <w:rsid w:val="007C66F7"/>
    <w:rsid w:val="007C6BFE"/>
    <w:rsid w:val="007C6F83"/>
    <w:rsid w:val="007C6FCC"/>
    <w:rsid w:val="007C7D11"/>
    <w:rsid w:val="007C7D75"/>
    <w:rsid w:val="007C7EB1"/>
    <w:rsid w:val="007D049B"/>
    <w:rsid w:val="007D05E0"/>
    <w:rsid w:val="007D08A5"/>
    <w:rsid w:val="007D08AB"/>
    <w:rsid w:val="007D0A18"/>
    <w:rsid w:val="007D0E8C"/>
    <w:rsid w:val="007D1047"/>
    <w:rsid w:val="007D10B3"/>
    <w:rsid w:val="007D23C6"/>
    <w:rsid w:val="007D2562"/>
    <w:rsid w:val="007D2713"/>
    <w:rsid w:val="007D2CE5"/>
    <w:rsid w:val="007D34C1"/>
    <w:rsid w:val="007D3729"/>
    <w:rsid w:val="007D3800"/>
    <w:rsid w:val="007D3846"/>
    <w:rsid w:val="007D38F2"/>
    <w:rsid w:val="007D3C1D"/>
    <w:rsid w:val="007D3E02"/>
    <w:rsid w:val="007D428D"/>
    <w:rsid w:val="007D447C"/>
    <w:rsid w:val="007D4CF7"/>
    <w:rsid w:val="007D5171"/>
    <w:rsid w:val="007D583D"/>
    <w:rsid w:val="007D5942"/>
    <w:rsid w:val="007D5A16"/>
    <w:rsid w:val="007D5C97"/>
    <w:rsid w:val="007D656F"/>
    <w:rsid w:val="007D72FB"/>
    <w:rsid w:val="007D73EC"/>
    <w:rsid w:val="007D773A"/>
    <w:rsid w:val="007D7AC5"/>
    <w:rsid w:val="007D7B49"/>
    <w:rsid w:val="007D7F04"/>
    <w:rsid w:val="007E0521"/>
    <w:rsid w:val="007E09E7"/>
    <w:rsid w:val="007E0DA3"/>
    <w:rsid w:val="007E10B2"/>
    <w:rsid w:val="007E1A0E"/>
    <w:rsid w:val="007E1F01"/>
    <w:rsid w:val="007E22B9"/>
    <w:rsid w:val="007E2648"/>
    <w:rsid w:val="007E2852"/>
    <w:rsid w:val="007E2D4B"/>
    <w:rsid w:val="007E313A"/>
    <w:rsid w:val="007E3744"/>
    <w:rsid w:val="007E564C"/>
    <w:rsid w:val="007E5733"/>
    <w:rsid w:val="007E596E"/>
    <w:rsid w:val="007E59FE"/>
    <w:rsid w:val="007E67C3"/>
    <w:rsid w:val="007E6C06"/>
    <w:rsid w:val="007F031E"/>
    <w:rsid w:val="007F0532"/>
    <w:rsid w:val="007F07C7"/>
    <w:rsid w:val="007F07D5"/>
    <w:rsid w:val="007F08CD"/>
    <w:rsid w:val="007F0CA3"/>
    <w:rsid w:val="007F1329"/>
    <w:rsid w:val="007F1BCA"/>
    <w:rsid w:val="007F1D6E"/>
    <w:rsid w:val="007F1FAE"/>
    <w:rsid w:val="007F2489"/>
    <w:rsid w:val="007F2907"/>
    <w:rsid w:val="007F2EED"/>
    <w:rsid w:val="007F3870"/>
    <w:rsid w:val="007F4840"/>
    <w:rsid w:val="007F4D9A"/>
    <w:rsid w:val="007F5979"/>
    <w:rsid w:val="007F5D91"/>
    <w:rsid w:val="007F5F70"/>
    <w:rsid w:val="007F6234"/>
    <w:rsid w:val="007F64BA"/>
    <w:rsid w:val="007F6C84"/>
    <w:rsid w:val="007F7040"/>
    <w:rsid w:val="007F70A3"/>
    <w:rsid w:val="007F72BE"/>
    <w:rsid w:val="007F7C3B"/>
    <w:rsid w:val="007F7DA8"/>
    <w:rsid w:val="007F7EF6"/>
    <w:rsid w:val="0080021A"/>
    <w:rsid w:val="008006E5"/>
    <w:rsid w:val="008008D4"/>
    <w:rsid w:val="00801224"/>
    <w:rsid w:val="00801624"/>
    <w:rsid w:val="008017CE"/>
    <w:rsid w:val="0080225F"/>
    <w:rsid w:val="0080234C"/>
    <w:rsid w:val="0080241B"/>
    <w:rsid w:val="00802825"/>
    <w:rsid w:val="00802A4F"/>
    <w:rsid w:val="00802A90"/>
    <w:rsid w:val="00802AF0"/>
    <w:rsid w:val="008030AB"/>
    <w:rsid w:val="008034D7"/>
    <w:rsid w:val="00803B34"/>
    <w:rsid w:val="00803C88"/>
    <w:rsid w:val="008040DD"/>
    <w:rsid w:val="008047DC"/>
    <w:rsid w:val="00805349"/>
    <w:rsid w:val="00807493"/>
    <w:rsid w:val="00807C75"/>
    <w:rsid w:val="00807D5C"/>
    <w:rsid w:val="008105CD"/>
    <w:rsid w:val="00810917"/>
    <w:rsid w:val="008109FD"/>
    <w:rsid w:val="00810CF5"/>
    <w:rsid w:val="00811C64"/>
    <w:rsid w:val="00812536"/>
    <w:rsid w:val="008126A2"/>
    <w:rsid w:val="008133B9"/>
    <w:rsid w:val="00813580"/>
    <w:rsid w:val="00814929"/>
    <w:rsid w:val="00814F5E"/>
    <w:rsid w:val="008168CC"/>
    <w:rsid w:val="00816A93"/>
    <w:rsid w:val="008170EF"/>
    <w:rsid w:val="00817468"/>
    <w:rsid w:val="00817919"/>
    <w:rsid w:val="008179BC"/>
    <w:rsid w:val="00817BE2"/>
    <w:rsid w:val="00817D0D"/>
    <w:rsid w:val="008200A2"/>
    <w:rsid w:val="00820290"/>
    <w:rsid w:val="008220CE"/>
    <w:rsid w:val="008225A8"/>
    <w:rsid w:val="008225E3"/>
    <w:rsid w:val="00822655"/>
    <w:rsid w:val="00822667"/>
    <w:rsid w:val="00822BAD"/>
    <w:rsid w:val="00823813"/>
    <w:rsid w:val="0082395B"/>
    <w:rsid w:val="00823D11"/>
    <w:rsid w:val="00823DF4"/>
    <w:rsid w:val="00823E3E"/>
    <w:rsid w:val="008244CC"/>
    <w:rsid w:val="0082471D"/>
    <w:rsid w:val="00824AAA"/>
    <w:rsid w:val="00824E8C"/>
    <w:rsid w:val="0082571F"/>
    <w:rsid w:val="00825D02"/>
    <w:rsid w:val="0082665A"/>
    <w:rsid w:val="0082676F"/>
    <w:rsid w:val="008268E1"/>
    <w:rsid w:val="00826B26"/>
    <w:rsid w:val="00826B8F"/>
    <w:rsid w:val="00826E8C"/>
    <w:rsid w:val="00827072"/>
    <w:rsid w:val="008271CA"/>
    <w:rsid w:val="00827311"/>
    <w:rsid w:val="008275E5"/>
    <w:rsid w:val="00830197"/>
    <w:rsid w:val="00830288"/>
    <w:rsid w:val="0083032A"/>
    <w:rsid w:val="00830457"/>
    <w:rsid w:val="00830A50"/>
    <w:rsid w:val="00830A93"/>
    <w:rsid w:val="00830E0C"/>
    <w:rsid w:val="0083151E"/>
    <w:rsid w:val="00831CAE"/>
    <w:rsid w:val="0083232A"/>
    <w:rsid w:val="008326A7"/>
    <w:rsid w:val="00832DC4"/>
    <w:rsid w:val="008331C5"/>
    <w:rsid w:val="008333D2"/>
    <w:rsid w:val="00833845"/>
    <w:rsid w:val="00833DE7"/>
    <w:rsid w:val="008343F1"/>
    <w:rsid w:val="00834E14"/>
    <w:rsid w:val="00834F78"/>
    <w:rsid w:val="00835332"/>
    <w:rsid w:val="008358A9"/>
    <w:rsid w:val="00835F00"/>
    <w:rsid w:val="00836999"/>
    <w:rsid w:val="00836C4C"/>
    <w:rsid w:val="00836EDD"/>
    <w:rsid w:val="008371A5"/>
    <w:rsid w:val="0083743F"/>
    <w:rsid w:val="008375E3"/>
    <w:rsid w:val="0083761E"/>
    <w:rsid w:val="00837841"/>
    <w:rsid w:val="00837B66"/>
    <w:rsid w:val="008401B0"/>
    <w:rsid w:val="008401D4"/>
    <w:rsid w:val="0084112F"/>
    <w:rsid w:val="00841413"/>
    <w:rsid w:val="00841D12"/>
    <w:rsid w:val="00842512"/>
    <w:rsid w:val="00842A73"/>
    <w:rsid w:val="008430E9"/>
    <w:rsid w:val="0084370A"/>
    <w:rsid w:val="00843807"/>
    <w:rsid w:val="008438B5"/>
    <w:rsid w:val="0084433B"/>
    <w:rsid w:val="00844EE6"/>
    <w:rsid w:val="00845186"/>
    <w:rsid w:val="00845220"/>
    <w:rsid w:val="008453CE"/>
    <w:rsid w:val="00845674"/>
    <w:rsid w:val="00845887"/>
    <w:rsid w:val="008458B6"/>
    <w:rsid w:val="00845BCC"/>
    <w:rsid w:val="00845BFA"/>
    <w:rsid w:val="00845FC3"/>
    <w:rsid w:val="008460AF"/>
    <w:rsid w:val="0084677B"/>
    <w:rsid w:val="008468BB"/>
    <w:rsid w:val="00846B09"/>
    <w:rsid w:val="00846B3D"/>
    <w:rsid w:val="00846BDA"/>
    <w:rsid w:val="00846DE2"/>
    <w:rsid w:val="008474AD"/>
    <w:rsid w:val="008475EA"/>
    <w:rsid w:val="00847C04"/>
    <w:rsid w:val="00847FC2"/>
    <w:rsid w:val="0085101B"/>
    <w:rsid w:val="0085165A"/>
    <w:rsid w:val="0085183A"/>
    <w:rsid w:val="0085194E"/>
    <w:rsid w:val="00851D86"/>
    <w:rsid w:val="0085248C"/>
    <w:rsid w:val="00852994"/>
    <w:rsid w:val="00852A6F"/>
    <w:rsid w:val="00852ADC"/>
    <w:rsid w:val="008534A9"/>
    <w:rsid w:val="00853941"/>
    <w:rsid w:val="00853A08"/>
    <w:rsid w:val="00853A82"/>
    <w:rsid w:val="00853B4D"/>
    <w:rsid w:val="00853C36"/>
    <w:rsid w:val="00854565"/>
    <w:rsid w:val="00854736"/>
    <w:rsid w:val="00855048"/>
    <w:rsid w:val="0085526C"/>
    <w:rsid w:val="00855823"/>
    <w:rsid w:val="00855BE9"/>
    <w:rsid w:val="0085601D"/>
    <w:rsid w:val="0085626E"/>
    <w:rsid w:val="0085690E"/>
    <w:rsid w:val="008570AE"/>
    <w:rsid w:val="00857828"/>
    <w:rsid w:val="00857B8E"/>
    <w:rsid w:val="00857CE5"/>
    <w:rsid w:val="008603FD"/>
    <w:rsid w:val="0086055E"/>
    <w:rsid w:val="00860F7B"/>
    <w:rsid w:val="008616B5"/>
    <w:rsid w:val="00861AFA"/>
    <w:rsid w:val="0086208D"/>
    <w:rsid w:val="0086248E"/>
    <w:rsid w:val="008627FB"/>
    <w:rsid w:val="00862974"/>
    <w:rsid w:val="008639FC"/>
    <w:rsid w:val="00863BAA"/>
    <w:rsid w:val="00863C7F"/>
    <w:rsid w:val="008645A3"/>
    <w:rsid w:val="00864B37"/>
    <w:rsid w:val="008653DA"/>
    <w:rsid w:val="0086582C"/>
    <w:rsid w:val="0086592E"/>
    <w:rsid w:val="008664F7"/>
    <w:rsid w:val="0086786C"/>
    <w:rsid w:val="008678C2"/>
    <w:rsid w:val="00867A35"/>
    <w:rsid w:val="00867AC0"/>
    <w:rsid w:val="0087031B"/>
    <w:rsid w:val="0087059C"/>
    <w:rsid w:val="008706DD"/>
    <w:rsid w:val="00870F10"/>
    <w:rsid w:val="00870FAF"/>
    <w:rsid w:val="008712EB"/>
    <w:rsid w:val="00871850"/>
    <w:rsid w:val="0087226E"/>
    <w:rsid w:val="00872495"/>
    <w:rsid w:val="008732BE"/>
    <w:rsid w:val="0087331A"/>
    <w:rsid w:val="008738C4"/>
    <w:rsid w:val="00873934"/>
    <w:rsid w:val="008739A3"/>
    <w:rsid w:val="00873DBB"/>
    <w:rsid w:val="0087418D"/>
    <w:rsid w:val="00874546"/>
    <w:rsid w:val="00874B1B"/>
    <w:rsid w:val="00875165"/>
    <w:rsid w:val="00875A3E"/>
    <w:rsid w:val="00875DF4"/>
    <w:rsid w:val="0087738A"/>
    <w:rsid w:val="0087749E"/>
    <w:rsid w:val="00880582"/>
    <w:rsid w:val="0088062C"/>
    <w:rsid w:val="00880D26"/>
    <w:rsid w:val="00881055"/>
    <w:rsid w:val="00881471"/>
    <w:rsid w:val="00881781"/>
    <w:rsid w:val="008819EB"/>
    <w:rsid w:val="00881B7E"/>
    <w:rsid w:val="00881EB9"/>
    <w:rsid w:val="00881FF7"/>
    <w:rsid w:val="008820F9"/>
    <w:rsid w:val="00882AD6"/>
    <w:rsid w:val="00883787"/>
    <w:rsid w:val="00883BF6"/>
    <w:rsid w:val="00884979"/>
    <w:rsid w:val="0088501B"/>
    <w:rsid w:val="008854C9"/>
    <w:rsid w:val="00885637"/>
    <w:rsid w:val="00885760"/>
    <w:rsid w:val="00887867"/>
    <w:rsid w:val="00887C79"/>
    <w:rsid w:val="00890216"/>
    <w:rsid w:val="00890620"/>
    <w:rsid w:val="00890936"/>
    <w:rsid w:val="008909DE"/>
    <w:rsid w:val="00890B09"/>
    <w:rsid w:val="00890DC4"/>
    <w:rsid w:val="00891A86"/>
    <w:rsid w:val="008923C0"/>
    <w:rsid w:val="00892599"/>
    <w:rsid w:val="00892CEF"/>
    <w:rsid w:val="0089322F"/>
    <w:rsid w:val="0089350A"/>
    <w:rsid w:val="00894515"/>
    <w:rsid w:val="00894995"/>
    <w:rsid w:val="00894C45"/>
    <w:rsid w:val="008959F6"/>
    <w:rsid w:val="00895ACB"/>
    <w:rsid w:val="00895FD7"/>
    <w:rsid w:val="008960DB"/>
    <w:rsid w:val="008962FB"/>
    <w:rsid w:val="008968BC"/>
    <w:rsid w:val="008968D5"/>
    <w:rsid w:val="00896906"/>
    <w:rsid w:val="00896C01"/>
    <w:rsid w:val="00897366"/>
    <w:rsid w:val="008979C5"/>
    <w:rsid w:val="00897F0B"/>
    <w:rsid w:val="008A04F0"/>
    <w:rsid w:val="008A069B"/>
    <w:rsid w:val="008A1175"/>
    <w:rsid w:val="008A13E1"/>
    <w:rsid w:val="008A1545"/>
    <w:rsid w:val="008A16FE"/>
    <w:rsid w:val="008A1AC5"/>
    <w:rsid w:val="008A207B"/>
    <w:rsid w:val="008A2184"/>
    <w:rsid w:val="008A2304"/>
    <w:rsid w:val="008A267E"/>
    <w:rsid w:val="008A28E2"/>
    <w:rsid w:val="008A2915"/>
    <w:rsid w:val="008A2A26"/>
    <w:rsid w:val="008A2FCD"/>
    <w:rsid w:val="008A3295"/>
    <w:rsid w:val="008A3C7E"/>
    <w:rsid w:val="008A3EDE"/>
    <w:rsid w:val="008A418F"/>
    <w:rsid w:val="008A4D3C"/>
    <w:rsid w:val="008A51EC"/>
    <w:rsid w:val="008A59DD"/>
    <w:rsid w:val="008A5A27"/>
    <w:rsid w:val="008A6449"/>
    <w:rsid w:val="008A6696"/>
    <w:rsid w:val="008A7381"/>
    <w:rsid w:val="008A7BCC"/>
    <w:rsid w:val="008B013C"/>
    <w:rsid w:val="008B0DFC"/>
    <w:rsid w:val="008B12BC"/>
    <w:rsid w:val="008B1412"/>
    <w:rsid w:val="008B1CAD"/>
    <w:rsid w:val="008B26E0"/>
    <w:rsid w:val="008B2F68"/>
    <w:rsid w:val="008B333C"/>
    <w:rsid w:val="008B3A90"/>
    <w:rsid w:val="008B3C62"/>
    <w:rsid w:val="008B4E93"/>
    <w:rsid w:val="008B5540"/>
    <w:rsid w:val="008B5D27"/>
    <w:rsid w:val="008B5D41"/>
    <w:rsid w:val="008B5DA2"/>
    <w:rsid w:val="008B5DB2"/>
    <w:rsid w:val="008B60BB"/>
    <w:rsid w:val="008B67B1"/>
    <w:rsid w:val="008B6DF4"/>
    <w:rsid w:val="008C0919"/>
    <w:rsid w:val="008C1047"/>
    <w:rsid w:val="008C1510"/>
    <w:rsid w:val="008C1773"/>
    <w:rsid w:val="008C3280"/>
    <w:rsid w:val="008C3ADF"/>
    <w:rsid w:val="008C3F4B"/>
    <w:rsid w:val="008C4085"/>
    <w:rsid w:val="008C45CA"/>
    <w:rsid w:val="008C4850"/>
    <w:rsid w:val="008C4AC9"/>
    <w:rsid w:val="008C4C92"/>
    <w:rsid w:val="008C4CBB"/>
    <w:rsid w:val="008C5626"/>
    <w:rsid w:val="008C56DC"/>
    <w:rsid w:val="008C66B1"/>
    <w:rsid w:val="008C6814"/>
    <w:rsid w:val="008C7064"/>
    <w:rsid w:val="008C7589"/>
    <w:rsid w:val="008C7B38"/>
    <w:rsid w:val="008C7D5E"/>
    <w:rsid w:val="008D00BB"/>
    <w:rsid w:val="008D0293"/>
    <w:rsid w:val="008D12E9"/>
    <w:rsid w:val="008D23B2"/>
    <w:rsid w:val="008D2CE1"/>
    <w:rsid w:val="008D2F58"/>
    <w:rsid w:val="008D3079"/>
    <w:rsid w:val="008D31D7"/>
    <w:rsid w:val="008D335D"/>
    <w:rsid w:val="008D357E"/>
    <w:rsid w:val="008D4B49"/>
    <w:rsid w:val="008D4B76"/>
    <w:rsid w:val="008D4ECC"/>
    <w:rsid w:val="008D5818"/>
    <w:rsid w:val="008D5A47"/>
    <w:rsid w:val="008D5DF5"/>
    <w:rsid w:val="008D6CCD"/>
    <w:rsid w:val="008D718F"/>
    <w:rsid w:val="008D7577"/>
    <w:rsid w:val="008D7AA8"/>
    <w:rsid w:val="008D7EFE"/>
    <w:rsid w:val="008E0131"/>
    <w:rsid w:val="008E05D9"/>
    <w:rsid w:val="008E062F"/>
    <w:rsid w:val="008E066F"/>
    <w:rsid w:val="008E0EDD"/>
    <w:rsid w:val="008E12F3"/>
    <w:rsid w:val="008E148A"/>
    <w:rsid w:val="008E16E9"/>
    <w:rsid w:val="008E188A"/>
    <w:rsid w:val="008E1925"/>
    <w:rsid w:val="008E1AD8"/>
    <w:rsid w:val="008E1E03"/>
    <w:rsid w:val="008E1EF1"/>
    <w:rsid w:val="008E2718"/>
    <w:rsid w:val="008E2798"/>
    <w:rsid w:val="008E2832"/>
    <w:rsid w:val="008E35BC"/>
    <w:rsid w:val="008E3AE7"/>
    <w:rsid w:val="008E3B68"/>
    <w:rsid w:val="008E4F17"/>
    <w:rsid w:val="008E5814"/>
    <w:rsid w:val="008E5926"/>
    <w:rsid w:val="008E59AF"/>
    <w:rsid w:val="008E5E2F"/>
    <w:rsid w:val="008E62AF"/>
    <w:rsid w:val="008E687D"/>
    <w:rsid w:val="008E68F4"/>
    <w:rsid w:val="008E6E15"/>
    <w:rsid w:val="008E7540"/>
    <w:rsid w:val="008E75B2"/>
    <w:rsid w:val="008E7F98"/>
    <w:rsid w:val="008F1009"/>
    <w:rsid w:val="008F14BB"/>
    <w:rsid w:val="008F16E0"/>
    <w:rsid w:val="008F1721"/>
    <w:rsid w:val="008F1F51"/>
    <w:rsid w:val="008F2301"/>
    <w:rsid w:val="008F3361"/>
    <w:rsid w:val="008F351C"/>
    <w:rsid w:val="008F39AE"/>
    <w:rsid w:val="008F3BAF"/>
    <w:rsid w:val="008F3EE5"/>
    <w:rsid w:val="008F422B"/>
    <w:rsid w:val="008F5076"/>
    <w:rsid w:val="008F5957"/>
    <w:rsid w:val="008F5DDB"/>
    <w:rsid w:val="008F5F18"/>
    <w:rsid w:val="008F5F81"/>
    <w:rsid w:val="008F6197"/>
    <w:rsid w:val="008F61F7"/>
    <w:rsid w:val="008F671C"/>
    <w:rsid w:val="008F6861"/>
    <w:rsid w:val="008F6C8F"/>
    <w:rsid w:val="008F6FE3"/>
    <w:rsid w:val="008F7000"/>
    <w:rsid w:val="008F7AD8"/>
    <w:rsid w:val="008F7BC5"/>
    <w:rsid w:val="0090068D"/>
    <w:rsid w:val="00900A12"/>
    <w:rsid w:val="00900F8B"/>
    <w:rsid w:val="00901541"/>
    <w:rsid w:val="00901786"/>
    <w:rsid w:val="00901B79"/>
    <w:rsid w:val="00902B07"/>
    <w:rsid w:val="009032B9"/>
    <w:rsid w:val="009037F3"/>
    <w:rsid w:val="00903A88"/>
    <w:rsid w:val="00903EBA"/>
    <w:rsid w:val="00903FD8"/>
    <w:rsid w:val="009044C4"/>
    <w:rsid w:val="00904C68"/>
    <w:rsid w:val="00905128"/>
    <w:rsid w:val="00905783"/>
    <w:rsid w:val="00905A2B"/>
    <w:rsid w:val="00905CB3"/>
    <w:rsid w:val="009061DF"/>
    <w:rsid w:val="009066BE"/>
    <w:rsid w:val="00906B1B"/>
    <w:rsid w:val="00906C20"/>
    <w:rsid w:val="00907219"/>
    <w:rsid w:val="0090746C"/>
    <w:rsid w:val="009078EA"/>
    <w:rsid w:val="00907AEC"/>
    <w:rsid w:val="00910F9F"/>
    <w:rsid w:val="0091143D"/>
    <w:rsid w:val="00911499"/>
    <w:rsid w:val="00911C48"/>
    <w:rsid w:val="00911F66"/>
    <w:rsid w:val="00912247"/>
    <w:rsid w:val="00912700"/>
    <w:rsid w:val="00912C09"/>
    <w:rsid w:val="00912D99"/>
    <w:rsid w:val="00912F40"/>
    <w:rsid w:val="009137E0"/>
    <w:rsid w:val="0091418B"/>
    <w:rsid w:val="0091436F"/>
    <w:rsid w:val="009150FF"/>
    <w:rsid w:val="009153B3"/>
    <w:rsid w:val="00915422"/>
    <w:rsid w:val="00915BF9"/>
    <w:rsid w:val="00915E7B"/>
    <w:rsid w:val="00916075"/>
    <w:rsid w:val="0091627B"/>
    <w:rsid w:val="009166C2"/>
    <w:rsid w:val="00916BE0"/>
    <w:rsid w:val="00917068"/>
    <w:rsid w:val="0091712B"/>
    <w:rsid w:val="00917753"/>
    <w:rsid w:val="009178A3"/>
    <w:rsid w:val="00917B51"/>
    <w:rsid w:val="00917BB2"/>
    <w:rsid w:val="00917E9C"/>
    <w:rsid w:val="009208FD"/>
    <w:rsid w:val="00920D7D"/>
    <w:rsid w:val="00921361"/>
    <w:rsid w:val="009214BB"/>
    <w:rsid w:val="00921949"/>
    <w:rsid w:val="00921F01"/>
    <w:rsid w:val="00921F25"/>
    <w:rsid w:val="009225C3"/>
    <w:rsid w:val="009225F0"/>
    <w:rsid w:val="00922AA4"/>
    <w:rsid w:val="00922C13"/>
    <w:rsid w:val="00922F8E"/>
    <w:rsid w:val="009231B7"/>
    <w:rsid w:val="009235D4"/>
    <w:rsid w:val="00923662"/>
    <w:rsid w:val="00923D02"/>
    <w:rsid w:val="00923ED2"/>
    <w:rsid w:val="00923F85"/>
    <w:rsid w:val="00924269"/>
    <w:rsid w:val="00924B8A"/>
    <w:rsid w:val="0092595C"/>
    <w:rsid w:val="00925EB2"/>
    <w:rsid w:val="00926654"/>
    <w:rsid w:val="00926A75"/>
    <w:rsid w:val="009271A0"/>
    <w:rsid w:val="00927BB9"/>
    <w:rsid w:val="00927C53"/>
    <w:rsid w:val="00927E43"/>
    <w:rsid w:val="0093026A"/>
    <w:rsid w:val="009306D7"/>
    <w:rsid w:val="00930AA4"/>
    <w:rsid w:val="009317E0"/>
    <w:rsid w:val="00931B3D"/>
    <w:rsid w:val="00931E21"/>
    <w:rsid w:val="0093201F"/>
    <w:rsid w:val="009320E0"/>
    <w:rsid w:val="009324EE"/>
    <w:rsid w:val="009326B7"/>
    <w:rsid w:val="009328CB"/>
    <w:rsid w:val="00932BB0"/>
    <w:rsid w:val="009336E6"/>
    <w:rsid w:val="00934615"/>
    <w:rsid w:val="0093493D"/>
    <w:rsid w:val="00934B01"/>
    <w:rsid w:val="00935202"/>
    <w:rsid w:val="0093538D"/>
    <w:rsid w:val="00935568"/>
    <w:rsid w:val="00935713"/>
    <w:rsid w:val="009357F6"/>
    <w:rsid w:val="00935BFF"/>
    <w:rsid w:val="00935C79"/>
    <w:rsid w:val="00936297"/>
    <w:rsid w:val="0093671D"/>
    <w:rsid w:val="009367C3"/>
    <w:rsid w:val="00936BE5"/>
    <w:rsid w:val="0093713E"/>
    <w:rsid w:val="0093768E"/>
    <w:rsid w:val="0093775E"/>
    <w:rsid w:val="009378A0"/>
    <w:rsid w:val="00937A02"/>
    <w:rsid w:val="00937A90"/>
    <w:rsid w:val="00937F12"/>
    <w:rsid w:val="0094007B"/>
    <w:rsid w:val="00940AC8"/>
    <w:rsid w:val="009412E4"/>
    <w:rsid w:val="00941789"/>
    <w:rsid w:val="009419C2"/>
    <w:rsid w:val="00941AE1"/>
    <w:rsid w:val="0094220A"/>
    <w:rsid w:val="009424FA"/>
    <w:rsid w:val="0094269A"/>
    <w:rsid w:val="009429DC"/>
    <w:rsid w:val="00942A7C"/>
    <w:rsid w:val="00942B30"/>
    <w:rsid w:val="00942D4E"/>
    <w:rsid w:val="009435A5"/>
    <w:rsid w:val="00943B88"/>
    <w:rsid w:val="0094456F"/>
    <w:rsid w:val="009445B5"/>
    <w:rsid w:val="0094473E"/>
    <w:rsid w:val="009447D8"/>
    <w:rsid w:val="00944A25"/>
    <w:rsid w:val="009454F1"/>
    <w:rsid w:val="00945558"/>
    <w:rsid w:val="00946B5E"/>
    <w:rsid w:val="00947184"/>
    <w:rsid w:val="0094719C"/>
    <w:rsid w:val="0094759A"/>
    <w:rsid w:val="0094785A"/>
    <w:rsid w:val="00947D39"/>
    <w:rsid w:val="00947ED0"/>
    <w:rsid w:val="009505FF"/>
    <w:rsid w:val="00950828"/>
    <w:rsid w:val="00950B06"/>
    <w:rsid w:val="00950C35"/>
    <w:rsid w:val="00950E16"/>
    <w:rsid w:val="00950F57"/>
    <w:rsid w:val="009515F1"/>
    <w:rsid w:val="009518F7"/>
    <w:rsid w:val="00951A99"/>
    <w:rsid w:val="00951BFC"/>
    <w:rsid w:val="00952E25"/>
    <w:rsid w:val="00953471"/>
    <w:rsid w:val="00953950"/>
    <w:rsid w:val="00953A35"/>
    <w:rsid w:val="00953D06"/>
    <w:rsid w:val="0095402C"/>
    <w:rsid w:val="009542C6"/>
    <w:rsid w:val="00954AFC"/>
    <w:rsid w:val="00954B41"/>
    <w:rsid w:val="00954BE8"/>
    <w:rsid w:val="009559D7"/>
    <w:rsid w:val="00955E1D"/>
    <w:rsid w:val="00956589"/>
    <w:rsid w:val="00956970"/>
    <w:rsid w:val="00956B39"/>
    <w:rsid w:val="00956FB0"/>
    <w:rsid w:val="00956FF5"/>
    <w:rsid w:val="0095767C"/>
    <w:rsid w:val="00957A3C"/>
    <w:rsid w:val="00957BA2"/>
    <w:rsid w:val="00960441"/>
    <w:rsid w:val="00960642"/>
    <w:rsid w:val="00960E0D"/>
    <w:rsid w:val="0096130D"/>
    <w:rsid w:val="00961536"/>
    <w:rsid w:val="009619EC"/>
    <w:rsid w:val="00961E2A"/>
    <w:rsid w:val="009621CB"/>
    <w:rsid w:val="00962274"/>
    <w:rsid w:val="00962529"/>
    <w:rsid w:val="00962BDE"/>
    <w:rsid w:val="00962E75"/>
    <w:rsid w:val="0096352F"/>
    <w:rsid w:val="0096383D"/>
    <w:rsid w:val="00963B9C"/>
    <w:rsid w:val="00963C37"/>
    <w:rsid w:val="00963E1E"/>
    <w:rsid w:val="00963FAC"/>
    <w:rsid w:val="0096419D"/>
    <w:rsid w:val="00964624"/>
    <w:rsid w:val="009649F6"/>
    <w:rsid w:val="00964D1E"/>
    <w:rsid w:val="00964F0A"/>
    <w:rsid w:val="00965840"/>
    <w:rsid w:val="00965845"/>
    <w:rsid w:val="00965AA4"/>
    <w:rsid w:val="00966075"/>
    <w:rsid w:val="009662D7"/>
    <w:rsid w:val="009668CB"/>
    <w:rsid w:val="009670DF"/>
    <w:rsid w:val="0096717B"/>
    <w:rsid w:val="00967946"/>
    <w:rsid w:val="00967D81"/>
    <w:rsid w:val="00967E1F"/>
    <w:rsid w:val="00967ED0"/>
    <w:rsid w:val="009705FC"/>
    <w:rsid w:val="00970943"/>
    <w:rsid w:val="0097098C"/>
    <w:rsid w:val="00970C76"/>
    <w:rsid w:val="00970E8D"/>
    <w:rsid w:val="00971133"/>
    <w:rsid w:val="00971AFA"/>
    <w:rsid w:val="00971FE7"/>
    <w:rsid w:val="00971FFF"/>
    <w:rsid w:val="00972ADE"/>
    <w:rsid w:val="0097372B"/>
    <w:rsid w:val="0097393A"/>
    <w:rsid w:val="00973FC4"/>
    <w:rsid w:val="00973FED"/>
    <w:rsid w:val="0097408A"/>
    <w:rsid w:val="009743B9"/>
    <w:rsid w:val="009751C7"/>
    <w:rsid w:val="00975223"/>
    <w:rsid w:val="00975575"/>
    <w:rsid w:val="009756C7"/>
    <w:rsid w:val="0097606C"/>
    <w:rsid w:val="00976212"/>
    <w:rsid w:val="009763C0"/>
    <w:rsid w:val="009764A6"/>
    <w:rsid w:val="009766E3"/>
    <w:rsid w:val="00976DFB"/>
    <w:rsid w:val="009771AB"/>
    <w:rsid w:val="009775AF"/>
    <w:rsid w:val="0097789B"/>
    <w:rsid w:val="009778A2"/>
    <w:rsid w:val="00977A86"/>
    <w:rsid w:val="00977C8D"/>
    <w:rsid w:val="0098005A"/>
    <w:rsid w:val="0098038B"/>
    <w:rsid w:val="00980762"/>
    <w:rsid w:val="0098083B"/>
    <w:rsid w:val="009815B5"/>
    <w:rsid w:val="00981910"/>
    <w:rsid w:val="00981A4F"/>
    <w:rsid w:val="00981F62"/>
    <w:rsid w:val="0098237F"/>
    <w:rsid w:val="00982555"/>
    <w:rsid w:val="009828F7"/>
    <w:rsid w:val="00982904"/>
    <w:rsid w:val="009829B7"/>
    <w:rsid w:val="00982D07"/>
    <w:rsid w:val="009831E2"/>
    <w:rsid w:val="00983A91"/>
    <w:rsid w:val="009844DD"/>
    <w:rsid w:val="009845DC"/>
    <w:rsid w:val="00985C0D"/>
    <w:rsid w:val="00987151"/>
    <w:rsid w:val="009877F0"/>
    <w:rsid w:val="00987EBD"/>
    <w:rsid w:val="0099018C"/>
    <w:rsid w:val="009908C2"/>
    <w:rsid w:val="00991387"/>
    <w:rsid w:val="00991565"/>
    <w:rsid w:val="00991D34"/>
    <w:rsid w:val="009920B0"/>
    <w:rsid w:val="00992404"/>
    <w:rsid w:val="0099244D"/>
    <w:rsid w:val="009926EF"/>
    <w:rsid w:val="0099288C"/>
    <w:rsid w:val="00992973"/>
    <w:rsid w:val="00993289"/>
    <w:rsid w:val="00993616"/>
    <w:rsid w:val="00994939"/>
    <w:rsid w:val="00994BD3"/>
    <w:rsid w:val="00994F30"/>
    <w:rsid w:val="00994F7F"/>
    <w:rsid w:val="00995393"/>
    <w:rsid w:val="009958C5"/>
    <w:rsid w:val="00995CBE"/>
    <w:rsid w:val="00995DAD"/>
    <w:rsid w:val="00995DBC"/>
    <w:rsid w:val="00995E90"/>
    <w:rsid w:val="00996799"/>
    <w:rsid w:val="0099680B"/>
    <w:rsid w:val="00996C06"/>
    <w:rsid w:val="00996DA7"/>
    <w:rsid w:val="00997D57"/>
    <w:rsid w:val="00997E5C"/>
    <w:rsid w:val="00997E6C"/>
    <w:rsid w:val="009A009C"/>
    <w:rsid w:val="009A05CF"/>
    <w:rsid w:val="009A07CD"/>
    <w:rsid w:val="009A169F"/>
    <w:rsid w:val="009A226E"/>
    <w:rsid w:val="009A2C72"/>
    <w:rsid w:val="009A30A6"/>
    <w:rsid w:val="009A39D1"/>
    <w:rsid w:val="009A3A3E"/>
    <w:rsid w:val="009A3E3E"/>
    <w:rsid w:val="009A4312"/>
    <w:rsid w:val="009A457A"/>
    <w:rsid w:val="009A463D"/>
    <w:rsid w:val="009A4D1D"/>
    <w:rsid w:val="009A4D78"/>
    <w:rsid w:val="009A5BF8"/>
    <w:rsid w:val="009A6183"/>
    <w:rsid w:val="009A62FB"/>
    <w:rsid w:val="009A65FF"/>
    <w:rsid w:val="009A6884"/>
    <w:rsid w:val="009A6ABC"/>
    <w:rsid w:val="009A6F9C"/>
    <w:rsid w:val="009A70C4"/>
    <w:rsid w:val="009A71CD"/>
    <w:rsid w:val="009A7591"/>
    <w:rsid w:val="009A7A2A"/>
    <w:rsid w:val="009A7CA2"/>
    <w:rsid w:val="009B0074"/>
    <w:rsid w:val="009B0C71"/>
    <w:rsid w:val="009B0DF4"/>
    <w:rsid w:val="009B0FE0"/>
    <w:rsid w:val="009B1C61"/>
    <w:rsid w:val="009B1CFF"/>
    <w:rsid w:val="009B29D5"/>
    <w:rsid w:val="009B2AF8"/>
    <w:rsid w:val="009B31D5"/>
    <w:rsid w:val="009B3290"/>
    <w:rsid w:val="009B3BBE"/>
    <w:rsid w:val="009B3DD6"/>
    <w:rsid w:val="009B3E4D"/>
    <w:rsid w:val="009B4135"/>
    <w:rsid w:val="009B44E4"/>
    <w:rsid w:val="009B4D53"/>
    <w:rsid w:val="009B4E3A"/>
    <w:rsid w:val="009B4E55"/>
    <w:rsid w:val="009B51FD"/>
    <w:rsid w:val="009B5A33"/>
    <w:rsid w:val="009B5C87"/>
    <w:rsid w:val="009B683A"/>
    <w:rsid w:val="009B6F13"/>
    <w:rsid w:val="009B703B"/>
    <w:rsid w:val="009B7137"/>
    <w:rsid w:val="009B756B"/>
    <w:rsid w:val="009B7CA4"/>
    <w:rsid w:val="009C02DF"/>
    <w:rsid w:val="009C0600"/>
    <w:rsid w:val="009C0D22"/>
    <w:rsid w:val="009C0F1E"/>
    <w:rsid w:val="009C1165"/>
    <w:rsid w:val="009C1189"/>
    <w:rsid w:val="009C1662"/>
    <w:rsid w:val="009C1B3C"/>
    <w:rsid w:val="009C1C12"/>
    <w:rsid w:val="009C22F7"/>
    <w:rsid w:val="009C2BED"/>
    <w:rsid w:val="009C2E31"/>
    <w:rsid w:val="009C356A"/>
    <w:rsid w:val="009C3EB6"/>
    <w:rsid w:val="009C4267"/>
    <w:rsid w:val="009C4843"/>
    <w:rsid w:val="009C4978"/>
    <w:rsid w:val="009C6DA0"/>
    <w:rsid w:val="009C6E55"/>
    <w:rsid w:val="009C7044"/>
    <w:rsid w:val="009C7125"/>
    <w:rsid w:val="009C748F"/>
    <w:rsid w:val="009C75C7"/>
    <w:rsid w:val="009C796A"/>
    <w:rsid w:val="009C7B16"/>
    <w:rsid w:val="009C7BBB"/>
    <w:rsid w:val="009D00FD"/>
    <w:rsid w:val="009D0267"/>
    <w:rsid w:val="009D0495"/>
    <w:rsid w:val="009D0D10"/>
    <w:rsid w:val="009D104E"/>
    <w:rsid w:val="009D12FA"/>
    <w:rsid w:val="009D1388"/>
    <w:rsid w:val="009D2D2E"/>
    <w:rsid w:val="009D2EF3"/>
    <w:rsid w:val="009D3658"/>
    <w:rsid w:val="009D3B43"/>
    <w:rsid w:val="009D45E6"/>
    <w:rsid w:val="009D4BF2"/>
    <w:rsid w:val="009D4EAB"/>
    <w:rsid w:val="009D4F29"/>
    <w:rsid w:val="009D5230"/>
    <w:rsid w:val="009D56BC"/>
    <w:rsid w:val="009D587E"/>
    <w:rsid w:val="009D5B04"/>
    <w:rsid w:val="009D6115"/>
    <w:rsid w:val="009D61FD"/>
    <w:rsid w:val="009D64D2"/>
    <w:rsid w:val="009D69FE"/>
    <w:rsid w:val="009D6AF0"/>
    <w:rsid w:val="009D6EB9"/>
    <w:rsid w:val="009D6EFD"/>
    <w:rsid w:val="009D6F33"/>
    <w:rsid w:val="009D6F79"/>
    <w:rsid w:val="009D7DFA"/>
    <w:rsid w:val="009E0627"/>
    <w:rsid w:val="009E0D36"/>
    <w:rsid w:val="009E0F2F"/>
    <w:rsid w:val="009E1222"/>
    <w:rsid w:val="009E1259"/>
    <w:rsid w:val="009E1B38"/>
    <w:rsid w:val="009E1E53"/>
    <w:rsid w:val="009E1EDD"/>
    <w:rsid w:val="009E2181"/>
    <w:rsid w:val="009E24F8"/>
    <w:rsid w:val="009E2645"/>
    <w:rsid w:val="009E28D8"/>
    <w:rsid w:val="009E2F52"/>
    <w:rsid w:val="009E345A"/>
    <w:rsid w:val="009E34CA"/>
    <w:rsid w:val="009E3E9E"/>
    <w:rsid w:val="009E4126"/>
    <w:rsid w:val="009E44F5"/>
    <w:rsid w:val="009E4866"/>
    <w:rsid w:val="009E4D11"/>
    <w:rsid w:val="009E53D7"/>
    <w:rsid w:val="009E5EDE"/>
    <w:rsid w:val="009E73C4"/>
    <w:rsid w:val="009E749F"/>
    <w:rsid w:val="009E7A97"/>
    <w:rsid w:val="009E7F6B"/>
    <w:rsid w:val="009F03F2"/>
    <w:rsid w:val="009F075E"/>
    <w:rsid w:val="009F0ACF"/>
    <w:rsid w:val="009F1B5A"/>
    <w:rsid w:val="009F211B"/>
    <w:rsid w:val="009F2A2A"/>
    <w:rsid w:val="009F2C71"/>
    <w:rsid w:val="009F3203"/>
    <w:rsid w:val="009F40C7"/>
    <w:rsid w:val="009F4118"/>
    <w:rsid w:val="009F4E02"/>
    <w:rsid w:val="009F5726"/>
    <w:rsid w:val="009F5943"/>
    <w:rsid w:val="009F5B5E"/>
    <w:rsid w:val="009F698E"/>
    <w:rsid w:val="009F6DA4"/>
    <w:rsid w:val="009F6FC5"/>
    <w:rsid w:val="009F79C5"/>
    <w:rsid w:val="00A00421"/>
    <w:rsid w:val="00A00611"/>
    <w:rsid w:val="00A009EE"/>
    <w:rsid w:val="00A00C57"/>
    <w:rsid w:val="00A01250"/>
    <w:rsid w:val="00A018C0"/>
    <w:rsid w:val="00A01AC9"/>
    <w:rsid w:val="00A01BA5"/>
    <w:rsid w:val="00A03319"/>
    <w:rsid w:val="00A03667"/>
    <w:rsid w:val="00A036A0"/>
    <w:rsid w:val="00A03CB1"/>
    <w:rsid w:val="00A04112"/>
    <w:rsid w:val="00A0431B"/>
    <w:rsid w:val="00A0441E"/>
    <w:rsid w:val="00A04FA1"/>
    <w:rsid w:val="00A05252"/>
    <w:rsid w:val="00A05D9A"/>
    <w:rsid w:val="00A06038"/>
    <w:rsid w:val="00A06958"/>
    <w:rsid w:val="00A06D18"/>
    <w:rsid w:val="00A06D2E"/>
    <w:rsid w:val="00A07797"/>
    <w:rsid w:val="00A07861"/>
    <w:rsid w:val="00A07A60"/>
    <w:rsid w:val="00A07B3D"/>
    <w:rsid w:val="00A07D7B"/>
    <w:rsid w:val="00A1063A"/>
    <w:rsid w:val="00A10787"/>
    <w:rsid w:val="00A109D6"/>
    <w:rsid w:val="00A10B1B"/>
    <w:rsid w:val="00A10B79"/>
    <w:rsid w:val="00A10CA8"/>
    <w:rsid w:val="00A1124F"/>
    <w:rsid w:val="00A117DC"/>
    <w:rsid w:val="00A12BE2"/>
    <w:rsid w:val="00A135E1"/>
    <w:rsid w:val="00A13769"/>
    <w:rsid w:val="00A13860"/>
    <w:rsid w:val="00A13A6D"/>
    <w:rsid w:val="00A13B05"/>
    <w:rsid w:val="00A140B9"/>
    <w:rsid w:val="00A14C9C"/>
    <w:rsid w:val="00A156D7"/>
    <w:rsid w:val="00A15DDC"/>
    <w:rsid w:val="00A16CA5"/>
    <w:rsid w:val="00A16DF2"/>
    <w:rsid w:val="00A16F95"/>
    <w:rsid w:val="00A171B1"/>
    <w:rsid w:val="00A1721F"/>
    <w:rsid w:val="00A17500"/>
    <w:rsid w:val="00A177DC"/>
    <w:rsid w:val="00A17B87"/>
    <w:rsid w:val="00A2013F"/>
    <w:rsid w:val="00A20469"/>
    <w:rsid w:val="00A2048C"/>
    <w:rsid w:val="00A205CE"/>
    <w:rsid w:val="00A206D9"/>
    <w:rsid w:val="00A20D23"/>
    <w:rsid w:val="00A20ED5"/>
    <w:rsid w:val="00A20FD2"/>
    <w:rsid w:val="00A21351"/>
    <w:rsid w:val="00A214EF"/>
    <w:rsid w:val="00A214F1"/>
    <w:rsid w:val="00A217A2"/>
    <w:rsid w:val="00A21F05"/>
    <w:rsid w:val="00A22880"/>
    <w:rsid w:val="00A2293E"/>
    <w:rsid w:val="00A229C2"/>
    <w:rsid w:val="00A23BAE"/>
    <w:rsid w:val="00A24085"/>
    <w:rsid w:val="00A240B5"/>
    <w:rsid w:val="00A245A4"/>
    <w:rsid w:val="00A25033"/>
    <w:rsid w:val="00A25277"/>
    <w:rsid w:val="00A2565D"/>
    <w:rsid w:val="00A25936"/>
    <w:rsid w:val="00A26403"/>
    <w:rsid w:val="00A26FBE"/>
    <w:rsid w:val="00A27A7C"/>
    <w:rsid w:val="00A27D13"/>
    <w:rsid w:val="00A27FCE"/>
    <w:rsid w:val="00A27FFD"/>
    <w:rsid w:val="00A305C9"/>
    <w:rsid w:val="00A30E78"/>
    <w:rsid w:val="00A3112E"/>
    <w:rsid w:val="00A3191E"/>
    <w:rsid w:val="00A3231F"/>
    <w:rsid w:val="00A32362"/>
    <w:rsid w:val="00A32380"/>
    <w:rsid w:val="00A32968"/>
    <w:rsid w:val="00A32D9B"/>
    <w:rsid w:val="00A3362A"/>
    <w:rsid w:val="00A3420B"/>
    <w:rsid w:val="00A345E1"/>
    <w:rsid w:val="00A34798"/>
    <w:rsid w:val="00A357E6"/>
    <w:rsid w:val="00A35E79"/>
    <w:rsid w:val="00A35F17"/>
    <w:rsid w:val="00A3644F"/>
    <w:rsid w:val="00A36614"/>
    <w:rsid w:val="00A36CA0"/>
    <w:rsid w:val="00A36D28"/>
    <w:rsid w:val="00A4016B"/>
    <w:rsid w:val="00A407DF"/>
    <w:rsid w:val="00A40A20"/>
    <w:rsid w:val="00A40FF3"/>
    <w:rsid w:val="00A4183C"/>
    <w:rsid w:val="00A41868"/>
    <w:rsid w:val="00A420AF"/>
    <w:rsid w:val="00A4261D"/>
    <w:rsid w:val="00A4275A"/>
    <w:rsid w:val="00A42A3F"/>
    <w:rsid w:val="00A42A51"/>
    <w:rsid w:val="00A42AF8"/>
    <w:rsid w:val="00A42FD7"/>
    <w:rsid w:val="00A4302C"/>
    <w:rsid w:val="00A43210"/>
    <w:rsid w:val="00A433DC"/>
    <w:rsid w:val="00A437A4"/>
    <w:rsid w:val="00A437F9"/>
    <w:rsid w:val="00A43C98"/>
    <w:rsid w:val="00A44189"/>
    <w:rsid w:val="00A4428D"/>
    <w:rsid w:val="00A444E1"/>
    <w:rsid w:val="00A44509"/>
    <w:rsid w:val="00A448C3"/>
    <w:rsid w:val="00A44CED"/>
    <w:rsid w:val="00A44F15"/>
    <w:rsid w:val="00A44FD9"/>
    <w:rsid w:val="00A4578F"/>
    <w:rsid w:val="00A45C94"/>
    <w:rsid w:val="00A4618A"/>
    <w:rsid w:val="00A465C1"/>
    <w:rsid w:val="00A46CC4"/>
    <w:rsid w:val="00A47174"/>
    <w:rsid w:val="00A47AA4"/>
    <w:rsid w:val="00A47FD4"/>
    <w:rsid w:val="00A5004D"/>
    <w:rsid w:val="00A5015B"/>
    <w:rsid w:val="00A50759"/>
    <w:rsid w:val="00A50A16"/>
    <w:rsid w:val="00A50E6B"/>
    <w:rsid w:val="00A50F0B"/>
    <w:rsid w:val="00A51A2C"/>
    <w:rsid w:val="00A520D0"/>
    <w:rsid w:val="00A5253F"/>
    <w:rsid w:val="00A52B8F"/>
    <w:rsid w:val="00A53095"/>
    <w:rsid w:val="00A53208"/>
    <w:rsid w:val="00A53459"/>
    <w:rsid w:val="00A53574"/>
    <w:rsid w:val="00A53BEE"/>
    <w:rsid w:val="00A53F0E"/>
    <w:rsid w:val="00A54414"/>
    <w:rsid w:val="00A54DBF"/>
    <w:rsid w:val="00A55012"/>
    <w:rsid w:val="00A55527"/>
    <w:rsid w:val="00A55556"/>
    <w:rsid w:val="00A55E6F"/>
    <w:rsid w:val="00A56772"/>
    <w:rsid w:val="00A56C5D"/>
    <w:rsid w:val="00A5726A"/>
    <w:rsid w:val="00A572D1"/>
    <w:rsid w:val="00A57BA3"/>
    <w:rsid w:val="00A57EBB"/>
    <w:rsid w:val="00A603D9"/>
    <w:rsid w:val="00A6071B"/>
    <w:rsid w:val="00A607EB"/>
    <w:rsid w:val="00A60968"/>
    <w:rsid w:val="00A60CBE"/>
    <w:rsid w:val="00A61026"/>
    <w:rsid w:val="00A61166"/>
    <w:rsid w:val="00A611B0"/>
    <w:rsid w:val="00A61388"/>
    <w:rsid w:val="00A616AE"/>
    <w:rsid w:val="00A628FE"/>
    <w:rsid w:val="00A62A1E"/>
    <w:rsid w:val="00A62D28"/>
    <w:rsid w:val="00A63A0A"/>
    <w:rsid w:val="00A63C27"/>
    <w:rsid w:val="00A63C5B"/>
    <w:rsid w:val="00A64641"/>
    <w:rsid w:val="00A6488F"/>
    <w:rsid w:val="00A6495B"/>
    <w:rsid w:val="00A652A2"/>
    <w:rsid w:val="00A655EA"/>
    <w:rsid w:val="00A65BFA"/>
    <w:rsid w:val="00A65ED0"/>
    <w:rsid w:val="00A66171"/>
    <w:rsid w:val="00A66579"/>
    <w:rsid w:val="00A66825"/>
    <w:rsid w:val="00A66AC1"/>
    <w:rsid w:val="00A67051"/>
    <w:rsid w:val="00A705C0"/>
    <w:rsid w:val="00A708DB"/>
    <w:rsid w:val="00A70AF3"/>
    <w:rsid w:val="00A70B06"/>
    <w:rsid w:val="00A71094"/>
    <w:rsid w:val="00A71188"/>
    <w:rsid w:val="00A71307"/>
    <w:rsid w:val="00A715C4"/>
    <w:rsid w:val="00A7169F"/>
    <w:rsid w:val="00A71751"/>
    <w:rsid w:val="00A717FB"/>
    <w:rsid w:val="00A71EB8"/>
    <w:rsid w:val="00A72071"/>
    <w:rsid w:val="00A72564"/>
    <w:rsid w:val="00A72767"/>
    <w:rsid w:val="00A729D1"/>
    <w:rsid w:val="00A73A78"/>
    <w:rsid w:val="00A73D60"/>
    <w:rsid w:val="00A73E2A"/>
    <w:rsid w:val="00A74085"/>
    <w:rsid w:val="00A743E2"/>
    <w:rsid w:val="00A746C5"/>
    <w:rsid w:val="00A74A07"/>
    <w:rsid w:val="00A75682"/>
    <w:rsid w:val="00A75728"/>
    <w:rsid w:val="00A75761"/>
    <w:rsid w:val="00A75BE0"/>
    <w:rsid w:val="00A7665F"/>
    <w:rsid w:val="00A7681F"/>
    <w:rsid w:val="00A77334"/>
    <w:rsid w:val="00A77671"/>
    <w:rsid w:val="00A77BC4"/>
    <w:rsid w:val="00A77E93"/>
    <w:rsid w:val="00A8155E"/>
    <w:rsid w:val="00A815AC"/>
    <w:rsid w:val="00A81AB5"/>
    <w:rsid w:val="00A824D3"/>
    <w:rsid w:val="00A82612"/>
    <w:rsid w:val="00A8298A"/>
    <w:rsid w:val="00A831DF"/>
    <w:rsid w:val="00A835A6"/>
    <w:rsid w:val="00A8378F"/>
    <w:rsid w:val="00A839CD"/>
    <w:rsid w:val="00A83BC5"/>
    <w:rsid w:val="00A83CF9"/>
    <w:rsid w:val="00A83FA3"/>
    <w:rsid w:val="00A83FD5"/>
    <w:rsid w:val="00A84295"/>
    <w:rsid w:val="00A8429F"/>
    <w:rsid w:val="00A8432E"/>
    <w:rsid w:val="00A8577F"/>
    <w:rsid w:val="00A8595C"/>
    <w:rsid w:val="00A8598E"/>
    <w:rsid w:val="00A86069"/>
    <w:rsid w:val="00A86A56"/>
    <w:rsid w:val="00A86BE1"/>
    <w:rsid w:val="00A870B5"/>
    <w:rsid w:val="00A872F9"/>
    <w:rsid w:val="00A87334"/>
    <w:rsid w:val="00A87904"/>
    <w:rsid w:val="00A87F5D"/>
    <w:rsid w:val="00A903A7"/>
    <w:rsid w:val="00A906B8"/>
    <w:rsid w:val="00A906E9"/>
    <w:rsid w:val="00A91B4B"/>
    <w:rsid w:val="00A92810"/>
    <w:rsid w:val="00A92ABE"/>
    <w:rsid w:val="00A93115"/>
    <w:rsid w:val="00A932B8"/>
    <w:rsid w:val="00A9352C"/>
    <w:rsid w:val="00A93A02"/>
    <w:rsid w:val="00A93E39"/>
    <w:rsid w:val="00A942B4"/>
    <w:rsid w:val="00A946DA"/>
    <w:rsid w:val="00A9491A"/>
    <w:rsid w:val="00A94CBF"/>
    <w:rsid w:val="00A95077"/>
    <w:rsid w:val="00A950A2"/>
    <w:rsid w:val="00A955DD"/>
    <w:rsid w:val="00A9629F"/>
    <w:rsid w:val="00A9631C"/>
    <w:rsid w:val="00A965FC"/>
    <w:rsid w:val="00A966FB"/>
    <w:rsid w:val="00A96BBF"/>
    <w:rsid w:val="00A96D98"/>
    <w:rsid w:val="00A96ED6"/>
    <w:rsid w:val="00A97507"/>
    <w:rsid w:val="00A977AC"/>
    <w:rsid w:val="00A97D95"/>
    <w:rsid w:val="00A97E1E"/>
    <w:rsid w:val="00AA023A"/>
    <w:rsid w:val="00AA058A"/>
    <w:rsid w:val="00AA05A7"/>
    <w:rsid w:val="00AA0E0F"/>
    <w:rsid w:val="00AA0E6B"/>
    <w:rsid w:val="00AA156C"/>
    <w:rsid w:val="00AA1854"/>
    <w:rsid w:val="00AA1A1F"/>
    <w:rsid w:val="00AA2C69"/>
    <w:rsid w:val="00AA2CF9"/>
    <w:rsid w:val="00AA2D80"/>
    <w:rsid w:val="00AA2DC3"/>
    <w:rsid w:val="00AA303C"/>
    <w:rsid w:val="00AA3F6F"/>
    <w:rsid w:val="00AA40DB"/>
    <w:rsid w:val="00AA41CB"/>
    <w:rsid w:val="00AA4412"/>
    <w:rsid w:val="00AA45AB"/>
    <w:rsid w:val="00AA4B0E"/>
    <w:rsid w:val="00AA4E68"/>
    <w:rsid w:val="00AA50B2"/>
    <w:rsid w:val="00AA56AD"/>
    <w:rsid w:val="00AA5B6A"/>
    <w:rsid w:val="00AA5BC6"/>
    <w:rsid w:val="00AA5C05"/>
    <w:rsid w:val="00AA5CBC"/>
    <w:rsid w:val="00AA6762"/>
    <w:rsid w:val="00AA67F9"/>
    <w:rsid w:val="00AA7905"/>
    <w:rsid w:val="00AA7E1A"/>
    <w:rsid w:val="00AB0044"/>
    <w:rsid w:val="00AB074E"/>
    <w:rsid w:val="00AB0D14"/>
    <w:rsid w:val="00AB0D56"/>
    <w:rsid w:val="00AB1768"/>
    <w:rsid w:val="00AB1F92"/>
    <w:rsid w:val="00AB2286"/>
    <w:rsid w:val="00AB2433"/>
    <w:rsid w:val="00AB2B6D"/>
    <w:rsid w:val="00AB32B2"/>
    <w:rsid w:val="00AB3693"/>
    <w:rsid w:val="00AB4419"/>
    <w:rsid w:val="00AB47E0"/>
    <w:rsid w:val="00AB48A1"/>
    <w:rsid w:val="00AB490E"/>
    <w:rsid w:val="00AB4B48"/>
    <w:rsid w:val="00AB4B5B"/>
    <w:rsid w:val="00AB4B6E"/>
    <w:rsid w:val="00AB4F22"/>
    <w:rsid w:val="00AB50BA"/>
    <w:rsid w:val="00AB52E2"/>
    <w:rsid w:val="00AB5DE9"/>
    <w:rsid w:val="00AB5E7D"/>
    <w:rsid w:val="00AB6379"/>
    <w:rsid w:val="00AB66B3"/>
    <w:rsid w:val="00AB6737"/>
    <w:rsid w:val="00AB74FC"/>
    <w:rsid w:val="00AB7868"/>
    <w:rsid w:val="00AB79FE"/>
    <w:rsid w:val="00AB7BB8"/>
    <w:rsid w:val="00AC0264"/>
    <w:rsid w:val="00AC0645"/>
    <w:rsid w:val="00AC068C"/>
    <w:rsid w:val="00AC07F3"/>
    <w:rsid w:val="00AC0A02"/>
    <w:rsid w:val="00AC0AB8"/>
    <w:rsid w:val="00AC0F59"/>
    <w:rsid w:val="00AC10DE"/>
    <w:rsid w:val="00AC19DF"/>
    <w:rsid w:val="00AC1AFA"/>
    <w:rsid w:val="00AC1CE0"/>
    <w:rsid w:val="00AC21DD"/>
    <w:rsid w:val="00AC2715"/>
    <w:rsid w:val="00AC2B28"/>
    <w:rsid w:val="00AC2B8E"/>
    <w:rsid w:val="00AC2E99"/>
    <w:rsid w:val="00AC3504"/>
    <w:rsid w:val="00AC3987"/>
    <w:rsid w:val="00AC3A02"/>
    <w:rsid w:val="00AC3AF6"/>
    <w:rsid w:val="00AC3C10"/>
    <w:rsid w:val="00AC3D65"/>
    <w:rsid w:val="00AC3E9B"/>
    <w:rsid w:val="00AC4259"/>
    <w:rsid w:val="00AC492C"/>
    <w:rsid w:val="00AC4ACF"/>
    <w:rsid w:val="00AC5A26"/>
    <w:rsid w:val="00AC5A84"/>
    <w:rsid w:val="00AC61BC"/>
    <w:rsid w:val="00AC64BD"/>
    <w:rsid w:val="00AC675D"/>
    <w:rsid w:val="00AC6D07"/>
    <w:rsid w:val="00AC76A3"/>
    <w:rsid w:val="00AC7B96"/>
    <w:rsid w:val="00AC7DF3"/>
    <w:rsid w:val="00AD014C"/>
    <w:rsid w:val="00AD0652"/>
    <w:rsid w:val="00AD1393"/>
    <w:rsid w:val="00AD1AF5"/>
    <w:rsid w:val="00AD1D0D"/>
    <w:rsid w:val="00AD23A5"/>
    <w:rsid w:val="00AD270B"/>
    <w:rsid w:val="00AD27D8"/>
    <w:rsid w:val="00AD2DEE"/>
    <w:rsid w:val="00AD3114"/>
    <w:rsid w:val="00AD324D"/>
    <w:rsid w:val="00AD3799"/>
    <w:rsid w:val="00AD39CD"/>
    <w:rsid w:val="00AD4232"/>
    <w:rsid w:val="00AD4854"/>
    <w:rsid w:val="00AD49C0"/>
    <w:rsid w:val="00AD49ED"/>
    <w:rsid w:val="00AD5E06"/>
    <w:rsid w:val="00AD66B3"/>
    <w:rsid w:val="00AD6957"/>
    <w:rsid w:val="00AD6EE8"/>
    <w:rsid w:val="00AD750E"/>
    <w:rsid w:val="00AD75F1"/>
    <w:rsid w:val="00AE008E"/>
    <w:rsid w:val="00AE0658"/>
    <w:rsid w:val="00AE0B02"/>
    <w:rsid w:val="00AE0DD7"/>
    <w:rsid w:val="00AE0FB9"/>
    <w:rsid w:val="00AE19D3"/>
    <w:rsid w:val="00AE19FA"/>
    <w:rsid w:val="00AE1C33"/>
    <w:rsid w:val="00AE1C84"/>
    <w:rsid w:val="00AE286F"/>
    <w:rsid w:val="00AE35AD"/>
    <w:rsid w:val="00AE3637"/>
    <w:rsid w:val="00AE3992"/>
    <w:rsid w:val="00AE3CB3"/>
    <w:rsid w:val="00AE46FC"/>
    <w:rsid w:val="00AE4755"/>
    <w:rsid w:val="00AE4892"/>
    <w:rsid w:val="00AE49CD"/>
    <w:rsid w:val="00AE4B5A"/>
    <w:rsid w:val="00AE5085"/>
    <w:rsid w:val="00AE50E9"/>
    <w:rsid w:val="00AE5103"/>
    <w:rsid w:val="00AE5433"/>
    <w:rsid w:val="00AE5523"/>
    <w:rsid w:val="00AE5C6D"/>
    <w:rsid w:val="00AE63EB"/>
    <w:rsid w:val="00AE6A1C"/>
    <w:rsid w:val="00AE6C35"/>
    <w:rsid w:val="00AE6C39"/>
    <w:rsid w:val="00AE709D"/>
    <w:rsid w:val="00AE78C2"/>
    <w:rsid w:val="00AE78D8"/>
    <w:rsid w:val="00AE7C7F"/>
    <w:rsid w:val="00AE7F98"/>
    <w:rsid w:val="00AF0810"/>
    <w:rsid w:val="00AF0A15"/>
    <w:rsid w:val="00AF0A49"/>
    <w:rsid w:val="00AF0D99"/>
    <w:rsid w:val="00AF17F8"/>
    <w:rsid w:val="00AF18BB"/>
    <w:rsid w:val="00AF1B01"/>
    <w:rsid w:val="00AF1B57"/>
    <w:rsid w:val="00AF23C2"/>
    <w:rsid w:val="00AF295C"/>
    <w:rsid w:val="00AF2AB3"/>
    <w:rsid w:val="00AF3030"/>
    <w:rsid w:val="00AF306F"/>
    <w:rsid w:val="00AF34E3"/>
    <w:rsid w:val="00AF3DA1"/>
    <w:rsid w:val="00AF4099"/>
    <w:rsid w:val="00AF423C"/>
    <w:rsid w:val="00AF4AAE"/>
    <w:rsid w:val="00AF4CE4"/>
    <w:rsid w:val="00AF5D59"/>
    <w:rsid w:val="00AF6BA9"/>
    <w:rsid w:val="00AF7236"/>
    <w:rsid w:val="00AF7375"/>
    <w:rsid w:val="00AF746E"/>
    <w:rsid w:val="00AF7D53"/>
    <w:rsid w:val="00AF7EB7"/>
    <w:rsid w:val="00B0068E"/>
    <w:rsid w:val="00B008D3"/>
    <w:rsid w:val="00B00A05"/>
    <w:rsid w:val="00B00C86"/>
    <w:rsid w:val="00B01049"/>
    <w:rsid w:val="00B013F6"/>
    <w:rsid w:val="00B0148D"/>
    <w:rsid w:val="00B01B10"/>
    <w:rsid w:val="00B026EF"/>
    <w:rsid w:val="00B0290E"/>
    <w:rsid w:val="00B0295B"/>
    <w:rsid w:val="00B02DEE"/>
    <w:rsid w:val="00B02F5B"/>
    <w:rsid w:val="00B02FD2"/>
    <w:rsid w:val="00B037A6"/>
    <w:rsid w:val="00B0387E"/>
    <w:rsid w:val="00B0399D"/>
    <w:rsid w:val="00B04112"/>
    <w:rsid w:val="00B041B0"/>
    <w:rsid w:val="00B04AC5"/>
    <w:rsid w:val="00B05161"/>
    <w:rsid w:val="00B05556"/>
    <w:rsid w:val="00B05975"/>
    <w:rsid w:val="00B05E46"/>
    <w:rsid w:val="00B0654A"/>
    <w:rsid w:val="00B0668F"/>
    <w:rsid w:val="00B06E06"/>
    <w:rsid w:val="00B06F5C"/>
    <w:rsid w:val="00B078E1"/>
    <w:rsid w:val="00B07D5B"/>
    <w:rsid w:val="00B10308"/>
    <w:rsid w:val="00B1038E"/>
    <w:rsid w:val="00B10C52"/>
    <w:rsid w:val="00B113A8"/>
    <w:rsid w:val="00B11B02"/>
    <w:rsid w:val="00B1202C"/>
    <w:rsid w:val="00B1223C"/>
    <w:rsid w:val="00B12552"/>
    <w:rsid w:val="00B1295A"/>
    <w:rsid w:val="00B1351F"/>
    <w:rsid w:val="00B13A54"/>
    <w:rsid w:val="00B13BF0"/>
    <w:rsid w:val="00B13D31"/>
    <w:rsid w:val="00B14395"/>
    <w:rsid w:val="00B146CF"/>
    <w:rsid w:val="00B14A8D"/>
    <w:rsid w:val="00B15104"/>
    <w:rsid w:val="00B1549C"/>
    <w:rsid w:val="00B157F8"/>
    <w:rsid w:val="00B15C58"/>
    <w:rsid w:val="00B16150"/>
    <w:rsid w:val="00B16433"/>
    <w:rsid w:val="00B166AD"/>
    <w:rsid w:val="00B16A62"/>
    <w:rsid w:val="00B16D28"/>
    <w:rsid w:val="00B17446"/>
    <w:rsid w:val="00B17525"/>
    <w:rsid w:val="00B20060"/>
    <w:rsid w:val="00B203CB"/>
    <w:rsid w:val="00B20ACC"/>
    <w:rsid w:val="00B211C5"/>
    <w:rsid w:val="00B21249"/>
    <w:rsid w:val="00B2132B"/>
    <w:rsid w:val="00B215BC"/>
    <w:rsid w:val="00B228C5"/>
    <w:rsid w:val="00B23226"/>
    <w:rsid w:val="00B239F3"/>
    <w:rsid w:val="00B23ED8"/>
    <w:rsid w:val="00B23F12"/>
    <w:rsid w:val="00B240BA"/>
    <w:rsid w:val="00B24D29"/>
    <w:rsid w:val="00B258E2"/>
    <w:rsid w:val="00B26D4B"/>
    <w:rsid w:val="00B272ED"/>
    <w:rsid w:val="00B27640"/>
    <w:rsid w:val="00B279AC"/>
    <w:rsid w:val="00B30993"/>
    <w:rsid w:val="00B30B6F"/>
    <w:rsid w:val="00B31155"/>
    <w:rsid w:val="00B3118E"/>
    <w:rsid w:val="00B3129A"/>
    <w:rsid w:val="00B31B37"/>
    <w:rsid w:val="00B31DD2"/>
    <w:rsid w:val="00B32193"/>
    <w:rsid w:val="00B32F02"/>
    <w:rsid w:val="00B3346A"/>
    <w:rsid w:val="00B33CA8"/>
    <w:rsid w:val="00B3407B"/>
    <w:rsid w:val="00B342E2"/>
    <w:rsid w:val="00B343CA"/>
    <w:rsid w:val="00B347A4"/>
    <w:rsid w:val="00B34C3A"/>
    <w:rsid w:val="00B34E4D"/>
    <w:rsid w:val="00B36380"/>
    <w:rsid w:val="00B36AC9"/>
    <w:rsid w:val="00B36E39"/>
    <w:rsid w:val="00B374CF"/>
    <w:rsid w:val="00B37655"/>
    <w:rsid w:val="00B37A25"/>
    <w:rsid w:val="00B37E35"/>
    <w:rsid w:val="00B40535"/>
    <w:rsid w:val="00B40AAC"/>
    <w:rsid w:val="00B41036"/>
    <w:rsid w:val="00B411C7"/>
    <w:rsid w:val="00B41506"/>
    <w:rsid w:val="00B41FA0"/>
    <w:rsid w:val="00B4203C"/>
    <w:rsid w:val="00B42C1E"/>
    <w:rsid w:val="00B42C4A"/>
    <w:rsid w:val="00B42E88"/>
    <w:rsid w:val="00B436EF"/>
    <w:rsid w:val="00B4398C"/>
    <w:rsid w:val="00B44A30"/>
    <w:rsid w:val="00B44D95"/>
    <w:rsid w:val="00B44F92"/>
    <w:rsid w:val="00B45ACE"/>
    <w:rsid w:val="00B45ADC"/>
    <w:rsid w:val="00B45AF5"/>
    <w:rsid w:val="00B464F9"/>
    <w:rsid w:val="00B465D4"/>
    <w:rsid w:val="00B469A0"/>
    <w:rsid w:val="00B46B76"/>
    <w:rsid w:val="00B46D22"/>
    <w:rsid w:val="00B47031"/>
    <w:rsid w:val="00B476C2"/>
    <w:rsid w:val="00B47CA6"/>
    <w:rsid w:val="00B47CE7"/>
    <w:rsid w:val="00B47D17"/>
    <w:rsid w:val="00B47F3A"/>
    <w:rsid w:val="00B505AD"/>
    <w:rsid w:val="00B5187D"/>
    <w:rsid w:val="00B51F13"/>
    <w:rsid w:val="00B51F35"/>
    <w:rsid w:val="00B52052"/>
    <w:rsid w:val="00B52682"/>
    <w:rsid w:val="00B5297F"/>
    <w:rsid w:val="00B52E24"/>
    <w:rsid w:val="00B538A7"/>
    <w:rsid w:val="00B539C7"/>
    <w:rsid w:val="00B53AD0"/>
    <w:rsid w:val="00B54716"/>
    <w:rsid w:val="00B54B88"/>
    <w:rsid w:val="00B54DB6"/>
    <w:rsid w:val="00B55B48"/>
    <w:rsid w:val="00B55D89"/>
    <w:rsid w:val="00B55FCF"/>
    <w:rsid w:val="00B60504"/>
    <w:rsid w:val="00B6066A"/>
    <w:rsid w:val="00B60A3B"/>
    <w:rsid w:val="00B60F01"/>
    <w:rsid w:val="00B60F6F"/>
    <w:rsid w:val="00B61481"/>
    <w:rsid w:val="00B614E1"/>
    <w:rsid w:val="00B61658"/>
    <w:rsid w:val="00B6170B"/>
    <w:rsid w:val="00B619CB"/>
    <w:rsid w:val="00B61B36"/>
    <w:rsid w:val="00B62134"/>
    <w:rsid w:val="00B6222E"/>
    <w:rsid w:val="00B623C2"/>
    <w:rsid w:val="00B62CBB"/>
    <w:rsid w:val="00B62F8A"/>
    <w:rsid w:val="00B630B9"/>
    <w:rsid w:val="00B63785"/>
    <w:rsid w:val="00B639DE"/>
    <w:rsid w:val="00B63C2C"/>
    <w:rsid w:val="00B63F6C"/>
    <w:rsid w:val="00B64492"/>
    <w:rsid w:val="00B6477A"/>
    <w:rsid w:val="00B6481B"/>
    <w:rsid w:val="00B6489B"/>
    <w:rsid w:val="00B65BDB"/>
    <w:rsid w:val="00B66A78"/>
    <w:rsid w:val="00B67C0A"/>
    <w:rsid w:val="00B67CAD"/>
    <w:rsid w:val="00B67E70"/>
    <w:rsid w:val="00B67FDF"/>
    <w:rsid w:val="00B702BC"/>
    <w:rsid w:val="00B7074F"/>
    <w:rsid w:val="00B70795"/>
    <w:rsid w:val="00B70A6D"/>
    <w:rsid w:val="00B70BAE"/>
    <w:rsid w:val="00B71188"/>
    <w:rsid w:val="00B71268"/>
    <w:rsid w:val="00B7147E"/>
    <w:rsid w:val="00B7173B"/>
    <w:rsid w:val="00B719FF"/>
    <w:rsid w:val="00B71FB3"/>
    <w:rsid w:val="00B7260A"/>
    <w:rsid w:val="00B72763"/>
    <w:rsid w:val="00B728AE"/>
    <w:rsid w:val="00B728C9"/>
    <w:rsid w:val="00B72ADB"/>
    <w:rsid w:val="00B72B7A"/>
    <w:rsid w:val="00B73062"/>
    <w:rsid w:val="00B733D0"/>
    <w:rsid w:val="00B73775"/>
    <w:rsid w:val="00B7377B"/>
    <w:rsid w:val="00B73DA2"/>
    <w:rsid w:val="00B74170"/>
    <w:rsid w:val="00B7477A"/>
    <w:rsid w:val="00B74E9C"/>
    <w:rsid w:val="00B75024"/>
    <w:rsid w:val="00B75153"/>
    <w:rsid w:val="00B752C7"/>
    <w:rsid w:val="00B75B32"/>
    <w:rsid w:val="00B76B05"/>
    <w:rsid w:val="00B76CE2"/>
    <w:rsid w:val="00B7722D"/>
    <w:rsid w:val="00B77859"/>
    <w:rsid w:val="00B77C6B"/>
    <w:rsid w:val="00B8003B"/>
    <w:rsid w:val="00B8102C"/>
    <w:rsid w:val="00B81828"/>
    <w:rsid w:val="00B818CE"/>
    <w:rsid w:val="00B81A34"/>
    <w:rsid w:val="00B81D7A"/>
    <w:rsid w:val="00B81DD7"/>
    <w:rsid w:val="00B82204"/>
    <w:rsid w:val="00B82BEB"/>
    <w:rsid w:val="00B83040"/>
    <w:rsid w:val="00B83058"/>
    <w:rsid w:val="00B83353"/>
    <w:rsid w:val="00B83A9D"/>
    <w:rsid w:val="00B8473E"/>
    <w:rsid w:val="00B85383"/>
    <w:rsid w:val="00B86CC6"/>
    <w:rsid w:val="00B9006C"/>
    <w:rsid w:val="00B9009F"/>
    <w:rsid w:val="00B901B8"/>
    <w:rsid w:val="00B90268"/>
    <w:rsid w:val="00B9047F"/>
    <w:rsid w:val="00B90953"/>
    <w:rsid w:val="00B90C30"/>
    <w:rsid w:val="00B910B7"/>
    <w:rsid w:val="00B917CC"/>
    <w:rsid w:val="00B91CE8"/>
    <w:rsid w:val="00B91F2C"/>
    <w:rsid w:val="00B92322"/>
    <w:rsid w:val="00B926AF"/>
    <w:rsid w:val="00B9322A"/>
    <w:rsid w:val="00B93418"/>
    <w:rsid w:val="00B9404F"/>
    <w:rsid w:val="00B9475A"/>
    <w:rsid w:val="00B94F2D"/>
    <w:rsid w:val="00B9521C"/>
    <w:rsid w:val="00B95757"/>
    <w:rsid w:val="00B95B0A"/>
    <w:rsid w:val="00B95D1A"/>
    <w:rsid w:val="00B9641B"/>
    <w:rsid w:val="00B96A63"/>
    <w:rsid w:val="00B96D43"/>
    <w:rsid w:val="00B96E16"/>
    <w:rsid w:val="00B96E64"/>
    <w:rsid w:val="00B97A26"/>
    <w:rsid w:val="00BA008F"/>
    <w:rsid w:val="00BA062D"/>
    <w:rsid w:val="00BA09F1"/>
    <w:rsid w:val="00BA0CCF"/>
    <w:rsid w:val="00BA0E06"/>
    <w:rsid w:val="00BA0FBD"/>
    <w:rsid w:val="00BA1722"/>
    <w:rsid w:val="00BA17D9"/>
    <w:rsid w:val="00BA17F4"/>
    <w:rsid w:val="00BA1B87"/>
    <w:rsid w:val="00BA2DB9"/>
    <w:rsid w:val="00BA3996"/>
    <w:rsid w:val="00BA3A26"/>
    <w:rsid w:val="00BA3B9E"/>
    <w:rsid w:val="00BA3CCD"/>
    <w:rsid w:val="00BA44CA"/>
    <w:rsid w:val="00BA4675"/>
    <w:rsid w:val="00BA4A85"/>
    <w:rsid w:val="00BA4E6E"/>
    <w:rsid w:val="00BA5461"/>
    <w:rsid w:val="00BA56FB"/>
    <w:rsid w:val="00BA5714"/>
    <w:rsid w:val="00BA5CAB"/>
    <w:rsid w:val="00BA5CD0"/>
    <w:rsid w:val="00BA63A0"/>
    <w:rsid w:val="00BA662E"/>
    <w:rsid w:val="00BA73EA"/>
    <w:rsid w:val="00BA74F8"/>
    <w:rsid w:val="00BA7718"/>
    <w:rsid w:val="00BB0400"/>
    <w:rsid w:val="00BB0F42"/>
    <w:rsid w:val="00BB15DB"/>
    <w:rsid w:val="00BB1F49"/>
    <w:rsid w:val="00BB24AA"/>
    <w:rsid w:val="00BB26C4"/>
    <w:rsid w:val="00BB2C6C"/>
    <w:rsid w:val="00BB31C0"/>
    <w:rsid w:val="00BB31E7"/>
    <w:rsid w:val="00BB3D13"/>
    <w:rsid w:val="00BB3E2E"/>
    <w:rsid w:val="00BB3FBB"/>
    <w:rsid w:val="00BB43F9"/>
    <w:rsid w:val="00BB550B"/>
    <w:rsid w:val="00BB5518"/>
    <w:rsid w:val="00BB5774"/>
    <w:rsid w:val="00BB5FA7"/>
    <w:rsid w:val="00BB63A9"/>
    <w:rsid w:val="00BB6432"/>
    <w:rsid w:val="00BB7058"/>
    <w:rsid w:val="00BB7169"/>
    <w:rsid w:val="00BB738C"/>
    <w:rsid w:val="00BB73BA"/>
    <w:rsid w:val="00BC009A"/>
    <w:rsid w:val="00BC06E7"/>
    <w:rsid w:val="00BC0808"/>
    <w:rsid w:val="00BC09DA"/>
    <w:rsid w:val="00BC0F3F"/>
    <w:rsid w:val="00BC0F85"/>
    <w:rsid w:val="00BC114B"/>
    <w:rsid w:val="00BC283F"/>
    <w:rsid w:val="00BC32D3"/>
    <w:rsid w:val="00BC3FC8"/>
    <w:rsid w:val="00BC4021"/>
    <w:rsid w:val="00BC422F"/>
    <w:rsid w:val="00BC4256"/>
    <w:rsid w:val="00BC44B7"/>
    <w:rsid w:val="00BC4A59"/>
    <w:rsid w:val="00BC4BE8"/>
    <w:rsid w:val="00BC573C"/>
    <w:rsid w:val="00BC5BF5"/>
    <w:rsid w:val="00BC6505"/>
    <w:rsid w:val="00BC6708"/>
    <w:rsid w:val="00BC7181"/>
    <w:rsid w:val="00BC7F08"/>
    <w:rsid w:val="00BD03D8"/>
    <w:rsid w:val="00BD05F3"/>
    <w:rsid w:val="00BD0708"/>
    <w:rsid w:val="00BD0D90"/>
    <w:rsid w:val="00BD19CA"/>
    <w:rsid w:val="00BD1B96"/>
    <w:rsid w:val="00BD27C7"/>
    <w:rsid w:val="00BD282A"/>
    <w:rsid w:val="00BD293D"/>
    <w:rsid w:val="00BD2D78"/>
    <w:rsid w:val="00BD38EE"/>
    <w:rsid w:val="00BD42E9"/>
    <w:rsid w:val="00BD43DC"/>
    <w:rsid w:val="00BD4453"/>
    <w:rsid w:val="00BD4660"/>
    <w:rsid w:val="00BD4E75"/>
    <w:rsid w:val="00BD50F3"/>
    <w:rsid w:val="00BD5EAA"/>
    <w:rsid w:val="00BD6341"/>
    <w:rsid w:val="00BD64BC"/>
    <w:rsid w:val="00BD65C4"/>
    <w:rsid w:val="00BD6B14"/>
    <w:rsid w:val="00BD6CC5"/>
    <w:rsid w:val="00BD71F1"/>
    <w:rsid w:val="00BD7EE2"/>
    <w:rsid w:val="00BE038C"/>
    <w:rsid w:val="00BE05B3"/>
    <w:rsid w:val="00BE0628"/>
    <w:rsid w:val="00BE0B5E"/>
    <w:rsid w:val="00BE0FB1"/>
    <w:rsid w:val="00BE0FFF"/>
    <w:rsid w:val="00BE1F43"/>
    <w:rsid w:val="00BE1FFB"/>
    <w:rsid w:val="00BE24D1"/>
    <w:rsid w:val="00BE2B2F"/>
    <w:rsid w:val="00BE3BBD"/>
    <w:rsid w:val="00BE4005"/>
    <w:rsid w:val="00BE44D8"/>
    <w:rsid w:val="00BE5226"/>
    <w:rsid w:val="00BE5502"/>
    <w:rsid w:val="00BE5642"/>
    <w:rsid w:val="00BE632A"/>
    <w:rsid w:val="00BE6425"/>
    <w:rsid w:val="00BE671D"/>
    <w:rsid w:val="00BE6A81"/>
    <w:rsid w:val="00BE7055"/>
    <w:rsid w:val="00BE7148"/>
    <w:rsid w:val="00BE74C1"/>
    <w:rsid w:val="00BE770F"/>
    <w:rsid w:val="00BE7929"/>
    <w:rsid w:val="00BE7C18"/>
    <w:rsid w:val="00BE7C97"/>
    <w:rsid w:val="00BF0587"/>
    <w:rsid w:val="00BF0688"/>
    <w:rsid w:val="00BF0968"/>
    <w:rsid w:val="00BF0B69"/>
    <w:rsid w:val="00BF0D36"/>
    <w:rsid w:val="00BF0F38"/>
    <w:rsid w:val="00BF1AB2"/>
    <w:rsid w:val="00BF1BA8"/>
    <w:rsid w:val="00BF1D35"/>
    <w:rsid w:val="00BF1F8D"/>
    <w:rsid w:val="00BF2168"/>
    <w:rsid w:val="00BF260D"/>
    <w:rsid w:val="00BF297B"/>
    <w:rsid w:val="00BF2C6D"/>
    <w:rsid w:val="00BF2F41"/>
    <w:rsid w:val="00BF2FFF"/>
    <w:rsid w:val="00BF318E"/>
    <w:rsid w:val="00BF38EC"/>
    <w:rsid w:val="00BF3CFE"/>
    <w:rsid w:val="00BF4368"/>
    <w:rsid w:val="00BF4A3F"/>
    <w:rsid w:val="00BF512A"/>
    <w:rsid w:val="00BF5E9E"/>
    <w:rsid w:val="00BF5F32"/>
    <w:rsid w:val="00BF64CD"/>
    <w:rsid w:val="00BF65EB"/>
    <w:rsid w:val="00BF6FDE"/>
    <w:rsid w:val="00BF78EB"/>
    <w:rsid w:val="00BF7F65"/>
    <w:rsid w:val="00BF7F6C"/>
    <w:rsid w:val="00C003B6"/>
    <w:rsid w:val="00C00E17"/>
    <w:rsid w:val="00C011A9"/>
    <w:rsid w:val="00C012F5"/>
    <w:rsid w:val="00C018CA"/>
    <w:rsid w:val="00C0258E"/>
    <w:rsid w:val="00C02687"/>
    <w:rsid w:val="00C04A73"/>
    <w:rsid w:val="00C051B6"/>
    <w:rsid w:val="00C0531E"/>
    <w:rsid w:val="00C0564A"/>
    <w:rsid w:val="00C057F4"/>
    <w:rsid w:val="00C0586E"/>
    <w:rsid w:val="00C05ED4"/>
    <w:rsid w:val="00C063BF"/>
    <w:rsid w:val="00C06811"/>
    <w:rsid w:val="00C069ED"/>
    <w:rsid w:val="00C06CFC"/>
    <w:rsid w:val="00C06E0F"/>
    <w:rsid w:val="00C07241"/>
    <w:rsid w:val="00C07318"/>
    <w:rsid w:val="00C0764B"/>
    <w:rsid w:val="00C07D01"/>
    <w:rsid w:val="00C07F4A"/>
    <w:rsid w:val="00C10488"/>
    <w:rsid w:val="00C10686"/>
    <w:rsid w:val="00C1068B"/>
    <w:rsid w:val="00C107E1"/>
    <w:rsid w:val="00C10DFF"/>
    <w:rsid w:val="00C11A0F"/>
    <w:rsid w:val="00C11AEB"/>
    <w:rsid w:val="00C11E2E"/>
    <w:rsid w:val="00C11EF5"/>
    <w:rsid w:val="00C124B6"/>
    <w:rsid w:val="00C124F2"/>
    <w:rsid w:val="00C126E4"/>
    <w:rsid w:val="00C12752"/>
    <w:rsid w:val="00C13293"/>
    <w:rsid w:val="00C133C4"/>
    <w:rsid w:val="00C13684"/>
    <w:rsid w:val="00C13AE6"/>
    <w:rsid w:val="00C140FE"/>
    <w:rsid w:val="00C1442D"/>
    <w:rsid w:val="00C155C6"/>
    <w:rsid w:val="00C1598B"/>
    <w:rsid w:val="00C16218"/>
    <w:rsid w:val="00C16D20"/>
    <w:rsid w:val="00C17402"/>
    <w:rsid w:val="00C17773"/>
    <w:rsid w:val="00C17B4E"/>
    <w:rsid w:val="00C17CD3"/>
    <w:rsid w:val="00C17D73"/>
    <w:rsid w:val="00C200FB"/>
    <w:rsid w:val="00C20D5B"/>
    <w:rsid w:val="00C20E7C"/>
    <w:rsid w:val="00C21576"/>
    <w:rsid w:val="00C21689"/>
    <w:rsid w:val="00C21BEE"/>
    <w:rsid w:val="00C22142"/>
    <w:rsid w:val="00C22324"/>
    <w:rsid w:val="00C22A9B"/>
    <w:rsid w:val="00C22CE6"/>
    <w:rsid w:val="00C24737"/>
    <w:rsid w:val="00C24819"/>
    <w:rsid w:val="00C24D2A"/>
    <w:rsid w:val="00C254FF"/>
    <w:rsid w:val="00C25781"/>
    <w:rsid w:val="00C25D1D"/>
    <w:rsid w:val="00C2602D"/>
    <w:rsid w:val="00C26582"/>
    <w:rsid w:val="00C269A9"/>
    <w:rsid w:val="00C271E3"/>
    <w:rsid w:val="00C27282"/>
    <w:rsid w:val="00C2758C"/>
    <w:rsid w:val="00C27827"/>
    <w:rsid w:val="00C27BB4"/>
    <w:rsid w:val="00C30D4D"/>
    <w:rsid w:val="00C312BE"/>
    <w:rsid w:val="00C316CE"/>
    <w:rsid w:val="00C31C3C"/>
    <w:rsid w:val="00C31DE8"/>
    <w:rsid w:val="00C32973"/>
    <w:rsid w:val="00C32D41"/>
    <w:rsid w:val="00C3300A"/>
    <w:rsid w:val="00C3300D"/>
    <w:rsid w:val="00C333D7"/>
    <w:rsid w:val="00C33531"/>
    <w:rsid w:val="00C336A4"/>
    <w:rsid w:val="00C33E22"/>
    <w:rsid w:val="00C33F7A"/>
    <w:rsid w:val="00C33F80"/>
    <w:rsid w:val="00C33FF4"/>
    <w:rsid w:val="00C342D0"/>
    <w:rsid w:val="00C3448D"/>
    <w:rsid w:val="00C34A84"/>
    <w:rsid w:val="00C34D98"/>
    <w:rsid w:val="00C353F6"/>
    <w:rsid w:val="00C3574C"/>
    <w:rsid w:val="00C36A9F"/>
    <w:rsid w:val="00C370F1"/>
    <w:rsid w:val="00C3718E"/>
    <w:rsid w:val="00C374C0"/>
    <w:rsid w:val="00C40BC9"/>
    <w:rsid w:val="00C4193A"/>
    <w:rsid w:val="00C4256B"/>
    <w:rsid w:val="00C42813"/>
    <w:rsid w:val="00C42C23"/>
    <w:rsid w:val="00C42D5D"/>
    <w:rsid w:val="00C433BD"/>
    <w:rsid w:val="00C434A5"/>
    <w:rsid w:val="00C435F6"/>
    <w:rsid w:val="00C43A60"/>
    <w:rsid w:val="00C4435E"/>
    <w:rsid w:val="00C44EF1"/>
    <w:rsid w:val="00C456C2"/>
    <w:rsid w:val="00C45930"/>
    <w:rsid w:val="00C45971"/>
    <w:rsid w:val="00C47506"/>
    <w:rsid w:val="00C47650"/>
    <w:rsid w:val="00C5011D"/>
    <w:rsid w:val="00C50E16"/>
    <w:rsid w:val="00C50E73"/>
    <w:rsid w:val="00C5132E"/>
    <w:rsid w:val="00C5188F"/>
    <w:rsid w:val="00C51D1A"/>
    <w:rsid w:val="00C52EA2"/>
    <w:rsid w:val="00C5318E"/>
    <w:rsid w:val="00C53E95"/>
    <w:rsid w:val="00C5446B"/>
    <w:rsid w:val="00C54B33"/>
    <w:rsid w:val="00C55276"/>
    <w:rsid w:val="00C55568"/>
    <w:rsid w:val="00C55C11"/>
    <w:rsid w:val="00C55F36"/>
    <w:rsid w:val="00C5623B"/>
    <w:rsid w:val="00C5694E"/>
    <w:rsid w:val="00C56B75"/>
    <w:rsid w:val="00C56F1B"/>
    <w:rsid w:val="00C579B7"/>
    <w:rsid w:val="00C57D56"/>
    <w:rsid w:val="00C6031C"/>
    <w:rsid w:val="00C60469"/>
    <w:rsid w:val="00C6066F"/>
    <w:rsid w:val="00C606BB"/>
    <w:rsid w:val="00C60DBB"/>
    <w:rsid w:val="00C6103B"/>
    <w:rsid w:val="00C61B1E"/>
    <w:rsid w:val="00C61E29"/>
    <w:rsid w:val="00C6315A"/>
    <w:rsid w:val="00C6386F"/>
    <w:rsid w:val="00C63C33"/>
    <w:rsid w:val="00C63C5A"/>
    <w:rsid w:val="00C640FB"/>
    <w:rsid w:val="00C6414A"/>
    <w:rsid w:val="00C644DE"/>
    <w:rsid w:val="00C647B3"/>
    <w:rsid w:val="00C64CE0"/>
    <w:rsid w:val="00C6562A"/>
    <w:rsid w:val="00C663B1"/>
    <w:rsid w:val="00C66BC9"/>
    <w:rsid w:val="00C66F6C"/>
    <w:rsid w:val="00C677CE"/>
    <w:rsid w:val="00C7001E"/>
    <w:rsid w:val="00C70060"/>
    <w:rsid w:val="00C70B25"/>
    <w:rsid w:val="00C70FF4"/>
    <w:rsid w:val="00C714B0"/>
    <w:rsid w:val="00C7199A"/>
    <w:rsid w:val="00C71D44"/>
    <w:rsid w:val="00C7296E"/>
    <w:rsid w:val="00C72C15"/>
    <w:rsid w:val="00C72C1A"/>
    <w:rsid w:val="00C72C30"/>
    <w:rsid w:val="00C72C99"/>
    <w:rsid w:val="00C73530"/>
    <w:rsid w:val="00C73C14"/>
    <w:rsid w:val="00C73E03"/>
    <w:rsid w:val="00C73F1C"/>
    <w:rsid w:val="00C75445"/>
    <w:rsid w:val="00C754F3"/>
    <w:rsid w:val="00C75978"/>
    <w:rsid w:val="00C76085"/>
    <w:rsid w:val="00C762BC"/>
    <w:rsid w:val="00C76524"/>
    <w:rsid w:val="00C76977"/>
    <w:rsid w:val="00C76A32"/>
    <w:rsid w:val="00C76D31"/>
    <w:rsid w:val="00C77180"/>
    <w:rsid w:val="00C77BB2"/>
    <w:rsid w:val="00C804C9"/>
    <w:rsid w:val="00C80AFE"/>
    <w:rsid w:val="00C80DDD"/>
    <w:rsid w:val="00C80F60"/>
    <w:rsid w:val="00C814F7"/>
    <w:rsid w:val="00C8165A"/>
    <w:rsid w:val="00C8188D"/>
    <w:rsid w:val="00C819A1"/>
    <w:rsid w:val="00C81DDE"/>
    <w:rsid w:val="00C822C1"/>
    <w:rsid w:val="00C82763"/>
    <w:rsid w:val="00C82F8A"/>
    <w:rsid w:val="00C8307B"/>
    <w:rsid w:val="00C84087"/>
    <w:rsid w:val="00C8473A"/>
    <w:rsid w:val="00C848AD"/>
    <w:rsid w:val="00C84D5D"/>
    <w:rsid w:val="00C851CA"/>
    <w:rsid w:val="00C85277"/>
    <w:rsid w:val="00C85382"/>
    <w:rsid w:val="00C853AE"/>
    <w:rsid w:val="00C85633"/>
    <w:rsid w:val="00C857EB"/>
    <w:rsid w:val="00C8590B"/>
    <w:rsid w:val="00C85E57"/>
    <w:rsid w:val="00C86572"/>
    <w:rsid w:val="00C867C7"/>
    <w:rsid w:val="00C86B08"/>
    <w:rsid w:val="00C87C60"/>
    <w:rsid w:val="00C90068"/>
    <w:rsid w:val="00C908CB"/>
    <w:rsid w:val="00C909A3"/>
    <w:rsid w:val="00C90ABD"/>
    <w:rsid w:val="00C90B12"/>
    <w:rsid w:val="00C90B8E"/>
    <w:rsid w:val="00C90CA9"/>
    <w:rsid w:val="00C90CFD"/>
    <w:rsid w:val="00C92028"/>
    <w:rsid w:val="00C92298"/>
    <w:rsid w:val="00C92815"/>
    <w:rsid w:val="00C92DDE"/>
    <w:rsid w:val="00C94146"/>
    <w:rsid w:val="00C945B0"/>
    <w:rsid w:val="00C95313"/>
    <w:rsid w:val="00C953F8"/>
    <w:rsid w:val="00C95BFB"/>
    <w:rsid w:val="00C95E33"/>
    <w:rsid w:val="00C95F27"/>
    <w:rsid w:val="00C964A6"/>
    <w:rsid w:val="00C96875"/>
    <w:rsid w:val="00C969A9"/>
    <w:rsid w:val="00C96D3A"/>
    <w:rsid w:val="00C97782"/>
    <w:rsid w:val="00C97A3E"/>
    <w:rsid w:val="00C97B26"/>
    <w:rsid w:val="00C97B70"/>
    <w:rsid w:val="00C97C79"/>
    <w:rsid w:val="00C97E49"/>
    <w:rsid w:val="00CA0384"/>
    <w:rsid w:val="00CA05AD"/>
    <w:rsid w:val="00CA1DC9"/>
    <w:rsid w:val="00CA2723"/>
    <w:rsid w:val="00CA2750"/>
    <w:rsid w:val="00CA27B8"/>
    <w:rsid w:val="00CA2AFD"/>
    <w:rsid w:val="00CA3C95"/>
    <w:rsid w:val="00CA3D5E"/>
    <w:rsid w:val="00CA4948"/>
    <w:rsid w:val="00CA4FF8"/>
    <w:rsid w:val="00CA5056"/>
    <w:rsid w:val="00CA5331"/>
    <w:rsid w:val="00CA59B3"/>
    <w:rsid w:val="00CA5D34"/>
    <w:rsid w:val="00CA6112"/>
    <w:rsid w:val="00CA6C9B"/>
    <w:rsid w:val="00CA6CD1"/>
    <w:rsid w:val="00CA6DC1"/>
    <w:rsid w:val="00CA6EE7"/>
    <w:rsid w:val="00CA764A"/>
    <w:rsid w:val="00CA79F5"/>
    <w:rsid w:val="00CB07A9"/>
    <w:rsid w:val="00CB0874"/>
    <w:rsid w:val="00CB095B"/>
    <w:rsid w:val="00CB0DB3"/>
    <w:rsid w:val="00CB16DA"/>
    <w:rsid w:val="00CB1729"/>
    <w:rsid w:val="00CB1EFD"/>
    <w:rsid w:val="00CB1FF0"/>
    <w:rsid w:val="00CB2798"/>
    <w:rsid w:val="00CB2835"/>
    <w:rsid w:val="00CB28D7"/>
    <w:rsid w:val="00CB4212"/>
    <w:rsid w:val="00CB43F1"/>
    <w:rsid w:val="00CB507B"/>
    <w:rsid w:val="00CB602C"/>
    <w:rsid w:val="00CB6257"/>
    <w:rsid w:val="00CB6364"/>
    <w:rsid w:val="00CB65A0"/>
    <w:rsid w:val="00CB6638"/>
    <w:rsid w:val="00CB6746"/>
    <w:rsid w:val="00CB6A42"/>
    <w:rsid w:val="00CC0431"/>
    <w:rsid w:val="00CC11F9"/>
    <w:rsid w:val="00CC1633"/>
    <w:rsid w:val="00CC343D"/>
    <w:rsid w:val="00CC3702"/>
    <w:rsid w:val="00CC47A6"/>
    <w:rsid w:val="00CC4A0C"/>
    <w:rsid w:val="00CC4F06"/>
    <w:rsid w:val="00CC4F19"/>
    <w:rsid w:val="00CC50EF"/>
    <w:rsid w:val="00CC5973"/>
    <w:rsid w:val="00CC5B5A"/>
    <w:rsid w:val="00CC6504"/>
    <w:rsid w:val="00CC690A"/>
    <w:rsid w:val="00CC6C09"/>
    <w:rsid w:val="00CC6D64"/>
    <w:rsid w:val="00CC73BD"/>
    <w:rsid w:val="00CC7D03"/>
    <w:rsid w:val="00CC7D5A"/>
    <w:rsid w:val="00CD0032"/>
    <w:rsid w:val="00CD025D"/>
    <w:rsid w:val="00CD0485"/>
    <w:rsid w:val="00CD0F38"/>
    <w:rsid w:val="00CD1160"/>
    <w:rsid w:val="00CD146A"/>
    <w:rsid w:val="00CD16F6"/>
    <w:rsid w:val="00CD18AF"/>
    <w:rsid w:val="00CD1BCE"/>
    <w:rsid w:val="00CD1F33"/>
    <w:rsid w:val="00CD2052"/>
    <w:rsid w:val="00CD255F"/>
    <w:rsid w:val="00CD29BC"/>
    <w:rsid w:val="00CD348A"/>
    <w:rsid w:val="00CD3D9A"/>
    <w:rsid w:val="00CD3DF5"/>
    <w:rsid w:val="00CD3F31"/>
    <w:rsid w:val="00CD3F95"/>
    <w:rsid w:val="00CD4070"/>
    <w:rsid w:val="00CD432F"/>
    <w:rsid w:val="00CD44A6"/>
    <w:rsid w:val="00CD4A80"/>
    <w:rsid w:val="00CD4A83"/>
    <w:rsid w:val="00CD54B2"/>
    <w:rsid w:val="00CD551A"/>
    <w:rsid w:val="00CD5717"/>
    <w:rsid w:val="00CD6F49"/>
    <w:rsid w:val="00CD700E"/>
    <w:rsid w:val="00CD7757"/>
    <w:rsid w:val="00CE06A4"/>
    <w:rsid w:val="00CE0872"/>
    <w:rsid w:val="00CE093E"/>
    <w:rsid w:val="00CE0C0C"/>
    <w:rsid w:val="00CE0C8A"/>
    <w:rsid w:val="00CE0EC4"/>
    <w:rsid w:val="00CE1055"/>
    <w:rsid w:val="00CE107E"/>
    <w:rsid w:val="00CE20CB"/>
    <w:rsid w:val="00CE23A6"/>
    <w:rsid w:val="00CE2443"/>
    <w:rsid w:val="00CE261F"/>
    <w:rsid w:val="00CE2CE0"/>
    <w:rsid w:val="00CE2D35"/>
    <w:rsid w:val="00CE3164"/>
    <w:rsid w:val="00CE35AA"/>
    <w:rsid w:val="00CE39FC"/>
    <w:rsid w:val="00CE3DBD"/>
    <w:rsid w:val="00CE402B"/>
    <w:rsid w:val="00CE41E1"/>
    <w:rsid w:val="00CE5DA8"/>
    <w:rsid w:val="00CE5E5D"/>
    <w:rsid w:val="00CE5FA6"/>
    <w:rsid w:val="00CE652E"/>
    <w:rsid w:val="00CE6F2B"/>
    <w:rsid w:val="00CE7007"/>
    <w:rsid w:val="00CE720A"/>
    <w:rsid w:val="00CE7AAE"/>
    <w:rsid w:val="00CE7C28"/>
    <w:rsid w:val="00CE7C64"/>
    <w:rsid w:val="00CF010C"/>
    <w:rsid w:val="00CF0188"/>
    <w:rsid w:val="00CF110F"/>
    <w:rsid w:val="00CF12E0"/>
    <w:rsid w:val="00CF183A"/>
    <w:rsid w:val="00CF1922"/>
    <w:rsid w:val="00CF1E38"/>
    <w:rsid w:val="00CF1F08"/>
    <w:rsid w:val="00CF1FB1"/>
    <w:rsid w:val="00CF28EE"/>
    <w:rsid w:val="00CF29C9"/>
    <w:rsid w:val="00CF2CC0"/>
    <w:rsid w:val="00CF2F88"/>
    <w:rsid w:val="00CF319A"/>
    <w:rsid w:val="00CF3867"/>
    <w:rsid w:val="00CF3C5E"/>
    <w:rsid w:val="00CF3C9E"/>
    <w:rsid w:val="00CF4385"/>
    <w:rsid w:val="00CF4938"/>
    <w:rsid w:val="00CF4950"/>
    <w:rsid w:val="00CF4C15"/>
    <w:rsid w:val="00CF5098"/>
    <w:rsid w:val="00CF50AE"/>
    <w:rsid w:val="00CF55B4"/>
    <w:rsid w:val="00CF563A"/>
    <w:rsid w:val="00CF5E35"/>
    <w:rsid w:val="00CF74D3"/>
    <w:rsid w:val="00CF77D3"/>
    <w:rsid w:val="00D001DC"/>
    <w:rsid w:val="00D008ED"/>
    <w:rsid w:val="00D00C38"/>
    <w:rsid w:val="00D00CEE"/>
    <w:rsid w:val="00D00DD9"/>
    <w:rsid w:val="00D011A8"/>
    <w:rsid w:val="00D015BC"/>
    <w:rsid w:val="00D01A76"/>
    <w:rsid w:val="00D02377"/>
    <w:rsid w:val="00D02421"/>
    <w:rsid w:val="00D028F1"/>
    <w:rsid w:val="00D02EEF"/>
    <w:rsid w:val="00D039E9"/>
    <w:rsid w:val="00D03A43"/>
    <w:rsid w:val="00D04C02"/>
    <w:rsid w:val="00D0500C"/>
    <w:rsid w:val="00D05480"/>
    <w:rsid w:val="00D05765"/>
    <w:rsid w:val="00D057B9"/>
    <w:rsid w:val="00D05A39"/>
    <w:rsid w:val="00D05C0B"/>
    <w:rsid w:val="00D05FD5"/>
    <w:rsid w:val="00D06086"/>
    <w:rsid w:val="00D068F0"/>
    <w:rsid w:val="00D06C66"/>
    <w:rsid w:val="00D078D2"/>
    <w:rsid w:val="00D07B37"/>
    <w:rsid w:val="00D07E43"/>
    <w:rsid w:val="00D10341"/>
    <w:rsid w:val="00D10571"/>
    <w:rsid w:val="00D1066F"/>
    <w:rsid w:val="00D10B69"/>
    <w:rsid w:val="00D10DC0"/>
    <w:rsid w:val="00D115AA"/>
    <w:rsid w:val="00D11860"/>
    <w:rsid w:val="00D11A62"/>
    <w:rsid w:val="00D11E47"/>
    <w:rsid w:val="00D11F0E"/>
    <w:rsid w:val="00D12D0E"/>
    <w:rsid w:val="00D12D78"/>
    <w:rsid w:val="00D131FC"/>
    <w:rsid w:val="00D13CE7"/>
    <w:rsid w:val="00D14206"/>
    <w:rsid w:val="00D1458A"/>
    <w:rsid w:val="00D14945"/>
    <w:rsid w:val="00D14CBB"/>
    <w:rsid w:val="00D15099"/>
    <w:rsid w:val="00D15412"/>
    <w:rsid w:val="00D1549C"/>
    <w:rsid w:val="00D168C9"/>
    <w:rsid w:val="00D16D16"/>
    <w:rsid w:val="00D16E29"/>
    <w:rsid w:val="00D16FBC"/>
    <w:rsid w:val="00D1755D"/>
    <w:rsid w:val="00D17597"/>
    <w:rsid w:val="00D17694"/>
    <w:rsid w:val="00D1778A"/>
    <w:rsid w:val="00D17809"/>
    <w:rsid w:val="00D17AC9"/>
    <w:rsid w:val="00D20883"/>
    <w:rsid w:val="00D21B68"/>
    <w:rsid w:val="00D21BDD"/>
    <w:rsid w:val="00D22C46"/>
    <w:rsid w:val="00D2405D"/>
    <w:rsid w:val="00D24339"/>
    <w:rsid w:val="00D24554"/>
    <w:rsid w:val="00D2488F"/>
    <w:rsid w:val="00D251EA"/>
    <w:rsid w:val="00D251EF"/>
    <w:rsid w:val="00D25ADF"/>
    <w:rsid w:val="00D26EB9"/>
    <w:rsid w:val="00D27316"/>
    <w:rsid w:val="00D27431"/>
    <w:rsid w:val="00D27DA3"/>
    <w:rsid w:val="00D27DF3"/>
    <w:rsid w:val="00D27FCD"/>
    <w:rsid w:val="00D3017C"/>
    <w:rsid w:val="00D30319"/>
    <w:rsid w:val="00D3201A"/>
    <w:rsid w:val="00D33631"/>
    <w:rsid w:val="00D3382A"/>
    <w:rsid w:val="00D3383D"/>
    <w:rsid w:val="00D33937"/>
    <w:rsid w:val="00D33AED"/>
    <w:rsid w:val="00D345F2"/>
    <w:rsid w:val="00D34634"/>
    <w:rsid w:val="00D3484B"/>
    <w:rsid w:val="00D34D09"/>
    <w:rsid w:val="00D35046"/>
    <w:rsid w:val="00D35075"/>
    <w:rsid w:val="00D3530B"/>
    <w:rsid w:val="00D35A7F"/>
    <w:rsid w:val="00D35FF8"/>
    <w:rsid w:val="00D361B0"/>
    <w:rsid w:val="00D36349"/>
    <w:rsid w:val="00D36381"/>
    <w:rsid w:val="00D364DF"/>
    <w:rsid w:val="00D37119"/>
    <w:rsid w:val="00D372F9"/>
    <w:rsid w:val="00D3761D"/>
    <w:rsid w:val="00D379CD"/>
    <w:rsid w:val="00D37F43"/>
    <w:rsid w:val="00D4017A"/>
    <w:rsid w:val="00D4047D"/>
    <w:rsid w:val="00D4094C"/>
    <w:rsid w:val="00D40A0C"/>
    <w:rsid w:val="00D41479"/>
    <w:rsid w:val="00D42155"/>
    <w:rsid w:val="00D42222"/>
    <w:rsid w:val="00D4222A"/>
    <w:rsid w:val="00D42257"/>
    <w:rsid w:val="00D423C3"/>
    <w:rsid w:val="00D42443"/>
    <w:rsid w:val="00D426EB"/>
    <w:rsid w:val="00D42F43"/>
    <w:rsid w:val="00D43647"/>
    <w:rsid w:val="00D438F0"/>
    <w:rsid w:val="00D43BAF"/>
    <w:rsid w:val="00D448B1"/>
    <w:rsid w:val="00D44AD3"/>
    <w:rsid w:val="00D44BC6"/>
    <w:rsid w:val="00D44CAA"/>
    <w:rsid w:val="00D44D3D"/>
    <w:rsid w:val="00D44D4F"/>
    <w:rsid w:val="00D44FFF"/>
    <w:rsid w:val="00D456D8"/>
    <w:rsid w:val="00D45823"/>
    <w:rsid w:val="00D45CA1"/>
    <w:rsid w:val="00D45DC0"/>
    <w:rsid w:val="00D45E38"/>
    <w:rsid w:val="00D4600E"/>
    <w:rsid w:val="00D4632E"/>
    <w:rsid w:val="00D46505"/>
    <w:rsid w:val="00D46C34"/>
    <w:rsid w:val="00D46C6A"/>
    <w:rsid w:val="00D46C6D"/>
    <w:rsid w:val="00D46DEC"/>
    <w:rsid w:val="00D47062"/>
    <w:rsid w:val="00D47521"/>
    <w:rsid w:val="00D5005A"/>
    <w:rsid w:val="00D50150"/>
    <w:rsid w:val="00D506C4"/>
    <w:rsid w:val="00D50E62"/>
    <w:rsid w:val="00D51127"/>
    <w:rsid w:val="00D5163F"/>
    <w:rsid w:val="00D51739"/>
    <w:rsid w:val="00D517E2"/>
    <w:rsid w:val="00D51B17"/>
    <w:rsid w:val="00D51FEE"/>
    <w:rsid w:val="00D5253F"/>
    <w:rsid w:val="00D52F70"/>
    <w:rsid w:val="00D53AA2"/>
    <w:rsid w:val="00D53C5F"/>
    <w:rsid w:val="00D541D4"/>
    <w:rsid w:val="00D5421E"/>
    <w:rsid w:val="00D55960"/>
    <w:rsid w:val="00D55DC7"/>
    <w:rsid w:val="00D567A3"/>
    <w:rsid w:val="00D56984"/>
    <w:rsid w:val="00D56CB1"/>
    <w:rsid w:val="00D570FA"/>
    <w:rsid w:val="00D57DAE"/>
    <w:rsid w:val="00D601A5"/>
    <w:rsid w:val="00D60218"/>
    <w:rsid w:val="00D60381"/>
    <w:rsid w:val="00D60388"/>
    <w:rsid w:val="00D60AEF"/>
    <w:rsid w:val="00D60C42"/>
    <w:rsid w:val="00D61482"/>
    <w:rsid w:val="00D61565"/>
    <w:rsid w:val="00D61634"/>
    <w:rsid w:val="00D6198B"/>
    <w:rsid w:val="00D61A11"/>
    <w:rsid w:val="00D61F23"/>
    <w:rsid w:val="00D625C2"/>
    <w:rsid w:val="00D625C9"/>
    <w:rsid w:val="00D626C1"/>
    <w:rsid w:val="00D62A67"/>
    <w:rsid w:val="00D62CB8"/>
    <w:rsid w:val="00D631AF"/>
    <w:rsid w:val="00D63397"/>
    <w:rsid w:val="00D63B31"/>
    <w:rsid w:val="00D6426B"/>
    <w:rsid w:val="00D649ED"/>
    <w:rsid w:val="00D65E42"/>
    <w:rsid w:val="00D66566"/>
    <w:rsid w:val="00D66665"/>
    <w:rsid w:val="00D6716F"/>
    <w:rsid w:val="00D67A86"/>
    <w:rsid w:val="00D67B08"/>
    <w:rsid w:val="00D67DAC"/>
    <w:rsid w:val="00D7018A"/>
    <w:rsid w:val="00D70E77"/>
    <w:rsid w:val="00D71172"/>
    <w:rsid w:val="00D714A3"/>
    <w:rsid w:val="00D71C1C"/>
    <w:rsid w:val="00D71EDC"/>
    <w:rsid w:val="00D72290"/>
    <w:rsid w:val="00D722AA"/>
    <w:rsid w:val="00D72722"/>
    <w:rsid w:val="00D72740"/>
    <w:rsid w:val="00D727E4"/>
    <w:rsid w:val="00D72A82"/>
    <w:rsid w:val="00D734DE"/>
    <w:rsid w:val="00D73703"/>
    <w:rsid w:val="00D73A75"/>
    <w:rsid w:val="00D74B74"/>
    <w:rsid w:val="00D750FE"/>
    <w:rsid w:val="00D7534A"/>
    <w:rsid w:val="00D757BE"/>
    <w:rsid w:val="00D7605B"/>
    <w:rsid w:val="00D76085"/>
    <w:rsid w:val="00D7608B"/>
    <w:rsid w:val="00D760E6"/>
    <w:rsid w:val="00D76435"/>
    <w:rsid w:val="00D76E0E"/>
    <w:rsid w:val="00D76F36"/>
    <w:rsid w:val="00D7717F"/>
    <w:rsid w:val="00D7790E"/>
    <w:rsid w:val="00D77AFF"/>
    <w:rsid w:val="00D80108"/>
    <w:rsid w:val="00D80765"/>
    <w:rsid w:val="00D8082E"/>
    <w:rsid w:val="00D808EA"/>
    <w:rsid w:val="00D80B4E"/>
    <w:rsid w:val="00D80BED"/>
    <w:rsid w:val="00D816B4"/>
    <w:rsid w:val="00D8180E"/>
    <w:rsid w:val="00D819B1"/>
    <w:rsid w:val="00D81BDE"/>
    <w:rsid w:val="00D82071"/>
    <w:rsid w:val="00D82229"/>
    <w:rsid w:val="00D8305D"/>
    <w:rsid w:val="00D83201"/>
    <w:rsid w:val="00D83DC4"/>
    <w:rsid w:val="00D84674"/>
    <w:rsid w:val="00D848DA"/>
    <w:rsid w:val="00D84B0C"/>
    <w:rsid w:val="00D862BF"/>
    <w:rsid w:val="00D865A0"/>
    <w:rsid w:val="00D86AD8"/>
    <w:rsid w:val="00D86DC1"/>
    <w:rsid w:val="00D86E7D"/>
    <w:rsid w:val="00D87334"/>
    <w:rsid w:val="00D87A0F"/>
    <w:rsid w:val="00D90139"/>
    <w:rsid w:val="00D90391"/>
    <w:rsid w:val="00D9043A"/>
    <w:rsid w:val="00D90F29"/>
    <w:rsid w:val="00D9109E"/>
    <w:rsid w:val="00D912DF"/>
    <w:rsid w:val="00D91E96"/>
    <w:rsid w:val="00D92510"/>
    <w:rsid w:val="00D9268B"/>
    <w:rsid w:val="00D926E3"/>
    <w:rsid w:val="00D92A66"/>
    <w:rsid w:val="00D92C66"/>
    <w:rsid w:val="00D92DA6"/>
    <w:rsid w:val="00D92F0A"/>
    <w:rsid w:val="00D93454"/>
    <w:rsid w:val="00D937D8"/>
    <w:rsid w:val="00D93898"/>
    <w:rsid w:val="00D93C69"/>
    <w:rsid w:val="00D93E19"/>
    <w:rsid w:val="00D9426B"/>
    <w:rsid w:val="00D947C5"/>
    <w:rsid w:val="00D94C0D"/>
    <w:rsid w:val="00D95379"/>
    <w:rsid w:val="00D95389"/>
    <w:rsid w:val="00D95BBF"/>
    <w:rsid w:val="00D96578"/>
    <w:rsid w:val="00D96975"/>
    <w:rsid w:val="00D97613"/>
    <w:rsid w:val="00D97CE0"/>
    <w:rsid w:val="00DA0396"/>
    <w:rsid w:val="00DA0A70"/>
    <w:rsid w:val="00DA0D3F"/>
    <w:rsid w:val="00DA0D65"/>
    <w:rsid w:val="00DA0F65"/>
    <w:rsid w:val="00DA0FB2"/>
    <w:rsid w:val="00DA0FC6"/>
    <w:rsid w:val="00DA113D"/>
    <w:rsid w:val="00DA141A"/>
    <w:rsid w:val="00DA2F68"/>
    <w:rsid w:val="00DA36D9"/>
    <w:rsid w:val="00DA37FA"/>
    <w:rsid w:val="00DA3D5A"/>
    <w:rsid w:val="00DA3DD5"/>
    <w:rsid w:val="00DA4333"/>
    <w:rsid w:val="00DA49E8"/>
    <w:rsid w:val="00DA4B41"/>
    <w:rsid w:val="00DA519A"/>
    <w:rsid w:val="00DA542A"/>
    <w:rsid w:val="00DA582A"/>
    <w:rsid w:val="00DA5A24"/>
    <w:rsid w:val="00DA67CE"/>
    <w:rsid w:val="00DA67E4"/>
    <w:rsid w:val="00DA6B84"/>
    <w:rsid w:val="00DA6CE1"/>
    <w:rsid w:val="00DB00B0"/>
    <w:rsid w:val="00DB012C"/>
    <w:rsid w:val="00DB0250"/>
    <w:rsid w:val="00DB1ACB"/>
    <w:rsid w:val="00DB1C00"/>
    <w:rsid w:val="00DB2531"/>
    <w:rsid w:val="00DB297C"/>
    <w:rsid w:val="00DB29F1"/>
    <w:rsid w:val="00DB2A66"/>
    <w:rsid w:val="00DB3423"/>
    <w:rsid w:val="00DB3CB8"/>
    <w:rsid w:val="00DB3D52"/>
    <w:rsid w:val="00DB4720"/>
    <w:rsid w:val="00DB4DFA"/>
    <w:rsid w:val="00DB541B"/>
    <w:rsid w:val="00DB5769"/>
    <w:rsid w:val="00DB66D0"/>
    <w:rsid w:val="00DB66D6"/>
    <w:rsid w:val="00DB697A"/>
    <w:rsid w:val="00DB71CB"/>
    <w:rsid w:val="00DB7826"/>
    <w:rsid w:val="00DB7880"/>
    <w:rsid w:val="00DB7AAE"/>
    <w:rsid w:val="00DB7DF4"/>
    <w:rsid w:val="00DB7E4F"/>
    <w:rsid w:val="00DB7EC6"/>
    <w:rsid w:val="00DC00ED"/>
    <w:rsid w:val="00DC0480"/>
    <w:rsid w:val="00DC0BC7"/>
    <w:rsid w:val="00DC1724"/>
    <w:rsid w:val="00DC20A3"/>
    <w:rsid w:val="00DC25A4"/>
    <w:rsid w:val="00DC27D8"/>
    <w:rsid w:val="00DC29A3"/>
    <w:rsid w:val="00DC2F75"/>
    <w:rsid w:val="00DC3136"/>
    <w:rsid w:val="00DC322B"/>
    <w:rsid w:val="00DC34CC"/>
    <w:rsid w:val="00DC368F"/>
    <w:rsid w:val="00DC3906"/>
    <w:rsid w:val="00DC4D40"/>
    <w:rsid w:val="00DC5202"/>
    <w:rsid w:val="00DC54C1"/>
    <w:rsid w:val="00DC5C63"/>
    <w:rsid w:val="00DC5DE2"/>
    <w:rsid w:val="00DC6B2E"/>
    <w:rsid w:val="00DC7390"/>
    <w:rsid w:val="00DC753E"/>
    <w:rsid w:val="00DC760A"/>
    <w:rsid w:val="00DD0330"/>
    <w:rsid w:val="00DD0609"/>
    <w:rsid w:val="00DD09BC"/>
    <w:rsid w:val="00DD0BCD"/>
    <w:rsid w:val="00DD16CF"/>
    <w:rsid w:val="00DD1739"/>
    <w:rsid w:val="00DD201B"/>
    <w:rsid w:val="00DD23BB"/>
    <w:rsid w:val="00DD2B2A"/>
    <w:rsid w:val="00DD2DDD"/>
    <w:rsid w:val="00DD347F"/>
    <w:rsid w:val="00DD3712"/>
    <w:rsid w:val="00DD3886"/>
    <w:rsid w:val="00DD3D47"/>
    <w:rsid w:val="00DD4297"/>
    <w:rsid w:val="00DD43DA"/>
    <w:rsid w:val="00DD4FEB"/>
    <w:rsid w:val="00DD5441"/>
    <w:rsid w:val="00DD5483"/>
    <w:rsid w:val="00DD5545"/>
    <w:rsid w:val="00DD5B5F"/>
    <w:rsid w:val="00DD5F06"/>
    <w:rsid w:val="00DD6001"/>
    <w:rsid w:val="00DD637F"/>
    <w:rsid w:val="00DD647F"/>
    <w:rsid w:val="00DD6511"/>
    <w:rsid w:val="00DD69FA"/>
    <w:rsid w:val="00DD6A9C"/>
    <w:rsid w:val="00DD6F68"/>
    <w:rsid w:val="00DD708D"/>
    <w:rsid w:val="00DD70DE"/>
    <w:rsid w:val="00DD75B4"/>
    <w:rsid w:val="00DD76CF"/>
    <w:rsid w:val="00DD7B55"/>
    <w:rsid w:val="00DD7D37"/>
    <w:rsid w:val="00DE0533"/>
    <w:rsid w:val="00DE1348"/>
    <w:rsid w:val="00DE14DE"/>
    <w:rsid w:val="00DE1C2E"/>
    <w:rsid w:val="00DE1F04"/>
    <w:rsid w:val="00DE3193"/>
    <w:rsid w:val="00DE3AB6"/>
    <w:rsid w:val="00DE3E12"/>
    <w:rsid w:val="00DE4202"/>
    <w:rsid w:val="00DE4417"/>
    <w:rsid w:val="00DE4540"/>
    <w:rsid w:val="00DE4E5D"/>
    <w:rsid w:val="00DE50B4"/>
    <w:rsid w:val="00DE5551"/>
    <w:rsid w:val="00DE6074"/>
    <w:rsid w:val="00DE689B"/>
    <w:rsid w:val="00DE6E31"/>
    <w:rsid w:val="00DE6E4D"/>
    <w:rsid w:val="00DE6F7D"/>
    <w:rsid w:val="00DE719D"/>
    <w:rsid w:val="00DE729B"/>
    <w:rsid w:val="00DE7AA0"/>
    <w:rsid w:val="00DE7CCA"/>
    <w:rsid w:val="00DF0491"/>
    <w:rsid w:val="00DF080A"/>
    <w:rsid w:val="00DF0FFA"/>
    <w:rsid w:val="00DF1083"/>
    <w:rsid w:val="00DF10DB"/>
    <w:rsid w:val="00DF10DD"/>
    <w:rsid w:val="00DF1436"/>
    <w:rsid w:val="00DF18B7"/>
    <w:rsid w:val="00DF1F42"/>
    <w:rsid w:val="00DF22D7"/>
    <w:rsid w:val="00DF2E50"/>
    <w:rsid w:val="00DF2E5A"/>
    <w:rsid w:val="00DF30D0"/>
    <w:rsid w:val="00DF3613"/>
    <w:rsid w:val="00DF3D3F"/>
    <w:rsid w:val="00DF3E80"/>
    <w:rsid w:val="00DF5731"/>
    <w:rsid w:val="00DF60FC"/>
    <w:rsid w:val="00DF64DC"/>
    <w:rsid w:val="00DF6F2F"/>
    <w:rsid w:val="00DF76AA"/>
    <w:rsid w:val="00DF773A"/>
    <w:rsid w:val="00DF7946"/>
    <w:rsid w:val="00DF7A49"/>
    <w:rsid w:val="00DF7C9F"/>
    <w:rsid w:val="00E00793"/>
    <w:rsid w:val="00E0089C"/>
    <w:rsid w:val="00E00FBE"/>
    <w:rsid w:val="00E0123B"/>
    <w:rsid w:val="00E01256"/>
    <w:rsid w:val="00E0148D"/>
    <w:rsid w:val="00E019E6"/>
    <w:rsid w:val="00E01D32"/>
    <w:rsid w:val="00E01E45"/>
    <w:rsid w:val="00E020EC"/>
    <w:rsid w:val="00E02500"/>
    <w:rsid w:val="00E025A9"/>
    <w:rsid w:val="00E02794"/>
    <w:rsid w:val="00E02FF0"/>
    <w:rsid w:val="00E030C8"/>
    <w:rsid w:val="00E03157"/>
    <w:rsid w:val="00E03733"/>
    <w:rsid w:val="00E03966"/>
    <w:rsid w:val="00E039F2"/>
    <w:rsid w:val="00E043EF"/>
    <w:rsid w:val="00E05519"/>
    <w:rsid w:val="00E05DB7"/>
    <w:rsid w:val="00E05ED6"/>
    <w:rsid w:val="00E05F8B"/>
    <w:rsid w:val="00E0624A"/>
    <w:rsid w:val="00E067B9"/>
    <w:rsid w:val="00E06C16"/>
    <w:rsid w:val="00E07408"/>
    <w:rsid w:val="00E0741F"/>
    <w:rsid w:val="00E07568"/>
    <w:rsid w:val="00E07D20"/>
    <w:rsid w:val="00E07F74"/>
    <w:rsid w:val="00E1008D"/>
    <w:rsid w:val="00E10169"/>
    <w:rsid w:val="00E10730"/>
    <w:rsid w:val="00E10808"/>
    <w:rsid w:val="00E10A1A"/>
    <w:rsid w:val="00E10A96"/>
    <w:rsid w:val="00E10DCE"/>
    <w:rsid w:val="00E111EB"/>
    <w:rsid w:val="00E115D2"/>
    <w:rsid w:val="00E1175D"/>
    <w:rsid w:val="00E11D23"/>
    <w:rsid w:val="00E1200B"/>
    <w:rsid w:val="00E12E7D"/>
    <w:rsid w:val="00E13181"/>
    <w:rsid w:val="00E131FF"/>
    <w:rsid w:val="00E13B05"/>
    <w:rsid w:val="00E13C44"/>
    <w:rsid w:val="00E1408A"/>
    <w:rsid w:val="00E15C44"/>
    <w:rsid w:val="00E16962"/>
    <w:rsid w:val="00E16C09"/>
    <w:rsid w:val="00E20359"/>
    <w:rsid w:val="00E211B8"/>
    <w:rsid w:val="00E2128E"/>
    <w:rsid w:val="00E21AFE"/>
    <w:rsid w:val="00E21D97"/>
    <w:rsid w:val="00E21DD9"/>
    <w:rsid w:val="00E221BD"/>
    <w:rsid w:val="00E225D0"/>
    <w:rsid w:val="00E22868"/>
    <w:rsid w:val="00E228A7"/>
    <w:rsid w:val="00E22C89"/>
    <w:rsid w:val="00E2383F"/>
    <w:rsid w:val="00E23F82"/>
    <w:rsid w:val="00E2431C"/>
    <w:rsid w:val="00E24C1B"/>
    <w:rsid w:val="00E2598D"/>
    <w:rsid w:val="00E259A3"/>
    <w:rsid w:val="00E25C31"/>
    <w:rsid w:val="00E25EEF"/>
    <w:rsid w:val="00E2654D"/>
    <w:rsid w:val="00E267F3"/>
    <w:rsid w:val="00E27301"/>
    <w:rsid w:val="00E274E4"/>
    <w:rsid w:val="00E27971"/>
    <w:rsid w:val="00E27D73"/>
    <w:rsid w:val="00E3015C"/>
    <w:rsid w:val="00E30B73"/>
    <w:rsid w:val="00E312C0"/>
    <w:rsid w:val="00E31330"/>
    <w:rsid w:val="00E31AE3"/>
    <w:rsid w:val="00E31BF2"/>
    <w:rsid w:val="00E3290A"/>
    <w:rsid w:val="00E32B5E"/>
    <w:rsid w:val="00E32FDE"/>
    <w:rsid w:val="00E3368B"/>
    <w:rsid w:val="00E33702"/>
    <w:rsid w:val="00E33B5C"/>
    <w:rsid w:val="00E33D90"/>
    <w:rsid w:val="00E33FC9"/>
    <w:rsid w:val="00E34573"/>
    <w:rsid w:val="00E34EB5"/>
    <w:rsid w:val="00E3570D"/>
    <w:rsid w:val="00E35ADC"/>
    <w:rsid w:val="00E35DE6"/>
    <w:rsid w:val="00E3634F"/>
    <w:rsid w:val="00E36521"/>
    <w:rsid w:val="00E36F59"/>
    <w:rsid w:val="00E37C9A"/>
    <w:rsid w:val="00E37D06"/>
    <w:rsid w:val="00E40105"/>
    <w:rsid w:val="00E40CAE"/>
    <w:rsid w:val="00E415C0"/>
    <w:rsid w:val="00E4196D"/>
    <w:rsid w:val="00E41C7B"/>
    <w:rsid w:val="00E41CA0"/>
    <w:rsid w:val="00E41E36"/>
    <w:rsid w:val="00E42174"/>
    <w:rsid w:val="00E42B2D"/>
    <w:rsid w:val="00E42E02"/>
    <w:rsid w:val="00E4306F"/>
    <w:rsid w:val="00E4341B"/>
    <w:rsid w:val="00E43423"/>
    <w:rsid w:val="00E437E7"/>
    <w:rsid w:val="00E438C8"/>
    <w:rsid w:val="00E43F17"/>
    <w:rsid w:val="00E44571"/>
    <w:rsid w:val="00E445B3"/>
    <w:rsid w:val="00E44662"/>
    <w:rsid w:val="00E4477F"/>
    <w:rsid w:val="00E44825"/>
    <w:rsid w:val="00E44DA7"/>
    <w:rsid w:val="00E459BD"/>
    <w:rsid w:val="00E4649E"/>
    <w:rsid w:val="00E46F09"/>
    <w:rsid w:val="00E472C2"/>
    <w:rsid w:val="00E47D15"/>
    <w:rsid w:val="00E47E44"/>
    <w:rsid w:val="00E47F58"/>
    <w:rsid w:val="00E50266"/>
    <w:rsid w:val="00E509E2"/>
    <w:rsid w:val="00E50A76"/>
    <w:rsid w:val="00E50D81"/>
    <w:rsid w:val="00E517CA"/>
    <w:rsid w:val="00E51AAC"/>
    <w:rsid w:val="00E51B79"/>
    <w:rsid w:val="00E52572"/>
    <w:rsid w:val="00E5266B"/>
    <w:rsid w:val="00E52C73"/>
    <w:rsid w:val="00E52D68"/>
    <w:rsid w:val="00E540D6"/>
    <w:rsid w:val="00E541FC"/>
    <w:rsid w:val="00E5444A"/>
    <w:rsid w:val="00E558B7"/>
    <w:rsid w:val="00E558DD"/>
    <w:rsid w:val="00E559E1"/>
    <w:rsid w:val="00E55C34"/>
    <w:rsid w:val="00E55D33"/>
    <w:rsid w:val="00E55F21"/>
    <w:rsid w:val="00E56034"/>
    <w:rsid w:val="00E560A0"/>
    <w:rsid w:val="00E5642B"/>
    <w:rsid w:val="00E56506"/>
    <w:rsid w:val="00E565B5"/>
    <w:rsid w:val="00E5684C"/>
    <w:rsid w:val="00E56D2F"/>
    <w:rsid w:val="00E571B3"/>
    <w:rsid w:val="00E572D4"/>
    <w:rsid w:val="00E578F4"/>
    <w:rsid w:val="00E579FC"/>
    <w:rsid w:val="00E57DE3"/>
    <w:rsid w:val="00E6028B"/>
    <w:rsid w:val="00E60597"/>
    <w:rsid w:val="00E60DEB"/>
    <w:rsid w:val="00E60EF8"/>
    <w:rsid w:val="00E610A2"/>
    <w:rsid w:val="00E610A5"/>
    <w:rsid w:val="00E61355"/>
    <w:rsid w:val="00E61E44"/>
    <w:rsid w:val="00E621E1"/>
    <w:rsid w:val="00E624B3"/>
    <w:rsid w:val="00E62C90"/>
    <w:rsid w:val="00E62D30"/>
    <w:rsid w:val="00E62DEB"/>
    <w:rsid w:val="00E630F2"/>
    <w:rsid w:val="00E64AFD"/>
    <w:rsid w:val="00E64BA6"/>
    <w:rsid w:val="00E64C18"/>
    <w:rsid w:val="00E64F54"/>
    <w:rsid w:val="00E650AB"/>
    <w:rsid w:val="00E651E8"/>
    <w:rsid w:val="00E652CA"/>
    <w:rsid w:val="00E668F4"/>
    <w:rsid w:val="00E66B77"/>
    <w:rsid w:val="00E66CD4"/>
    <w:rsid w:val="00E6728A"/>
    <w:rsid w:val="00E6729D"/>
    <w:rsid w:val="00E6735F"/>
    <w:rsid w:val="00E67A9E"/>
    <w:rsid w:val="00E67E51"/>
    <w:rsid w:val="00E67EFC"/>
    <w:rsid w:val="00E7001E"/>
    <w:rsid w:val="00E70496"/>
    <w:rsid w:val="00E70C6F"/>
    <w:rsid w:val="00E70D9E"/>
    <w:rsid w:val="00E710C7"/>
    <w:rsid w:val="00E711EE"/>
    <w:rsid w:val="00E712B8"/>
    <w:rsid w:val="00E7135C"/>
    <w:rsid w:val="00E71A27"/>
    <w:rsid w:val="00E71C32"/>
    <w:rsid w:val="00E71F9B"/>
    <w:rsid w:val="00E7209A"/>
    <w:rsid w:val="00E7213D"/>
    <w:rsid w:val="00E7258A"/>
    <w:rsid w:val="00E726EB"/>
    <w:rsid w:val="00E72743"/>
    <w:rsid w:val="00E732AD"/>
    <w:rsid w:val="00E73603"/>
    <w:rsid w:val="00E73A7D"/>
    <w:rsid w:val="00E7404D"/>
    <w:rsid w:val="00E743A5"/>
    <w:rsid w:val="00E74445"/>
    <w:rsid w:val="00E746A4"/>
    <w:rsid w:val="00E746CB"/>
    <w:rsid w:val="00E747F9"/>
    <w:rsid w:val="00E74D20"/>
    <w:rsid w:val="00E75003"/>
    <w:rsid w:val="00E75303"/>
    <w:rsid w:val="00E75B9A"/>
    <w:rsid w:val="00E75DDF"/>
    <w:rsid w:val="00E760B2"/>
    <w:rsid w:val="00E760CA"/>
    <w:rsid w:val="00E763F6"/>
    <w:rsid w:val="00E76AC5"/>
    <w:rsid w:val="00E76BD3"/>
    <w:rsid w:val="00E76D07"/>
    <w:rsid w:val="00E776FA"/>
    <w:rsid w:val="00E77BF1"/>
    <w:rsid w:val="00E77EFA"/>
    <w:rsid w:val="00E80054"/>
    <w:rsid w:val="00E80CDF"/>
    <w:rsid w:val="00E80EF7"/>
    <w:rsid w:val="00E8103A"/>
    <w:rsid w:val="00E81131"/>
    <w:rsid w:val="00E81310"/>
    <w:rsid w:val="00E81D39"/>
    <w:rsid w:val="00E82883"/>
    <w:rsid w:val="00E82C50"/>
    <w:rsid w:val="00E82EC6"/>
    <w:rsid w:val="00E82FDE"/>
    <w:rsid w:val="00E83C74"/>
    <w:rsid w:val="00E8403F"/>
    <w:rsid w:val="00E8415F"/>
    <w:rsid w:val="00E844B5"/>
    <w:rsid w:val="00E8490B"/>
    <w:rsid w:val="00E84B1C"/>
    <w:rsid w:val="00E84C8F"/>
    <w:rsid w:val="00E84EF7"/>
    <w:rsid w:val="00E8522E"/>
    <w:rsid w:val="00E85C12"/>
    <w:rsid w:val="00E864D9"/>
    <w:rsid w:val="00E866C0"/>
    <w:rsid w:val="00E8672F"/>
    <w:rsid w:val="00E86D04"/>
    <w:rsid w:val="00E871B7"/>
    <w:rsid w:val="00E874E3"/>
    <w:rsid w:val="00E87B16"/>
    <w:rsid w:val="00E87DB9"/>
    <w:rsid w:val="00E87E36"/>
    <w:rsid w:val="00E90003"/>
    <w:rsid w:val="00E906EF"/>
    <w:rsid w:val="00E90A22"/>
    <w:rsid w:val="00E90F07"/>
    <w:rsid w:val="00E91373"/>
    <w:rsid w:val="00E9181D"/>
    <w:rsid w:val="00E91964"/>
    <w:rsid w:val="00E92085"/>
    <w:rsid w:val="00E92578"/>
    <w:rsid w:val="00E92A0F"/>
    <w:rsid w:val="00E92A97"/>
    <w:rsid w:val="00E93420"/>
    <w:rsid w:val="00E93E04"/>
    <w:rsid w:val="00E93E4B"/>
    <w:rsid w:val="00E94053"/>
    <w:rsid w:val="00E94603"/>
    <w:rsid w:val="00E9475C"/>
    <w:rsid w:val="00E94B15"/>
    <w:rsid w:val="00E94E8F"/>
    <w:rsid w:val="00E95B25"/>
    <w:rsid w:val="00E9622B"/>
    <w:rsid w:val="00E96DD9"/>
    <w:rsid w:val="00E97524"/>
    <w:rsid w:val="00E97575"/>
    <w:rsid w:val="00E975CC"/>
    <w:rsid w:val="00E97BA9"/>
    <w:rsid w:val="00E97EFC"/>
    <w:rsid w:val="00EA0366"/>
    <w:rsid w:val="00EA0495"/>
    <w:rsid w:val="00EA0C71"/>
    <w:rsid w:val="00EA0CF8"/>
    <w:rsid w:val="00EA0E6C"/>
    <w:rsid w:val="00EA1330"/>
    <w:rsid w:val="00EA17BD"/>
    <w:rsid w:val="00EA17DF"/>
    <w:rsid w:val="00EA1F2E"/>
    <w:rsid w:val="00EA2D07"/>
    <w:rsid w:val="00EA3019"/>
    <w:rsid w:val="00EA30E4"/>
    <w:rsid w:val="00EA34E2"/>
    <w:rsid w:val="00EA3B70"/>
    <w:rsid w:val="00EA3CA7"/>
    <w:rsid w:val="00EA3EFD"/>
    <w:rsid w:val="00EA4096"/>
    <w:rsid w:val="00EA4467"/>
    <w:rsid w:val="00EA46FD"/>
    <w:rsid w:val="00EA5248"/>
    <w:rsid w:val="00EA55C7"/>
    <w:rsid w:val="00EA5905"/>
    <w:rsid w:val="00EA5ACF"/>
    <w:rsid w:val="00EA643D"/>
    <w:rsid w:val="00EA67F1"/>
    <w:rsid w:val="00EA6A6A"/>
    <w:rsid w:val="00EA6D70"/>
    <w:rsid w:val="00EA6E30"/>
    <w:rsid w:val="00EA72AF"/>
    <w:rsid w:val="00EA7ADB"/>
    <w:rsid w:val="00EB054D"/>
    <w:rsid w:val="00EB072A"/>
    <w:rsid w:val="00EB0CA1"/>
    <w:rsid w:val="00EB0D4D"/>
    <w:rsid w:val="00EB1047"/>
    <w:rsid w:val="00EB113B"/>
    <w:rsid w:val="00EB14B2"/>
    <w:rsid w:val="00EB2154"/>
    <w:rsid w:val="00EB2783"/>
    <w:rsid w:val="00EB3601"/>
    <w:rsid w:val="00EB3DD6"/>
    <w:rsid w:val="00EB47FD"/>
    <w:rsid w:val="00EB4BA7"/>
    <w:rsid w:val="00EB5752"/>
    <w:rsid w:val="00EB587B"/>
    <w:rsid w:val="00EB58D6"/>
    <w:rsid w:val="00EB5921"/>
    <w:rsid w:val="00EB5C49"/>
    <w:rsid w:val="00EB5CD9"/>
    <w:rsid w:val="00EB5D42"/>
    <w:rsid w:val="00EB611C"/>
    <w:rsid w:val="00EB64EA"/>
    <w:rsid w:val="00EB6620"/>
    <w:rsid w:val="00EC105B"/>
    <w:rsid w:val="00EC1387"/>
    <w:rsid w:val="00EC1775"/>
    <w:rsid w:val="00EC1A56"/>
    <w:rsid w:val="00EC1B69"/>
    <w:rsid w:val="00EC1EFA"/>
    <w:rsid w:val="00EC2A7B"/>
    <w:rsid w:val="00EC3026"/>
    <w:rsid w:val="00EC34C6"/>
    <w:rsid w:val="00EC3540"/>
    <w:rsid w:val="00EC3FA2"/>
    <w:rsid w:val="00EC3FF8"/>
    <w:rsid w:val="00EC403A"/>
    <w:rsid w:val="00EC4364"/>
    <w:rsid w:val="00EC44FC"/>
    <w:rsid w:val="00EC4786"/>
    <w:rsid w:val="00EC4B56"/>
    <w:rsid w:val="00EC4E62"/>
    <w:rsid w:val="00EC4F7D"/>
    <w:rsid w:val="00EC5121"/>
    <w:rsid w:val="00EC53C7"/>
    <w:rsid w:val="00EC57F5"/>
    <w:rsid w:val="00EC5C49"/>
    <w:rsid w:val="00EC6259"/>
    <w:rsid w:val="00EC62DA"/>
    <w:rsid w:val="00EC63D6"/>
    <w:rsid w:val="00EC6789"/>
    <w:rsid w:val="00EC6AB2"/>
    <w:rsid w:val="00EC6B7B"/>
    <w:rsid w:val="00EC75D7"/>
    <w:rsid w:val="00EC7B9D"/>
    <w:rsid w:val="00ED05EE"/>
    <w:rsid w:val="00ED0767"/>
    <w:rsid w:val="00ED0E1C"/>
    <w:rsid w:val="00ED12C3"/>
    <w:rsid w:val="00ED137E"/>
    <w:rsid w:val="00ED140E"/>
    <w:rsid w:val="00ED26BD"/>
    <w:rsid w:val="00ED294F"/>
    <w:rsid w:val="00ED372F"/>
    <w:rsid w:val="00ED37B9"/>
    <w:rsid w:val="00ED3AB7"/>
    <w:rsid w:val="00ED3D2B"/>
    <w:rsid w:val="00ED3EE4"/>
    <w:rsid w:val="00ED4203"/>
    <w:rsid w:val="00ED5853"/>
    <w:rsid w:val="00ED5945"/>
    <w:rsid w:val="00ED5C4C"/>
    <w:rsid w:val="00ED5CC7"/>
    <w:rsid w:val="00ED5D4A"/>
    <w:rsid w:val="00ED63CC"/>
    <w:rsid w:val="00ED73A7"/>
    <w:rsid w:val="00ED79FF"/>
    <w:rsid w:val="00ED7F63"/>
    <w:rsid w:val="00EE0B63"/>
    <w:rsid w:val="00EE0E2E"/>
    <w:rsid w:val="00EE193F"/>
    <w:rsid w:val="00EE1B89"/>
    <w:rsid w:val="00EE215F"/>
    <w:rsid w:val="00EE28A3"/>
    <w:rsid w:val="00EE2A43"/>
    <w:rsid w:val="00EE2AE1"/>
    <w:rsid w:val="00EE2BF3"/>
    <w:rsid w:val="00EE2BFC"/>
    <w:rsid w:val="00EE2CC7"/>
    <w:rsid w:val="00EE3689"/>
    <w:rsid w:val="00EE3869"/>
    <w:rsid w:val="00EE3C79"/>
    <w:rsid w:val="00EE46DC"/>
    <w:rsid w:val="00EE4724"/>
    <w:rsid w:val="00EE47EC"/>
    <w:rsid w:val="00EE4E41"/>
    <w:rsid w:val="00EE52C8"/>
    <w:rsid w:val="00EE54E1"/>
    <w:rsid w:val="00EE57C8"/>
    <w:rsid w:val="00EE62B7"/>
    <w:rsid w:val="00EE63BA"/>
    <w:rsid w:val="00EE6A3E"/>
    <w:rsid w:val="00EE6B0C"/>
    <w:rsid w:val="00EE6C3E"/>
    <w:rsid w:val="00EE6D02"/>
    <w:rsid w:val="00EE7AA5"/>
    <w:rsid w:val="00EF01BC"/>
    <w:rsid w:val="00EF03C5"/>
    <w:rsid w:val="00EF0B4B"/>
    <w:rsid w:val="00EF0E9D"/>
    <w:rsid w:val="00EF0EE0"/>
    <w:rsid w:val="00EF137C"/>
    <w:rsid w:val="00EF138D"/>
    <w:rsid w:val="00EF1625"/>
    <w:rsid w:val="00EF16E4"/>
    <w:rsid w:val="00EF18D2"/>
    <w:rsid w:val="00EF1B53"/>
    <w:rsid w:val="00EF201F"/>
    <w:rsid w:val="00EF2360"/>
    <w:rsid w:val="00EF30F2"/>
    <w:rsid w:val="00EF3545"/>
    <w:rsid w:val="00EF454A"/>
    <w:rsid w:val="00EF5255"/>
    <w:rsid w:val="00EF61CA"/>
    <w:rsid w:val="00EF68A0"/>
    <w:rsid w:val="00EF68A6"/>
    <w:rsid w:val="00EF690D"/>
    <w:rsid w:val="00EF6C5F"/>
    <w:rsid w:val="00EF6EFC"/>
    <w:rsid w:val="00EF70B0"/>
    <w:rsid w:val="00EF7718"/>
    <w:rsid w:val="00EF7750"/>
    <w:rsid w:val="00EF7D50"/>
    <w:rsid w:val="00F002B3"/>
    <w:rsid w:val="00F0069F"/>
    <w:rsid w:val="00F00CFF"/>
    <w:rsid w:val="00F011AB"/>
    <w:rsid w:val="00F01536"/>
    <w:rsid w:val="00F020B8"/>
    <w:rsid w:val="00F021AD"/>
    <w:rsid w:val="00F022C6"/>
    <w:rsid w:val="00F0236C"/>
    <w:rsid w:val="00F02653"/>
    <w:rsid w:val="00F03376"/>
    <w:rsid w:val="00F0392F"/>
    <w:rsid w:val="00F03B9F"/>
    <w:rsid w:val="00F042A4"/>
    <w:rsid w:val="00F04851"/>
    <w:rsid w:val="00F049FF"/>
    <w:rsid w:val="00F04BA2"/>
    <w:rsid w:val="00F05851"/>
    <w:rsid w:val="00F05C72"/>
    <w:rsid w:val="00F05CF3"/>
    <w:rsid w:val="00F060FA"/>
    <w:rsid w:val="00F0665C"/>
    <w:rsid w:val="00F06CE3"/>
    <w:rsid w:val="00F0750F"/>
    <w:rsid w:val="00F07BB1"/>
    <w:rsid w:val="00F07CFB"/>
    <w:rsid w:val="00F07E24"/>
    <w:rsid w:val="00F1015C"/>
    <w:rsid w:val="00F10993"/>
    <w:rsid w:val="00F10D32"/>
    <w:rsid w:val="00F110F6"/>
    <w:rsid w:val="00F1113F"/>
    <w:rsid w:val="00F11AF7"/>
    <w:rsid w:val="00F11BEA"/>
    <w:rsid w:val="00F12041"/>
    <w:rsid w:val="00F122B0"/>
    <w:rsid w:val="00F13053"/>
    <w:rsid w:val="00F13065"/>
    <w:rsid w:val="00F13C0D"/>
    <w:rsid w:val="00F14111"/>
    <w:rsid w:val="00F145A9"/>
    <w:rsid w:val="00F14978"/>
    <w:rsid w:val="00F15356"/>
    <w:rsid w:val="00F15528"/>
    <w:rsid w:val="00F15705"/>
    <w:rsid w:val="00F158FE"/>
    <w:rsid w:val="00F15A49"/>
    <w:rsid w:val="00F15BDB"/>
    <w:rsid w:val="00F163E0"/>
    <w:rsid w:val="00F16DEB"/>
    <w:rsid w:val="00F17691"/>
    <w:rsid w:val="00F215B1"/>
    <w:rsid w:val="00F2173C"/>
    <w:rsid w:val="00F2188D"/>
    <w:rsid w:val="00F2191A"/>
    <w:rsid w:val="00F21975"/>
    <w:rsid w:val="00F2237E"/>
    <w:rsid w:val="00F22FD2"/>
    <w:rsid w:val="00F235F8"/>
    <w:rsid w:val="00F23634"/>
    <w:rsid w:val="00F23DDD"/>
    <w:rsid w:val="00F24205"/>
    <w:rsid w:val="00F2552C"/>
    <w:rsid w:val="00F264F4"/>
    <w:rsid w:val="00F26855"/>
    <w:rsid w:val="00F268A9"/>
    <w:rsid w:val="00F26C22"/>
    <w:rsid w:val="00F26D43"/>
    <w:rsid w:val="00F26E6A"/>
    <w:rsid w:val="00F27696"/>
    <w:rsid w:val="00F27714"/>
    <w:rsid w:val="00F304CE"/>
    <w:rsid w:val="00F30DDC"/>
    <w:rsid w:val="00F30F30"/>
    <w:rsid w:val="00F314E7"/>
    <w:rsid w:val="00F31689"/>
    <w:rsid w:val="00F316CB"/>
    <w:rsid w:val="00F316EB"/>
    <w:rsid w:val="00F31C24"/>
    <w:rsid w:val="00F31F77"/>
    <w:rsid w:val="00F327BC"/>
    <w:rsid w:val="00F32818"/>
    <w:rsid w:val="00F32A24"/>
    <w:rsid w:val="00F32B3D"/>
    <w:rsid w:val="00F33603"/>
    <w:rsid w:val="00F33A23"/>
    <w:rsid w:val="00F340AC"/>
    <w:rsid w:val="00F34378"/>
    <w:rsid w:val="00F34F32"/>
    <w:rsid w:val="00F35689"/>
    <w:rsid w:val="00F3600A"/>
    <w:rsid w:val="00F36265"/>
    <w:rsid w:val="00F37046"/>
    <w:rsid w:val="00F3776E"/>
    <w:rsid w:val="00F37A5A"/>
    <w:rsid w:val="00F37C8E"/>
    <w:rsid w:val="00F4004B"/>
    <w:rsid w:val="00F402CD"/>
    <w:rsid w:val="00F40373"/>
    <w:rsid w:val="00F403A3"/>
    <w:rsid w:val="00F40411"/>
    <w:rsid w:val="00F40B21"/>
    <w:rsid w:val="00F40DFC"/>
    <w:rsid w:val="00F40F1F"/>
    <w:rsid w:val="00F411F2"/>
    <w:rsid w:val="00F4174A"/>
    <w:rsid w:val="00F417D6"/>
    <w:rsid w:val="00F41D8C"/>
    <w:rsid w:val="00F42166"/>
    <w:rsid w:val="00F42533"/>
    <w:rsid w:val="00F425D7"/>
    <w:rsid w:val="00F42745"/>
    <w:rsid w:val="00F43653"/>
    <w:rsid w:val="00F439F6"/>
    <w:rsid w:val="00F43AE5"/>
    <w:rsid w:val="00F43B31"/>
    <w:rsid w:val="00F4407F"/>
    <w:rsid w:val="00F44228"/>
    <w:rsid w:val="00F44301"/>
    <w:rsid w:val="00F4440C"/>
    <w:rsid w:val="00F446D8"/>
    <w:rsid w:val="00F458E1"/>
    <w:rsid w:val="00F461F5"/>
    <w:rsid w:val="00F46623"/>
    <w:rsid w:val="00F468A8"/>
    <w:rsid w:val="00F46C8D"/>
    <w:rsid w:val="00F4794F"/>
    <w:rsid w:val="00F47D00"/>
    <w:rsid w:val="00F47DF4"/>
    <w:rsid w:val="00F50436"/>
    <w:rsid w:val="00F50438"/>
    <w:rsid w:val="00F50546"/>
    <w:rsid w:val="00F507D0"/>
    <w:rsid w:val="00F50810"/>
    <w:rsid w:val="00F50E94"/>
    <w:rsid w:val="00F512CE"/>
    <w:rsid w:val="00F5131C"/>
    <w:rsid w:val="00F5141D"/>
    <w:rsid w:val="00F51460"/>
    <w:rsid w:val="00F51ED5"/>
    <w:rsid w:val="00F51EF5"/>
    <w:rsid w:val="00F5277F"/>
    <w:rsid w:val="00F527F4"/>
    <w:rsid w:val="00F52A4E"/>
    <w:rsid w:val="00F52AD3"/>
    <w:rsid w:val="00F52FEE"/>
    <w:rsid w:val="00F543BA"/>
    <w:rsid w:val="00F543C1"/>
    <w:rsid w:val="00F543E5"/>
    <w:rsid w:val="00F5441A"/>
    <w:rsid w:val="00F54D73"/>
    <w:rsid w:val="00F55098"/>
    <w:rsid w:val="00F5538A"/>
    <w:rsid w:val="00F560B5"/>
    <w:rsid w:val="00F5611E"/>
    <w:rsid w:val="00F56B26"/>
    <w:rsid w:val="00F571E3"/>
    <w:rsid w:val="00F579C3"/>
    <w:rsid w:val="00F6025A"/>
    <w:rsid w:val="00F61007"/>
    <w:rsid w:val="00F61280"/>
    <w:rsid w:val="00F612FF"/>
    <w:rsid w:val="00F62C73"/>
    <w:rsid w:val="00F6345D"/>
    <w:rsid w:val="00F63CF3"/>
    <w:rsid w:val="00F63FCF"/>
    <w:rsid w:val="00F64091"/>
    <w:rsid w:val="00F6430C"/>
    <w:rsid w:val="00F6492E"/>
    <w:rsid w:val="00F64BB6"/>
    <w:rsid w:val="00F64D55"/>
    <w:rsid w:val="00F64F60"/>
    <w:rsid w:val="00F657A5"/>
    <w:rsid w:val="00F65B2A"/>
    <w:rsid w:val="00F65C11"/>
    <w:rsid w:val="00F662CF"/>
    <w:rsid w:val="00F66964"/>
    <w:rsid w:val="00F66D02"/>
    <w:rsid w:val="00F67B66"/>
    <w:rsid w:val="00F70577"/>
    <w:rsid w:val="00F7079E"/>
    <w:rsid w:val="00F711C1"/>
    <w:rsid w:val="00F72441"/>
    <w:rsid w:val="00F7274D"/>
    <w:rsid w:val="00F7275D"/>
    <w:rsid w:val="00F734E5"/>
    <w:rsid w:val="00F7374F"/>
    <w:rsid w:val="00F738A9"/>
    <w:rsid w:val="00F74091"/>
    <w:rsid w:val="00F745CD"/>
    <w:rsid w:val="00F7473C"/>
    <w:rsid w:val="00F747B0"/>
    <w:rsid w:val="00F74E18"/>
    <w:rsid w:val="00F756CB"/>
    <w:rsid w:val="00F757F8"/>
    <w:rsid w:val="00F75968"/>
    <w:rsid w:val="00F75A60"/>
    <w:rsid w:val="00F768F5"/>
    <w:rsid w:val="00F77838"/>
    <w:rsid w:val="00F77BE8"/>
    <w:rsid w:val="00F800A9"/>
    <w:rsid w:val="00F80C7B"/>
    <w:rsid w:val="00F81765"/>
    <w:rsid w:val="00F819EB"/>
    <w:rsid w:val="00F81A92"/>
    <w:rsid w:val="00F81B70"/>
    <w:rsid w:val="00F82506"/>
    <w:rsid w:val="00F82953"/>
    <w:rsid w:val="00F82C4F"/>
    <w:rsid w:val="00F82EFC"/>
    <w:rsid w:val="00F8301A"/>
    <w:rsid w:val="00F830E4"/>
    <w:rsid w:val="00F83599"/>
    <w:rsid w:val="00F83634"/>
    <w:rsid w:val="00F8420B"/>
    <w:rsid w:val="00F84541"/>
    <w:rsid w:val="00F8454D"/>
    <w:rsid w:val="00F845FF"/>
    <w:rsid w:val="00F8479E"/>
    <w:rsid w:val="00F84A8D"/>
    <w:rsid w:val="00F84CBB"/>
    <w:rsid w:val="00F85028"/>
    <w:rsid w:val="00F85181"/>
    <w:rsid w:val="00F859E5"/>
    <w:rsid w:val="00F85F65"/>
    <w:rsid w:val="00F863CE"/>
    <w:rsid w:val="00F86D21"/>
    <w:rsid w:val="00F87052"/>
    <w:rsid w:val="00F87138"/>
    <w:rsid w:val="00F873E0"/>
    <w:rsid w:val="00F87F3D"/>
    <w:rsid w:val="00F87F77"/>
    <w:rsid w:val="00F901DF"/>
    <w:rsid w:val="00F909B4"/>
    <w:rsid w:val="00F909E9"/>
    <w:rsid w:val="00F90D61"/>
    <w:rsid w:val="00F90F9A"/>
    <w:rsid w:val="00F9180F"/>
    <w:rsid w:val="00F91E9B"/>
    <w:rsid w:val="00F92933"/>
    <w:rsid w:val="00F929CB"/>
    <w:rsid w:val="00F92BDB"/>
    <w:rsid w:val="00F92D22"/>
    <w:rsid w:val="00F93002"/>
    <w:rsid w:val="00F934E7"/>
    <w:rsid w:val="00F9359B"/>
    <w:rsid w:val="00F93829"/>
    <w:rsid w:val="00F93EB5"/>
    <w:rsid w:val="00F948A6"/>
    <w:rsid w:val="00F9505D"/>
    <w:rsid w:val="00F950B3"/>
    <w:rsid w:val="00F9585A"/>
    <w:rsid w:val="00F962B7"/>
    <w:rsid w:val="00F97070"/>
    <w:rsid w:val="00F972FF"/>
    <w:rsid w:val="00F97963"/>
    <w:rsid w:val="00F97CCA"/>
    <w:rsid w:val="00FA0116"/>
    <w:rsid w:val="00FA060F"/>
    <w:rsid w:val="00FA08BD"/>
    <w:rsid w:val="00FA0B93"/>
    <w:rsid w:val="00FA137A"/>
    <w:rsid w:val="00FA1558"/>
    <w:rsid w:val="00FA1757"/>
    <w:rsid w:val="00FA1B35"/>
    <w:rsid w:val="00FA2059"/>
    <w:rsid w:val="00FA23FE"/>
    <w:rsid w:val="00FA2546"/>
    <w:rsid w:val="00FA2A35"/>
    <w:rsid w:val="00FA2C2D"/>
    <w:rsid w:val="00FA2EEE"/>
    <w:rsid w:val="00FA3291"/>
    <w:rsid w:val="00FA334F"/>
    <w:rsid w:val="00FA35B9"/>
    <w:rsid w:val="00FA37C2"/>
    <w:rsid w:val="00FA46A8"/>
    <w:rsid w:val="00FA486A"/>
    <w:rsid w:val="00FA4E32"/>
    <w:rsid w:val="00FA5657"/>
    <w:rsid w:val="00FA5707"/>
    <w:rsid w:val="00FA5BC5"/>
    <w:rsid w:val="00FA6124"/>
    <w:rsid w:val="00FA6155"/>
    <w:rsid w:val="00FA63B2"/>
    <w:rsid w:val="00FA650D"/>
    <w:rsid w:val="00FA66CF"/>
    <w:rsid w:val="00FA6AFD"/>
    <w:rsid w:val="00FA6CD9"/>
    <w:rsid w:val="00FA6D99"/>
    <w:rsid w:val="00FA6ED6"/>
    <w:rsid w:val="00FA7538"/>
    <w:rsid w:val="00FA79EF"/>
    <w:rsid w:val="00FB079C"/>
    <w:rsid w:val="00FB0C41"/>
    <w:rsid w:val="00FB13C9"/>
    <w:rsid w:val="00FB17FC"/>
    <w:rsid w:val="00FB19A9"/>
    <w:rsid w:val="00FB1E84"/>
    <w:rsid w:val="00FB2046"/>
    <w:rsid w:val="00FB239E"/>
    <w:rsid w:val="00FB2415"/>
    <w:rsid w:val="00FB29C9"/>
    <w:rsid w:val="00FB2A21"/>
    <w:rsid w:val="00FB2DE8"/>
    <w:rsid w:val="00FB329E"/>
    <w:rsid w:val="00FB3325"/>
    <w:rsid w:val="00FB3AA0"/>
    <w:rsid w:val="00FB40CF"/>
    <w:rsid w:val="00FB457B"/>
    <w:rsid w:val="00FB46C1"/>
    <w:rsid w:val="00FB4B57"/>
    <w:rsid w:val="00FB4F8D"/>
    <w:rsid w:val="00FB52F1"/>
    <w:rsid w:val="00FB54A2"/>
    <w:rsid w:val="00FB5514"/>
    <w:rsid w:val="00FB5EE6"/>
    <w:rsid w:val="00FB6E6D"/>
    <w:rsid w:val="00FB715C"/>
    <w:rsid w:val="00FB73E4"/>
    <w:rsid w:val="00FB7599"/>
    <w:rsid w:val="00FB7820"/>
    <w:rsid w:val="00FB7F8A"/>
    <w:rsid w:val="00FB7FFC"/>
    <w:rsid w:val="00FC0786"/>
    <w:rsid w:val="00FC08A3"/>
    <w:rsid w:val="00FC0999"/>
    <w:rsid w:val="00FC1269"/>
    <w:rsid w:val="00FC152F"/>
    <w:rsid w:val="00FC22BA"/>
    <w:rsid w:val="00FC2E26"/>
    <w:rsid w:val="00FC34AC"/>
    <w:rsid w:val="00FC4051"/>
    <w:rsid w:val="00FC46CC"/>
    <w:rsid w:val="00FC4D23"/>
    <w:rsid w:val="00FC4EA2"/>
    <w:rsid w:val="00FC5442"/>
    <w:rsid w:val="00FC60B2"/>
    <w:rsid w:val="00FC665A"/>
    <w:rsid w:val="00FC6935"/>
    <w:rsid w:val="00FC6FD5"/>
    <w:rsid w:val="00FC7316"/>
    <w:rsid w:val="00FC7380"/>
    <w:rsid w:val="00FC7827"/>
    <w:rsid w:val="00FC7FF8"/>
    <w:rsid w:val="00FC7FFB"/>
    <w:rsid w:val="00FD032D"/>
    <w:rsid w:val="00FD0566"/>
    <w:rsid w:val="00FD168C"/>
    <w:rsid w:val="00FD1807"/>
    <w:rsid w:val="00FD188D"/>
    <w:rsid w:val="00FD1A64"/>
    <w:rsid w:val="00FD1C13"/>
    <w:rsid w:val="00FD23B5"/>
    <w:rsid w:val="00FD2690"/>
    <w:rsid w:val="00FD2F7B"/>
    <w:rsid w:val="00FD32D5"/>
    <w:rsid w:val="00FD34B5"/>
    <w:rsid w:val="00FD373F"/>
    <w:rsid w:val="00FD3B18"/>
    <w:rsid w:val="00FD41DC"/>
    <w:rsid w:val="00FD46E6"/>
    <w:rsid w:val="00FD4A59"/>
    <w:rsid w:val="00FD4DB1"/>
    <w:rsid w:val="00FD5032"/>
    <w:rsid w:val="00FD593C"/>
    <w:rsid w:val="00FD59E9"/>
    <w:rsid w:val="00FD5C96"/>
    <w:rsid w:val="00FD5DB0"/>
    <w:rsid w:val="00FD5FB2"/>
    <w:rsid w:val="00FD61DD"/>
    <w:rsid w:val="00FD6B57"/>
    <w:rsid w:val="00FD7040"/>
    <w:rsid w:val="00FD707A"/>
    <w:rsid w:val="00FD730B"/>
    <w:rsid w:val="00FD76DA"/>
    <w:rsid w:val="00FD7F78"/>
    <w:rsid w:val="00FE005C"/>
    <w:rsid w:val="00FE02E9"/>
    <w:rsid w:val="00FE0453"/>
    <w:rsid w:val="00FE051F"/>
    <w:rsid w:val="00FE0DA9"/>
    <w:rsid w:val="00FE0EC7"/>
    <w:rsid w:val="00FE124A"/>
    <w:rsid w:val="00FE14D1"/>
    <w:rsid w:val="00FE1994"/>
    <w:rsid w:val="00FE1AFB"/>
    <w:rsid w:val="00FE2006"/>
    <w:rsid w:val="00FE252C"/>
    <w:rsid w:val="00FE27B5"/>
    <w:rsid w:val="00FE28E7"/>
    <w:rsid w:val="00FE2B41"/>
    <w:rsid w:val="00FE2D7E"/>
    <w:rsid w:val="00FE2ED9"/>
    <w:rsid w:val="00FE2F94"/>
    <w:rsid w:val="00FE325B"/>
    <w:rsid w:val="00FE3582"/>
    <w:rsid w:val="00FE4260"/>
    <w:rsid w:val="00FE4326"/>
    <w:rsid w:val="00FE4F73"/>
    <w:rsid w:val="00FE6330"/>
    <w:rsid w:val="00FE7238"/>
    <w:rsid w:val="00FE76D9"/>
    <w:rsid w:val="00FE78CC"/>
    <w:rsid w:val="00FE794C"/>
    <w:rsid w:val="00FE79FF"/>
    <w:rsid w:val="00FE7A06"/>
    <w:rsid w:val="00FE7BA0"/>
    <w:rsid w:val="00FF0EFB"/>
    <w:rsid w:val="00FF117D"/>
    <w:rsid w:val="00FF14A7"/>
    <w:rsid w:val="00FF1CA5"/>
    <w:rsid w:val="00FF207F"/>
    <w:rsid w:val="00FF220A"/>
    <w:rsid w:val="00FF278D"/>
    <w:rsid w:val="00FF2DB4"/>
    <w:rsid w:val="00FF2DF0"/>
    <w:rsid w:val="00FF32BB"/>
    <w:rsid w:val="00FF35FB"/>
    <w:rsid w:val="00FF390E"/>
    <w:rsid w:val="00FF3F0E"/>
    <w:rsid w:val="00FF4186"/>
    <w:rsid w:val="00FF4429"/>
    <w:rsid w:val="00FF484A"/>
    <w:rsid w:val="00FF4DB2"/>
    <w:rsid w:val="00FF4DB8"/>
    <w:rsid w:val="00FF5F85"/>
    <w:rsid w:val="00FF5FC5"/>
    <w:rsid w:val="00FF60E7"/>
    <w:rsid w:val="00FF6753"/>
    <w:rsid w:val="00FF6F24"/>
    <w:rsid w:val="00FF7354"/>
    <w:rsid w:val="00FF759F"/>
    <w:rsid w:val="00FF75BE"/>
    <w:rsid w:val="00FF794B"/>
    <w:rsid w:val="00FF7FC5"/>
    <w:rsid w:val="04074264"/>
    <w:rsid w:val="042D93AA"/>
    <w:rsid w:val="051351B6"/>
    <w:rsid w:val="0B237B81"/>
    <w:rsid w:val="0CA6B6A0"/>
    <w:rsid w:val="0E246BA0"/>
    <w:rsid w:val="113C0BE7"/>
    <w:rsid w:val="12975A3C"/>
    <w:rsid w:val="13C5503B"/>
    <w:rsid w:val="168CAA51"/>
    <w:rsid w:val="194C5715"/>
    <w:rsid w:val="22063982"/>
    <w:rsid w:val="22CD7425"/>
    <w:rsid w:val="248EAECD"/>
    <w:rsid w:val="266BE468"/>
    <w:rsid w:val="2A10A53C"/>
    <w:rsid w:val="2B978FD1"/>
    <w:rsid w:val="306D9566"/>
    <w:rsid w:val="323CEE52"/>
    <w:rsid w:val="3242C2A7"/>
    <w:rsid w:val="33173460"/>
    <w:rsid w:val="36D0BCD0"/>
    <w:rsid w:val="38439BC3"/>
    <w:rsid w:val="386B922F"/>
    <w:rsid w:val="3C375532"/>
    <w:rsid w:val="3D65CAAD"/>
    <w:rsid w:val="47B7E2F5"/>
    <w:rsid w:val="49A06EC7"/>
    <w:rsid w:val="4C299A5B"/>
    <w:rsid w:val="4E7D5AE1"/>
    <w:rsid w:val="4F1AA73B"/>
    <w:rsid w:val="50F11C12"/>
    <w:rsid w:val="54190C49"/>
    <w:rsid w:val="5518E516"/>
    <w:rsid w:val="563072C2"/>
    <w:rsid w:val="56D39DD2"/>
    <w:rsid w:val="58B00646"/>
    <w:rsid w:val="5AAB4A95"/>
    <w:rsid w:val="5E034420"/>
    <w:rsid w:val="6AACAAB4"/>
    <w:rsid w:val="7113718C"/>
    <w:rsid w:val="73E5D8C4"/>
    <w:rsid w:val="78A939B7"/>
    <w:rsid w:val="7C934451"/>
    <w:rsid w:val="7D47044A"/>
    <w:rsid w:val="7E52CE8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CB87C"/>
  <w15:docId w15:val="{C4FCA4B9-38A4-4B54-B0B7-438B4305C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FSMePro" w:hAnsi="Arial" w:cs="Times New Roman"/>
        <w:sz w:val="24"/>
        <w:szCs w:val="24"/>
        <w:lang w:val="en-AU" w:eastAsia="en-US"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6"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0"/>
    <w:lsdException w:name="toc 7" w:semiHidden="1" w:uiPriority="0"/>
    <w:lsdException w:name="toc 8" w:semiHidden="1" w:uiPriority="0"/>
    <w:lsdException w:name="toc 9" w:semiHidden="1" w:uiPriority="0"/>
    <w:lsdException w:name="Normal Indent" w:semiHidden="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iPriority="0"/>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iPriority="0"/>
    <w:lsdException w:name="toa heading" w:semiHidden="1"/>
    <w:lsdException w:name="List" w:semiHidden="1"/>
    <w:lsdException w:name="List Bullet" w:semiHidden="1" w:unhideWhenUsed="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qFormat="1"/>
    <w:lsdException w:name="List Number 3" w:semiHidden="1"/>
    <w:lsdException w:name="List Number 4" w:semiHidden="1"/>
    <w:lsdException w:name="List Number 5" w:semiHidden="1"/>
    <w:lsdException w:name="Title" w:uiPriority="0" w:qFormat="1"/>
    <w:lsdException w:name="Closing" w:semiHidden="1"/>
    <w:lsdException w:name="Signature" w:semiHidden="1" w:uiPriority="0"/>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qFormat="1"/>
    <w:lsdException w:name="Emphasis" w:semiHidden="1"/>
    <w:lsdException w:name="Document Map" w:semiHidden="1" w:uiPriority="0"/>
    <w:lsdException w:name="Plain Text" w:semiHidden="1"/>
    <w:lsdException w:name="E-mail Signature" w:semiHidden="1"/>
    <w:lsdException w:name="HTML Top of Form" w:semiHidden="1" w:uiPriority="0" w:unhideWhenUsed="1"/>
    <w:lsdException w:name="HTML Bottom of Form" w:semiHidden="1" w:uiPriority="0"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uiPriority="33"/>
    <w:lsdException w:name="Bibliography" w:semiHidden="1"/>
    <w:lsdException w:name="TOC Heading"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qFormat/>
    <w:rsid w:val="008E2832"/>
    <w:pPr>
      <w:spacing w:before="0" w:line="360" w:lineRule="auto"/>
    </w:pPr>
  </w:style>
  <w:style w:type="paragraph" w:styleId="Heading1">
    <w:name w:val="heading 1"/>
    <w:aliases w:val="Heading 1 do not use,Section heading 1,Front Page Title,1.,Para 1,Para 11"/>
    <w:basedOn w:val="Normal"/>
    <w:next w:val="Normal"/>
    <w:link w:val="Heading1Char"/>
    <w:uiPriority w:val="9"/>
    <w:qFormat/>
    <w:rsid w:val="003200AD"/>
    <w:pPr>
      <w:keepNext/>
      <w:spacing w:before="640" w:after="800" w:line="260" w:lineRule="atLeast"/>
      <w:outlineLvl w:val="0"/>
    </w:pPr>
    <w:rPr>
      <w:rFonts w:eastAsia="Times New Roman" w:cs="Arial"/>
      <w:b/>
      <w:color w:val="6B2976" w:themeColor="text1"/>
      <w:sz w:val="80"/>
      <w:szCs w:val="44"/>
      <w:lang w:eastAsia="ja-JP"/>
    </w:rPr>
  </w:style>
  <w:style w:type="paragraph" w:styleId="Heading2">
    <w:name w:val="heading 2"/>
    <w:aliases w:val="Heading 2 do not use,Front Page List of Sections"/>
    <w:basedOn w:val="Normal"/>
    <w:next w:val="Normal"/>
    <w:link w:val="Heading2Char"/>
    <w:uiPriority w:val="9"/>
    <w:qFormat/>
    <w:rsid w:val="002311B0"/>
    <w:pPr>
      <w:keepNext/>
      <w:spacing w:before="4440" w:after="240" w:line="312" w:lineRule="auto"/>
      <w:outlineLvl w:val="1"/>
    </w:pPr>
    <w:rPr>
      <w:b/>
      <w:bCs/>
      <w:color w:val="6B2976" w:themeColor="text1"/>
      <w:sz w:val="52"/>
      <w:szCs w:val="36"/>
    </w:rPr>
  </w:style>
  <w:style w:type="paragraph" w:styleId="Heading3">
    <w:name w:val="heading 3"/>
    <w:aliases w:val="Heading 3 do not use"/>
    <w:basedOn w:val="Normal"/>
    <w:next w:val="Normal"/>
    <w:link w:val="Heading3Char"/>
    <w:uiPriority w:val="5"/>
    <w:qFormat/>
    <w:rsid w:val="004E5B31"/>
    <w:pPr>
      <w:keepNext/>
      <w:spacing w:before="400" w:after="240" w:line="312" w:lineRule="auto"/>
      <w:outlineLvl w:val="2"/>
    </w:pPr>
    <w:rPr>
      <w:b/>
      <w:color w:val="6B2976" w:themeColor="text1"/>
      <w:sz w:val="40"/>
      <w:szCs w:val="32"/>
    </w:rPr>
  </w:style>
  <w:style w:type="paragraph" w:styleId="Heading4">
    <w:name w:val="heading 4"/>
    <w:basedOn w:val="Normal"/>
    <w:next w:val="Normal"/>
    <w:link w:val="Heading4Char"/>
    <w:uiPriority w:val="6"/>
    <w:qFormat/>
    <w:rsid w:val="00357570"/>
    <w:pPr>
      <w:keepNext/>
      <w:spacing w:before="400" w:after="240" w:line="312" w:lineRule="auto"/>
      <w:outlineLvl w:val="3"/>
    </w:pPr>
    <w:rPr>
      <w:b/>
      <w:color w:val="6B2976" w:themeColor="text1"/>
      <w:sz w:val="32"/>
      <w:szCs w:val="28"/>
    </w:rPr>
  </w:style>
  <w:style w:type="paragraph" w:styleId="Heading5">
    <w:name w:val="heading 5"/>
    <w:basedOn w:val="Normal"/>
    <w:next w:val="Normal"/>
    <w:link w:val="Heading5Char"/>
    <w:uiPriority w:val="9"/>
    <w:qFormat/>
    <w:rsid w:val="00F82EFC"/>
    <w:pPr>
      <w:keepNext/>
      <w:spacing w:before="360"/>
      <w:outlineLvl w:val="4"/>
    </w:pPr>
    <w:rPr>
      <w:b/>
    </w:rPr>
  </w:style>
  <w:style w:type="paragraph" w:styleId="Heading6">
    <w:name w:val="heading 6"/>
    <w:basedOn w:val="Normal"/>
    <w:next w:val="Normal"/>
    <w:link w:val="Heading6Char"/>
    <w:uiPriority w:val="9"/>
    <w:qFormat/>
    <w:rsid w:val="00695064"/>
    <w:pPr>
      <w:spacing w:before="360"/>
      <w:outlineLvl w:val="5"/>
    </w:pPr>
    <w:rPr>
      <w:iCs/>
      <w:color w:val="6B2976"/>
      <w:shd w:val="clear" w:color="auto" w:fill="FFFFFF"/>
    </w:rPr>
  </w:style>
  <w:style w:type="paragraph" w:styleId="Heading7">
    <w:name w:val="heading 7"/>
    <w:aliases w:val="Section Sub-Heading 4"/>
    <w:basedOn w:val="Normal"/>
    <w:next w:val="Normal"/>
    <w:link w:val="Heading7Char"/>
    <w:uiPriority w:val="9"/>
    <w:rsid w:val="004B54CA"/>
    <w:pPr>
      <w:spacing w:after="0"/>
      <w:outlineLvl w:val="6"/>
    </w:pPr>
    <w:rPr>
      <w:i/>
      <w:iCs/>
    </w:rPr>
  </w:style>
  <w:style w:type="paragraph" w:styleId="Heading8">
    <w:name w:val="heading 8"/>
    <w:basedOn w:val="Normal"/>
    <w:next w:val="Normal"/>
    <w:link w:val="Heading8Char"/>
    <w:uiPriority w:val="99"/>
    <w:rsid w:val="004B54CA"/>
    <w:pPr>
      <w:spacing w:after="0"/>
      <w:outlineLvl w:val="7"/>
    </w:pPr>
    <w:rPr>
      <w:sz w:val="20"/>
      <w:szCs w:val="20"/>
    </w:rPr>
  </w:style>
  <w:style w:type="paragraph" w:styleId="Heading9">
    <w:name w:val="heading 9"/>
    <w:basedOn w:val="Normal"/>
    <w:next w:val="Normal"/>
    <w:link w:val="Heading9Char"/>
    <w:uiPriority w:val="99"/>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o not use Char,Section heading 1 Char,Front Page Title Char,1. Char,Para 1 Char,Para 11 Char"/>
    <w:link w:val="Heading1"/>
    <w:uiPriority w:val="9"/>
    <w:rsid w:val="003200AD"/>
    <w:rPr>
      <w:rFonts w:eastAsia="Times New Roman" w:cs="Arial"/>
      <w:b/>
      <w:color w:val="6B2976" w:themeColor="text1"/>
      <w:sz w:val="80"/>
      <w:szCs w:val="44"/>
      <w:lang w:eastAsia="ja-JP"/>
    </w:rPr>
  </w:style>
  <w:style w:type="character" w:customStyle="1" w:styleId="Heading2Char">
    <w:name w:val="Heading 2 Char"/>
    <w:aliases w:val="Heading 2 do not use Char,Front Page List of Sections Char"/>
    <w:link w:val="Heading2"/>
    <w:uiPriority w:val="9"/>
    <w:rsid w:val="002311B0"/>
    <w:rPr>
      <w:b/>
      <w:bCs/>
      <w:color w:val="6B2976" w:themeColor="text1"/>
      <w:sz w:val="52"/>
      <w:szCs w:val="36"/>
    </w:rPr>
  </w:style>
  <w:style w:type="paragraph" w:customStyle="1" w:styleId="TableBullet">
    <w:name w:val="Table Bullet"/>
    <w:link w:val="TableBulletChar"/>
    <w:uiPriority w:val="10"/>
    <w:qFormat/>
    <w:rsid w:val="0054222F"/>
    <w:pPr>
      <w:numPr>
        <w:numId w:val="3"/>
      </w:numPr>
      <w:spacing w:before="100" w:after="100"/>
      <w:ind w:left="357" w:hanging="357"/>
    </w:pPr>
    <w:rPr>
      <w:rFonts w:eastAsia="Times New Roman"/>
      <w:lang w:eastAsia="ja-JP"/>
    </w:rPr>
  </w:style>
  <w:style w:type="character" w:customStyle="1" w:styleId="Heading3Char">
    <w:name w:val="Heading 3 Char"/>
    <w:aliases w:val="Heading 3 do not use Char"/>
    <w:link w:val="Heading3"/>
    <w:uiPriority w:val="5"/>
    <w:rsid w:val="004E5B31"/>
    <w:rPr>
      <w:b/>
      <w:color w:val="6B2976" w:themeColor="text1"/>
      <w:sz w:val="40"/>
      <w:szCs w:val="32"/>
    </w:rPr>
  </w:style>
  <w:style w:type="character" w:customStyle="1" w:styleId="Heading4Char">
    <w:name w:val="Heading 4 Char"/>
    <w:link w:val="Heading4"/>
    <w:uiPriority w:val="6"/>
    <w:rsid w:val="00357570"/>
    <w:rPr>
      <w:b/>
      <w:color w:val="6B2976" w:themeColor="text1"/>
      <w:sz w:val="32"/>
      <w:szCs w:val="28"/>
    </w:rPr>
  </w:style>
  <w:style w:type="character" w:customStyle="1" w:styleId="Heading5Char">
    <w:name w:val="Heading 5 Char"/>
    <w:link w:val="Heading5"/>
    <w:uiPriority w:val="9"/>
    <w:rsid w:val="00F82EFC"/>
    <w:rPr>
      <w:b/>
    </w:rPr>
  </w:style>
  <w:style w:type="character" w:customStyle="1" w:styleId="Heading6Char">
    <w:name w:val="Heading 6 Char"/>
    <w:link w:val="Heading6"/>
    <w:uiPriority w:val="9"/>
    <w:rsid w:val="009C2BED"/>
    <w:rPr>
      <w:iCs/>
      <w:color w:val="6B2976"/>
    </w:rPr>
  </w:style>
  <w:style w:type="character" w:customStyle="1" w:styleId="Heading7Char">
    <w:name w:val="Heading 7 Char"/>
    <w:aliases w:val="Section Sub-Heading 4 Char"/>
    <w:link w:val="Heading7"/>
    <w:uiPriority w:val="9"/>
    <w:rsid w:val="00CE7007"/>
    <w:rPr>
      <w:i/>
      <w:iCs/>
    </w:rPr>
  </w:style>
  <w:style w:type="character" w:customStyle="1" w:styleId="Heading8Char">
    <w:name w:val="Heading 8 Char"/>
    <w:link w:val="Heading8"/>
    <w:uiPriority w:val="99"/>
    <w:rsid w:val="00CE7007"/>
    <w:rPr>
      <w:sz w:val="20"/>
      <w:szCs w:val="20"/>
    </w:rPr>
  </w:style>
  <w:style w:type="character" w:customStyle="1" w:styleId="Heading9Char">
    <w:name w:val="Heading 9 Char"/>
    <w:link w:val="Heading9"/>
    <w:uiPriority w:val="99"/>
    <w:rsid w:val="00CE7007"/>
    <w:rPr>
      <w:i/>
      <w:iCs/>
      <w:spacing w:val="5"/>
      <w:sz w:val="20"/>
      <w:szCs w:val="20"/>
    </w:rPr>
  </w:style>
  <w:style w:type="table" w:styleId="ListTable7Colorful-Accent6">
    <w:name w:val="List Table 7 Colorful Accent 6"/>
    <w:basedOn w:val="TableNormal"/>
    <w:uiPriority w:val="52"/>
    <w:rsid w:val="002A30E0"/>
    <w:rPr>
      <w:color w:val="0000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940AC8"/>
    <w:rPr>
      <w:color w:val="6B2976"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B2976"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6B2976"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B2976"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6B2976" w:themeColor="text1"/>
        </w:tcBorders>
        <w:shd w:val="clear" w:color="auto" w:fill="F9F9F9" w:themeFill="background1"/>
      </w:tcPr>
    </w:tblStylePr>
    <w:tblStylePr w:type="band1Vert">
      <w:tblPr/>
      <w:tcPr>
        <w:shd w:val="clear" w:color="auto" w:fill="E8CAED" w:themeFill="text1" w:themeFillTint="33"/>
      </w:tcPr>
    </w:tblStylePr>
    <w:tblStylePr w:type="band1Horz">
      <w:tblPr/>
      <w:tcPr>
        <w:shd w:val="clear" w:color="auto" w:fill="E8CAE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4"/>
      </w:numPr>
    </w:pPr>
  </w:style>
  <w:style w:type="numbering" w:customStyle="1" w:styleId="CurrentList2">
    <w:name w:val="Current List2"/>
    <w:uiPriority w:val="99"/>
    <w:rsid w:val="00940AC8"/>
    <w:pPr>
      <w:numPr>
        <w:numId w:val="5"/>
      </w:numPr>
    </w:pPr>
  </w:style>
  <w:style w:type="numbering" w:customStyle="1" w:styleId="CurrentList3">
    <w:name w:val="Current List3"/>
    <w:uiPriority w:val="99"/>
    <w:rsid w:val="00940AC8"/>
    <w:pPr>
      <w:numPr>
        <w:numId w:val="6"/>
      </w:numPr>
    </w:pPr>
  </w:style>
  <w:style w:type="table" w:styleId="TableGridLight">
    <w:name w:val="Grid Table Light"/>
    <w:basedOn w:val="TableNormal"/>
    <w:uiPriority w:val="40"/>
    <w:rsid w:val="00940AC8"/>
    <w:tblPr>
      <w:tblBorders>
        <w:top w:val="single" w:sz="4" w:space="0" w:color="BABABA" w:themeColor="background1" w:themeShade="BF"/>
        <w:left w:val="single" w:sz="4" w:space="0" w:color="BABABA" w:themeColor="background1" w:themeShade="BF"/>
        <w:bottom w:val="single" w:sz="4" w:space="0" w:color="BABABA" w:themeColor="background1" w:themeShade="BF"/>
        <w:right w:val="single" w:sz="4" w:space="0" w:color="BABABA" w:themeColor="background1" w:themeShade="BF"/>
        <w:insideH w:val="single" w:sz="4" w:space="0" w:color="BABABA" w:themeColor="background1" w:themeShade="BF"/>
        <w:insideV w:val="single" w:sz="4" w:space="0" w:color="BABABA" w:themeColor="background1" w:themeShade="BF"/>
      </w:tblBorders>
    </w:tblPr>
  </w:style>
  <w:style w:type="paragraph" w:styleId="ListParagraph">
    <w:name w:val="List Paragraph"/>
    <w:aliases w:val="Recommendation,List Paragraph1,List Paragraph11,Figure_name,Bullet- First level,Listenabsatz1,L,Number,#List Paragraph,Bullet point,List Paragraph111,F5 List Paragraph,Dot pt,CV text,Table text,Medium Grid 1 - Accent 21,Numbered Paragraph"/>
    <w:basedOn w:val="Normal"/>
    <w:link w:val="ListParagraphChar"/>
    <w:uiPriority w:val="99"/>
    <w:rsid w:val="004B54CA"/>
    <w:pPr>
      <w:ind w:left="720"/>
      <w:contextualSpacing/>
    </w:pPr>
  </w:style>
  <w:style w:type="table" w:styleId="ListTable2">
    <w:name w:val="List Table 2"/>
    <w:basedOn w:val="TableNormal"/>
    <w:uiPriority w:val="47"/>
    <w:rsid w:val="00940AC8"/>
    <w:tblPr>
      <w:tblStyleRowBandSize w:val="1"/>
      <w:tblStyleColBandSize w:val="1"/>
      <w:tblBorders>
        <w:top w:val="single" w:sz="4" w:space="0" w:color="B962C8" w:themeColor="text1" w:themeTint="99"/>
        <w:bottom w:val="single" w:sz="4" w:space="0" w:color="B962C8" w:themeColor="text1" w:themeTint="99"/>
        <w:insideH w:val="single" w:sz="4" w:space="0" w:color="B962C8"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CAED" w:themeFill="text1" w:themeFillTint="33"/>
      </w:tcPr>
    </w:tblStylePr>
    <w:tblStylePr w:type="band1Horz">
      <w:tblPr/>
      <w:tcPr>
        <w:shd w:val="clear" w:color="auto" w:fill="E8CAED" w:themeFill="text1" w:themeFillTint="33"/>
      </w:tcPr>
    </w:tblStylePr>
  </w:style>
  <w:style w:type="table" w:customStyle="1" w:styleId="Style1">
    <w:name w:val="Style1"/>
    <w:basedOn w:val="TableNormal"/>
    <w:uiPriority w:val="99"/>
    <w:rsid w:val="00940AC8"/>
    <w:tblPr/>
  </w:style>
  <w:style w:type="paragraph" w:styleId="Header">
    <w:name w:val="header"/>
    <w:aliases w:val="Security markings"/>
    <w:basedOn w:val="Normal"/>
    <w:link w:val="HeaderChar"/>
    <w:uiPriority w:val="99"/>
    <w:rsid w:val="00CD7757"/>
    <w:pPr>
      <w:jc w:val="center"/>
    </w:pPr>
    <w:rPr>
      <w:b/>
      <w:color w:val="C00000"/>
    </w:rPr>
  </w:style>
  <w:style w:type="character" w:customStyle="1" w:styleId="HeaderChar">
    <w:name w:val="Header Char"/>
    <w:aliases w:val="Security markings Char"/>
    <w:link w:val="Header"/>
    <w:uiPriority w:val="99"/>
    <w:rsid w:val="003639E5"/>
    <w:rPr>
      <w:b/>
      <w:color w:val="C00000"/>
    </w:rPr>
  </w:style>
  <w:style w:type="paragraph" w:styleId="Footer">
    <w:name w:val="footer"/>
    <w:basedOn w:val="Normal"/>
    <w:link w:val="FooterChar"/>
    <w:uiPriority w:val="99"/>
    <w:rsid w:val="004E5B31"/>
    <w:pPr>
      <w:tabs>
        <w:tab w:val="center" w:pos="4513"/>
        <w:tab w:val="right" w:pos="9026"/>
      </w:tabs>
      <w:spacing w:after="0" w:line="240" w:lineRule="auto"/>
    </w:pPr>
    <w:rPr>
      <w:b/>
      <w:color w:val="6B2976" w:themeColor="text1"/>
    </w:rPr>
  </w:style>
  <w:style w:type="character" w:customStyle="1" w:styleId="FooterChar">
    <w:name w:val="Footer Char"/>
    <w:link w:val="Footer"/>
    <w:uiPriority w:val="99"/>
    <w:rsid w:val="000612CF"/>
    <w:rPr>
      <w:b/>
      <w:color w:val="6B2976" w:themeColor="text1"/>
    </w:rPr>
  </w:style>
  <w:style w:type="character" w:styleId="PageNumber">
    <w:name w:val="page number"/>
    <w:basedOn w:val="DefaultParagraphFont"/>
    <w:uiPriority w:val="99"/>
    <w:semiHidden/>
    <w:rsid w:val="007219F1"/>
  </w:style>
  <w:style w:type="paragraph" w:styleId="BalloonText">
    <w:name w:val="Balloon Text"/>
    <w:basedOn w:val="Normal"/>
    <w:link w:val="BalloonTextChar"/>
    <w:uiPriority w:val="99"/>
    <w:semiHidden/>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A4E68"/>
    <w:rPr>
      <w:rFonts w:ascii="Tahoma" w:eastAsia="Times New Roman" w:hAnsi="Tahoma" w:cs="Tahoma"/>
      <w:sz w:val="16"/>
      <w:szCs w:val="16"/>
      <w:lang w:val="en-US" w:eastAsia="ja-JP"/>
    </w:rPr>
  </w:style>
  <w:style w:type="paragraph" w:customStyle="1" w:styleId="Bullet1">
    <w:name w:val="Bullet 1"/>
    <w:basedOn w:val="ListParagraph"/>
    <w:link w:val="Bullet1Char"/>
    <w:uiPriority w:val="1"/>
    <w:qFormat/>
    <w:rsid w:val="003C3B27"/>
    <w:pPr>
      <w:numPr>
        <w:numId w:val="10"/>
      </w:numPr>
      <w:ind w:left="714"/>
      <w:contextualSpacing w:val="0"/>
    </w:pPr>
    <w:rPr>
      <w:lang w:eastAsia="en-GB"/>
    </w:rPr>
  </w:style>
  <w:style w:type="table" w:styleId="LightShading-Accent4">
    <w:name w:val="Light Shading Accent 4"/>
    <w:aliases w:val="NDIS purple table"/>
    <w:basedOn w:val="TableNormal"/>
    <w:uiPriority w:val="60"/>
    <w:rsid w:val="00761E08"/>
    <w:pPr>
      <w:keepLines/>
      <w:spacing w:after="80"/>
      <w:ind w:left="113" w:right="113"/>
    </w:pPr>
    <w:rPr>
      <w:rFonts w:eastAsia="Times New Roman"/>
      <w:lang w:val="en-US" w:eastAsia="ja-JP"/>
    </w:rPr>
    <w:tblPr>
      <w:tblStyleRowBandSize w:val="1"/>
      <w:tblStyleColBandSize w:val="1"/>
      <w:tblBorders>
        <w:top w:val="single" w:sz="4" w:space="0" w:color="6B2976" w:themeColor="text2"/>
        <w:bottom w:val="single" w:sz="4" w:space="0" w:color="6B29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link w:val="ListBulletChar"/>
    <w:autoRedefine/>
    <w:uiPriority w:val="99"/>
    <w:rsid w:val="003820DF"/>
    <w:pPr>
      <w:numPr>
        <w:numId w:val="2"/>
      </w:numPr>
      <w:ind w:left="714" w:hanging="357"/>
      <w:contextualSpacing/>
    </w:pPr>
    <w:rPr>
      <w:rFonts w:cs="Arial"/>
      <w:spacing w:val="-3"/>
      <w:kern w:val="1"/>
      <w:szCs w:val="20"/>
      <w:shd w:val="clear" w:color="auto" w:fill="FFFFFF"/>
      <w:lang w:val="en-GB"/>
    </w:rPr>
  </w:style>
  <w:style w:type="paragraph" w:styleId="TOC1">
    <w:name w:val="toc 1"/>
    <w:basedOn w:val="Normal"/>
    <w:next w:val="Normal"/>
    <w:uiPriority w:val="39"/>
    <w:qFormat/>
    <w:rsid w:val="00DF1083"/>
    <w:pPr>
      <w:tabs>
        <w:tab w:val="right" w:pos="425"/>
        <w:tab w:val="right" w:pos="851"/>
        <w:tab w:val="right" w:pos="9016"/>
      </w:tabs>
      <w:spacing w:before="120"/>
    </w:pPr>
    <w:rPr>
      <w:noProof/>
    </w:rPr>
  </w:style>
  <w:style w:type="paragraph" w:styleId="TOC2">
    <w:name w:val="toc 2"/>
    <w:basedOn w:val="Normal"/>
    <w:next w:val="Normal"/>
    <w:uiPriority w:val="39"/>
    <w:rsid w:val="004A61DD"/>
    <w:pPr>
      <w:tabs>
        <w:tab w:val="left" w:pos="425"/>
        <w:tab w:val="left" w:pos="851"/>
        <w:tab w:val="right" w:pos="9016"/>
      </w:tabs>
      <w:spacing w:after="200"/>
      <w:ind w:left="425"/>
    </w:pPr>
  </w:style>
  <w:style w:type="character" w:styleId="Hyperlink">
    <w:name w:val="Hyperlink"/>
    <w:uiPriority w:val="99"/>
    <w:rsid w:val="0040062A"/>
    <w:rPr>
      <w:color w:val="0432FF"/>
      <w:u w:val="single"/>
    </w:rPr>
  </w:style>
  <w:style w:type="paragraph" w:styleId="TOC5">
    <w:name w:val="toc 5"/>
    <w:basedOn w:val="Normal"/>
    <w:next w:val="Normal"/>
    <w:autoRedefine/>
    <w:uiPriority w:val="99"/>
    <w:semiHidden/>
    <w:rsid w:val="00C54B33"/>
    <w:pPr>
      <w:tabs>
        <w:tab w:val="right" w:pos="9016"/>
      </w:tabs>
      <w:spacing w:after="100"/>
      <w:ind w:left="880"/>
    </w:pPr>
    <w:rPr>
      <w:noProof/>
    </w:rPr>
  </w:style>
  <w:style w:type="paragraph" w:customStyle="1" w:styleId="Securityinformation">
    <w:name w:val="Security information"/>
    <w:basedOn w:val="Normal"/>
    <w:link w:val="SecurityinformationChar"/>
    <w:uiPriority w:val="22"/>
    <w:rsid w:val="008F5076"/>
    <w:rPr>
      <w:b/>
      <w:color w:val="C00000"/>
      <w:sz w:val="28"/>
      <w:szCs w:val="28"/>
    </w:rPr>
  </w:style>
  <w:style w:type="table" w:styleId="TableGrid">
    <w:name w:val="Table Grid"/>
    <w:aliases w:val="HealthConsult"/>
    <w:basedOn w:val="TableNormal"/>
    <w:uiPriority w:val="39"/>
    <w:rsid w:val="00EC4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Description">
    <w:name w:val="Table Description"/>
    <w:basedOn w:val="Normal"/>
    <w:link w:val="TableDescriptionChar"/>
    <w:uiPriority w:val="99"/>
    <w:semiHidden/>
    <w:qFormat/>
    <w:rsid w:val="00830A50"/>
    <w:pPr>
      <w:spacing w:before="360"/>
    </w:pPr>
    <w:rPr>
      <w:bCs/>
      <w:u w:val="single"/>
    </w:rPr>
  </w:style>
  <w:style w:type="character" w:customStyle="1" w:styleId="TableDescriptionChar">
    <w:name w:val="Table Description Char"/>
    <w:link w:val="TableDescription"/>
    <w:uiPriority w:val="99"/>
    <w:semiHidden/>
    <w:rsid w:val="00CE7007"/>
    <w:rPr>
      <w:bCs/>
      <w:u w:val="single"/>
    </w:rPr>
  </w:style>
  <w:style w:type="character" w:customStyle="1" w:styleId="SecurityinformationChar">
    <w:name w:val="Security information Char"/>
    <w:link w:val="Securityinformation"/>
    <w:uiPriority w:val="22"/>
    <w:rsid w:val="003639E5"/>
    <w:rPr>
      <w:b/>
      <w:color w:val="C00000"/>
      <w:sz w:val="28"/>
      <w:szCs w:val="28"/>
    </w:rPr>
  </w:style>
  <w:style w:type="table" w:customStyle="1" w:styleId="Coverpagetable">
    <w:name w:val="Cover page table"/>
    <w:basedOn w:val="TableNormal"/>
    <w:uiPriority w:val="99"/>
    <w:rsid w:val="00066632"/>
    <w:rPr>
      <w:rFonts w:eastAsiaTheme="minorHAnsi" w:cs="Times New Roman (Body CS)"/>
      <w:color w:val="F9F9F9" w:themeColor="background1"/>
    </w:rPr>
    <w:tblPr/>
  </w:style>
  <w:style w:type="paragraph" w:customStyle="1" w:styleId="tablelistbullet">
    <w:name w:val="table list bullet"/>
    <w:basedOn w:val="ListParagraph"/>
    <w:uiPriority w:val="99"/>
    <w:semiHidden/>
    <w:qFormat/>
    <w:rsid w:val="00A42A51"/>
    <w:pPr>
      <w:tabs>
        <w:tab w:val="num" w:pos="360"/>
      </w:tabs>
      <w:spacing w:line="240" w:lineRule="auto"/>
    </w:pPr>
    <w:rPr>
      <w:rFonts w:eastAsia="MS Mincho" w:cs="FSMe-Bold"/>
      <w:spacing w:val="-2"/>
      <w:szCs w:val="20"/>
    </w:rPr>
  </w:style>
  <w:style w:type="paragraph" w:styleId="Title">
    <w:name w:val="Title"/>
    <w:aliases w:val="Intro paragraph"/>
    <w:basedOn w:val="Normal"/>
    <w:next w:val="Normal"/>
    <w:link w:val="TitleChar"/>
    <w:uiPriority w:val="8"/>
    <w:qFormat/>
    <w:rsid w:val="004E5B31"/>
    <w:pPr>
      <w:suppressAutoHyphens/>
    </w:pPr>
    <w:rPr>
      <w:rFonts w:eastAsiaTheme="majorEastAsia" w:cs="Arial"/>
      <w:color w:val="6B2976" w:themeColor="text1"/>
      <w:kern w:val="28"/>
      <w:sz w:val="28"/>
      <w:szCs w:val="28"/>
    </w:rPr>
  </w:style>
  <w:style w:type="character" w:customStyle="1" w:styleId="TitleChar">
    <w:name w:val="Title Char"/>
    <w:aliases w:val="Intro paragraph Char"/>
    <w:basedOn w:val="DefaultParagraphFont"/>
    <w:link w:val="Title"/>
    <w:uiPriority w:val="8"/>
    <w:rsid w:val="004E5B31"/>
    <w:rPr>
      <w:rFonts w:eastAsiaTheme="majorEastAsia" w:cs="Arial"/>
      <w:color w:val="6B2976" w:themeColor="text1"/>
      <w:kern w:val="28"/>
      <w:sz w:val="28"/>
      <w:szCs w:val="28"/>
      <w:lang w:eastAsia="en-US"/>
    </w:rPr>
  </w:style>
  <w:style w:type="numbering" w:customStyle="1" w:styleId="CurrentList4">
    <w:name w:val="Current List4"/>
    <w:uiPriority w:val="99"/>
    <w:rsid w:val="003313CD"/>
    <w:pPr>
      <w:numPr>
        <w:numId w:val="7"/>
      </w:numPr>
    </w:pPr>
  </w:style>
  <w:style w:type="numbering" w:customStyle="1" w:styleId="CurrentList5">
    <w:name w:val="Current List5"/>
    <w:uiPriority w:val="99"/>
    <w:rsid w:val="003313CD"/>
    <w:pPr>
      <w:numPr>
        <w:numId w:val="8"/>
      </w:numPr>
    </w:pPr>
  </w:style>
  <w:style w:type="numbering" w:customStyle="1" w:styleId="CurrentList6">
    <w:name w:val="Current List6"/>
    <w:uiPriority w:val="99"/>
    <w:rsid w:val="003313CD"/>
    <w:pPr>
      <w:numPr>
        <w:numId w:val="9"/>
      </w:numPr>
    </w:pPr>
  </w:style>
  <w:style w:type="table" w:styleId="GridTable4">
    <w:name w:val="Grid Table 4"/>
    <w:basedOn w:val="TableNormal"/>
    <w:uiPriority w:val="49"/>
    <w:rsid w:val="001D18F5"/>
    <w:tblPr>
      <w:tblStyleRowBandSize w:val="1"/>
      <w:tblStyleColBandSize w:val="1"/>
      <w:tblBorders>
        <w:top w:val="single" w:sz="4" w:space="0" w:color="6B2976" w:themeColor="text2"/>
        <w:left w:val="single" w:sz="4" w:space="0" w:color="6B2976" w:themeColor="text2"/>
        <w:bottom w:val="single" w:sz="4" w:space="0" w:color="6B2976" w:themeColor="text2"/>
        <w:right w:val="single" w:sz="4" w:space="0" w:color="6B2976" w:themeColor="text2"/>
        <w:insideH w:val="single" w:sz="4" w:space="0" w:color="6B2976" w:themeColor="text2"/>
        <w:insideV w:val="single" w:sz="4" w:space="0" w:color="6B2976" w:themeColor="text2"/>
      </w:tblBorders>
    </w:tblPr>
    <w:trPr>
      <w:cantSplit/>
    </w:trPr>
    <w:tcPr>
      <w:tcMar>
        <w:left w:w="57" w:type="dxa"/>
        <w:right w:w="57" w:type="dxa"/>
      </w:tcMar>
    </w:tcPr>
    <w:tblStylePr w:type="firstRow">
      <w:rPr>
        <w:b w:val="0"/>
        <w:bCs/>
        <w:color w:val="F9F9F9" w:themeColor="background1"/>
      </w:rPr>
      <w:tblPr/>
      <w:tcPr>
        <w:tcBorders>
          <w:bottom w:val="nil"/>
          <w:insideH w:val="single" w:sz="4" w:space="0" w:color="F9F9F9" w:themeColor="background1"/>
          <w:insideV w:val="single" w:sz="4" w:space="0" w:color="F9F9F9" w:themeColor="background1"/>
        </w:tcBorders>
        <w:shd w:val="clear" w:color="auto" w:fill="6B2976" w:themeFill="text2"/>
      </w:tcPr>
    </w:tblStylePr>
    <w:tblStylePr w:type="lastRow">
      <w:rPr>
        <w:b/>
        <w:bCs/>
      </w:rPr>
    </w:tblStylePr>
    <w:tblStylePr w:type="firstCol">
      <w:rPr>
        <w:b w:val="0"/>
        <w:bCs/>
        <w:color w:val="F9F9F9" w:themeColor="background1"/>
      </w:rPr>
      <w:tblPr>
        <w:tblCellMar>
          <w:top w:w="0" w:type="dxa"/>
          <w:left w:w="57" w:type="dxa"/>
          <w:bottom w:w="0" w:type="dxa"/>
          <w:right w:w="57" w:type="dxa"/>
        </w:tblCellMar>
      </w:tblPr>
      <w:tcPr>
        <w:tcBorders>
          <w:insideH w:val="single" w:sz="4" w:space="0" w:color="F9F9F9" w:themeColor="background1"/>
          <w:insideV w:val="single" w:sz="4" w:space="0" w:color="F9F9F9" w:themeColor="background1"/>
        </w:tcBorders>
        <w:shd w:val="clear" w:color="auto" w:fill="6B2976" w:themeFill="text2"/>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styleId="UnresolvedMention">
    <w:name w:val="Unresolved Mention"/>
    <w:basedOn w:val="DefaultParagraphFont"/>
    <w:uiPriority w:val="99"/>
    <w:semiHidden/>
    <w:rsid w:val="005A7AD2"/>
    <w:rPr>
      <w:color w:val="605E5C"/>
      <w:shd w:val="clear" w:color="auto" w:fill="E1DFDD"/>
    </w:rPr>
  </w:style>
  <w:style w:type="character" w:styleId="FollowedHyperlink">
    <w:name w:val="FollowedHyperlink"/>
    <w:basedOn w:val="DefaultParagraphFont"/>
    <w:uiPriority w:val="99"/>
    <w:semiHidden/>
    <w:rsid w:val="00C22A9B"/>
    <w:rPr>
      <w:color w:val="954F72"/>
      <w:u w:val="single"/>
    </w:rPr>
  </w:style>
  <w:style w:type="paragraph" w:styleId="FootnoteText">
    <w:name w:val="footnote text"/>
    <w:basedOn w:val="Normal"/>
    <w:link w:val="FootnoteTextChar"/>
    <w:uiPriority w:val="99"/>
    <w:unhideWhenUsed/>
    <w:qFormat/>
    <w:rsid w:val="00C714B0"/>
    <w:pPr>
      <w:spacing w:after="0" w:line="240" w:lineRule="auto"/>
    </w:pPr>
    <w:rPr>
      <w:sz w:val="20"/>
      <w:szCs w:val="20"/>
    </w:rPr>
  </w:style>
  <w:style w:type="character" w:customStyle="1" w:styleId="FootnoteTextChar">
    <w:name w:val="Footnote Text Char"/>
    <w:basedOn w:val="DefaultParagraphFont"/>
    <w:link w:val="FootnoteText"/>
    <w:uiPriority w:val="99"/>
    <w:rsid w:val="00B81D7A"/>
    <w:rPr>
      <w:sz w:val="20"/>
      <w:szCs w:val="20"/>
    </w:rPr>
  </w:style>
  <w:style w:type="character" w:styleId="FootnoteReference">
    <w:name w:val="footnote reference"/>
    <w:basedOn w:val="DefaultParagraphFont"/>
    <w:uiPriority w:val="99"/>
    <w:rsid w:val="00C714B0"/>
    <w:rPr>
      <w:vertAlign w:val="superscript"/>
    </w:rPr>
  </w:style>
  <w:style w:type="paragraph" w:styleId="NormalWeb">
    <w:name w:val="Normal (Web)"/>
    <w:basedOn w:val="Normal"/>
    <w:uiPriority w:val="99"/>
    <w:rsid w:val="00B00A05"/>
    <w:rPr>
      <w:rFonts w:ascii="Times New Roman" w:hAnsi="Times New Roman"/>
    </w:rPr>
  </w:style>
  <w:style w:type="paragraph" w:customStyle="1" w:styleId="Tablebody">
    <w:name w:val="Table body"/>
    <w:basedOn w:val="Normal"/>
    <w:uiPriority w:val="99"/>
    <w:semiHidden/>
    <w:rsid w:val="00574058"/>
    <w:pPr>
      <w:spacing w:before="100" w:after="100" w:line="240" w:lineRule="auto"/>
    </w:pPr>
  </w:style>
  <w:style w:type="table" w:styleId="GridTable4-Accent1">
    <w:name w:val="Grid Table 4 Accent 1"/>
    <w:basedOn w:val="TableNormal"/>
    <w:uiPriority w:val="49"/>
    <w:rsid w:val="00574058"/>
    <w:tblPr>
      <w:tblStyleRowBandSize w:val="1"/>
      <w:tblStyleColBandSize w:val="1"/>
      <w:tblBorders>
        <w:top w:val="single" w:sz="4" w:space="0" w:color="AEEF5F" w:themeColor="accent1" w:themeTint="99"/>
        <w:left w:val="single" w:sz="4" w:space="0" w:color="AEEF5F" w:themeColor="accent1" w:themeTint="99"/>
        <w:bottom w:val="single" w:sz="4" w:space="0" w:color="AEEF5F" w:themeColor="accent1" w:themeTint="99"/>
        <w:right w:val="single" w:sz="4" w:space="0" w:color="AEEF5F" w:themeColor="accent1" w:themeTint="99"/>
        <w:insideH w:val="single" w:sz="4" w:space="0" w:color="AEEF5F" w:themeColor="accent1" w:themeTint="99"/>
        <w:insideV w:val="single" w:sz="4" w:space="0" w:color="AEEF5F" w:themeColor="accent1" w:themeTint="99"/>
      </w:tblBorders>
    </w:tblPr>
    <w:tblStylePr w:type="firstRow">
      <w:rPr>
        <w:b/>
        <w:bCs/>
        <w:color w:val="F9F9F9" w:themeColor="background1"/>
      </w:rPr>
      <w:tblPr/>
      <w:tcPr>
        <w:tcBorders>
          <w:top w:val="single" w:sz="4" w:space="0" w:color="76C813" w:themeColor="accent1"/>
          <w:left w:val="single" w:sz="4" w:space="0" w:color="76C813" w:themeColor="accent1"/>
          <w:bottom w:val="single" w:sz="4" w:space="0" w:color="76C813" w:themeColor="accent1"/>
          <w:right w:val="single" w:sz="4" w:space="0" w:color="76C813" w:themeColor="accent1"/>
          <w:insideH w:val="nil"/>
          <w:insideV w:val="nil"/>
        </w:tcBorders>
        <w:shd w:val="clear" w:color="auto" w:fill="76C813" w:themeFill="accent1"/>
      </w:tcPr>
    </w:tblStylePr>
    <w:tblStylePr w:type="lastRow">
      <w:rPr>
        <w:b/>
        <w:bCs/>
      </w:rPr>
      <w:tblPr/>
      <w:tcPr>
        <w:tcBorders>
          <w:top w:val="double" w:sz="4" w:space="0" w:color="76C813" w:themeColor="accent1"/>
        </w:tcBorders>
      </w:tcPr>
    </w:tblStylePr>
    <w:tblStylePr w:type="firstCol">
      <w:rPr>
        <w:b/>
        <w:bCs/>
      </w:rPr>
    </w:tblStylePr>
    <w:tblStylePr w:type="lastCol">
      <w:rPr>
        <w:b/>
        <w:bCs/>
      </w:rPr>
    </w:tblStylePr>
    <w:tblStylePr w:type="band1Vert">
      <w:tblPr/>
      <w:tcPr>
        <w:shd w:val="clear" w:color="auto" w:fill="E4FAC9" w:themeFill="accent1" w:themeFillTint="33"/>
      </w:tcPr>
    </w:tblStylePr>
    <w:tblStylePr w:type="band1Horz">
      <w:tblPr/>
      <w:tcPr>
        <w:shd w:val="clear" w:color="auto" w:fill="E4FAC9" w:themeFill="accent1" w:themeFillTint="33"/>
      </w:tcPr>
    </w:tblStylePr>
  </w:style>
  <w:style w:type="table" w:styleId="ListTable3">
    <w:name w:val="List Table 3"/>
    <w:basedOn w:val="TableNormal"/>
    <w:uiPriority w:val="48"/>
    <w:rsid w:val="00574058"/>
    <w:tblPr>
      <w:tblStyleRowBandSize w:val="1"/>
      <w:tblStyleColBandSize w:val="1"/>
      <w:tblBorders>
        <w:top w:val="single" w:sz="4" w:space="0" w:color="6B2976" w:themeColor="text1"/>
        <w:left w:val="single" w:sz="4" w:space="0" w:color="6B2976" w:themeColor="text1"/>
        <w:bottom w:val="single" w:sz="4" w:space="0" w:color="6B2976" w:themeColor="text1"/>
        <w:right w:val="single" w:sz="4" w:space="0" w:color="6B2976" w:themeColor="text1"/>
      </w:tblBorders>
    </w:tblPr>
    <w:tblStylePr w:type="firstRow">
      <w:rPr>
        <w:b/>
        <w:bCs/>
        <w:color w:val="F9F9F9" w:themeColor="background1"/>
      </w:rPr>
      <w:tblPr/>
      <w:tcPr>
        <w:shd w:val="clear" w:color="auto" w:fill="6B2976" w:themeFill="text1"/>
      </w:tcPr>
    </w:tblStylePr>
    <w:tblStylePr w:type="lastRow">
      <w:rPr>
        <w:b/>
        <w:bCs/>
      </w:rPr>
      <w:tblPr/>
      <w:tcPr>
        <w:tcBorders>
          <w:top w:val="double" w:sz="4" w:space="0" w:color="6B2976" w:themeColor="text1"/>
        </w:tcBorders>
        <w:shd w:val="clear" w:color="auto" w:fill="F9F9F9" w:themeFill="background1"/>
      </w:tcPr>
    </w:tblStylePr>
    <w:tblStylePr w:type="firstCol">
      <w:rPr>
        <w:b/>
        <w:bCs/>
      </w:rPr>
      <w:tblPr/>
      <w:tcPr>
        <w:tcBorders>
          <w:right w:val="nil"/>
        </w:tcBorders>
        <w:shd w:val="clear" w:color="auto" w:fill="F9F9F9" w:themeFill="background1"/>
      </w:tcPr>
    </w:tblStylePr>
    <w:tblStylePr w:type="lastCol">
      <w:rPr>
        <w:b/>
        <w:bCs/>
      </w:rPr>
      <w:tblPr/>
      <w:tcPr>
        <w:tcBorders>
          <w:left w:val="nil"/>
        </w:tcBorders>
        <w:shd w:val="clear" w:color="auto" w:fill="F9F9F9" w:themeFill="background1"/>
      </w:tcPr>
    </w:tblStylePr>
    <w:tblStylePr w:type="band1Vert">
      <w:tblPr/>
      <w:tcPr>
        <w:tcBorders>
          <w:left w:val="single" w:sz="4" w:space="0" w:color="6B2976" w:themeColor="text1"/>
          <w:right w:val="single" w:sz="4" w:space="0" w:color="6B2976" w:themeColor="text1"/>
        </w:tcBorders>
      </w:tcPr>
    </w:tblStylePr>
    <w:tblStylePr w:type="band1Horz">
      <w:tblPr/>
      <w:tcPr>
        <w:tcBorders>
          <w:top w:val="single" w:sz="4" w:space="0" w:color="6B2976" w:themeColor="text1"/>
          <w:bottom w:val="single" w:sz="4" w:space="0" w:color="6B2976"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B2976" w:themeColor="text1"/>
          <w:left w:val="nil"/>
        </w:tcBorders>
      </w:tcPr>
    </w:tblStylePr>
    <w:tblStylePr w:type="swCell">
      <w:tblPr/>
      <w:tcPr>
        <w:tcBorders>
          <w:top w:val="double" w:sz="4" w:space="0" w:color="6B2976" w:themeColor="text1"/>
          <w:right w:val="nil"/>
        </w:tcBorders>
      </w:tcPr>
    </w:tblStylePr>
  </w:style>
  <w:style w:type="paragraph" w:styleId="Caption">
    <w:name w:val="caption"/>
    <w:basedOn w:val="Normal"/>
    <w:next w:val="Normal"/>
    <w:link w:val="CaptionChar"/>
    <w:uiPriority w:val="35"/>
    <w:unhideWhenUsed/>
    <w:qFormat/>
    <w:rsid w:val="004E5B31"/>
    <w:pPr>
      <w:keepNext/>
      <w:spacing w:before="240"/>
    </w:pPr>
    <w:rPr>
      <w:b/>
      <w:bCs/>
      <w:color w:val="6B2976" w:themeColor="text1"/>
    </w:rPr>
  </w:style>
  <w:style w:type="paragraph" w:customStyle="1" w:styleId="Pull-out-Heading">
    <w:name w:val="Pull-out - Heading"/>
    <w:basedOn w:val="Heading2"/>
    <w:next w:val="Pull-out-Body"/>
    <w:uiPriority w:val="14"/>
    <w:qFormat/>
    <w:rsid w:val="005D4394"/>
    <w:pPr>
      <w:pBdr>
        <w:top w:val="single" w:sz="4" w:space="5" w:color="6B2976" w:themeColor="text1"/>
        <w:left w:val="single" w:sz="4" w:space="5" w:color="6B2976" w:themeColor="text1"/>
        <w:bottom w:val="single" w:sz="4" w:space="5" w:color="6B2976" w:themeColor="text1"/>
        <w:right w:val="single" w:sz="4" w:space="5" w:color="6B2976" w:themeColor="text1"/>
      </w:pBdr>
      <w:shd w:val="clear" w:color="auto" w:fill="F7EEF7"/>
      <w:tabs>
        <w:tab w:val="right" w:pos="380"/>
        <w:tab w:val="left" w:pos="425"/>
      </w:tabs>
      <w:spacing w:before="400"/>
      <w:contextualSpacing/>
    </w:pPr>
    <w:rPr>
      <w:sz w:val="32"/>
      <w:szCs w:val="20"/>
    </w:rPr>
  </w:style>
  <w:style w:type="paragraph" w:customStyle="1" w:styleId="Pull-out-Body">
    <w:name w:val="Pull-out - Body"/>
    <w:basedOn w:val="Normal"/>
    <w:link w:val="Pull-out-BodyChar"/>
    <w:uiPriority w:val="15"/>
    <w:qFormat/>
    <w:rsid w:val="00DA542A"/>
    <w:pPr>
      <w:keepNext/>
      <w:pBdr>
        <w:top w:val="single" w:sz="4" w:space="5" w:color="6B2976" w:themeColor="text1"/>
        <w:left w:val="single" w:sz="4" w:space="5" w:color="6B2976" w:themeColor="text1"/>
        <w:bottom w:val="single" w:sz="4" w:space="5" w:color="6B2976" w:themeColor="text1"/>
        <w:right w:val="single" w:sz="4" w:space="5" w:color="6B2976" w:themeColor="text1"/>
      </w:pBdr>
      <w:shd w:val="clear" w:color="auto" w:fill="F7EEF7"/>
    </w:pPr>
    <w:rPr>
      <w:szCs w:val="20"/>
    </w:rPr>
  </w:style>
  <w:style w:type="paragraph" w:customStyle="1" w:styleId="Bullet2">
    <w:name w:val="Bullet 2"/>
    <w:basedOn w:val="ListParagraph"/>
    <w:uiPriority w:val="2"/>
    <w:qFormat/>
    <w:rsid w:val="00BD27C7"/>
    <w:pPr>
      <w:numPr>
        <w:numId w:val="12"/>
      </w:numPr>
      <w:contextualSpacing w:val="0"/>
    </w:pPr>
  </w:style>
  <w:style w:type="numbering" w:customStyle="1" w:styleId="Bulletlist">
    <w:name w:val="Bullet list"/>
    <w:uiPriority w:val="99"/>
    <w:rsid w:val="00B0387E"/>
    <w:pPr>
      <w:numPr>
        <w:numId w:val="11"/>
      </w:numPr>
    </w:pPr>
  </w:style>
  <w:style w:type="paragraph" w:customStyle="1" w:styleId="Pull-out-Heading3">
    <w:name w:val="Pull-out - Heading 3"/>
    <w:basedOn w:val="Heading3"/>
    <w:next w:val="Pull-out-Body"/>
    <w:uiPriority w:val="99"/>
    <w:semiHidden/>
    <w:rsid w:val="004E5B31"/>
    <w:pPr>
      <w:numPr>
        <w:ilvl w:val="1"/>
        <w:numId w:val="1"/>
      </w:numPr>
      <w:pBdr>
        <w:top w:val="single" w:sz="4" w:space="20" w:color="6B2976" w:themeColor="text1"/>
        <w:left w:val="single" w:sz="4" w:space="20" w:color="6B2976" w:themeColor="text1"/>
        <w:bottom w:val="single" w:sz="4" w:space="20" w:color="6B2976" w:themeColor="text1"/>
        <w:right w:val="single" w:sz="4" w:space="20" w:color="6B2976" w:themeColor="text1"/>
      </w:pBdr>
      <w:shd w:val="clear" w:color="auto" w:fill="F7EEF7"/>
      <w:ind w:left="720"/>
    </w:pPr>
    <w:rPr>
      <w:bCs/>
      <w:szCs w:val="20"/>
    </w:rPr>
  </w:style>
  <w:style w:type="table" w:styleId="ListTable4">
    <w:name w:val="List Table 4"/>
    <w:basedOn w:val="TableNormal"/>
    <w:uiPriority w:val="49"/>
    <w:rsid w:val="00777842"/>
    <w:tblPr>
      <w:tblStyleRowBandSize w:val="1"/>
      <w:tblStyleColBandSize w:val="1"/>
      <w:tblBorders>
        <w:top w:val="single" w:sz="4" w:space="0" w:color="6B2976" w:themeColor="text1"/>
        <w:left w:val="single" w:sz="4" w:space="0" w:color="6B2976" w:themeColor="text1"/>
        <w:bottom w:val="single" w:sz="4" w:space="0" w:color="6B2976" w:themeColor="text1"/>
        <w:right w:val="single" w:sz="4" w:space="0" w:color="6B2976" w:themeColor="text1"/>
        <w:insideH w:val="single" w:sz="4" w:space="0" w:color="6B2976" w:themeColor="text1"/>
        <w:insideV w:val="single" w:sz="4" w:space="0" w:color="6B2976" w:themeColor="text1"/>
      </w:tblBorders>
    </w:tblPr>
    <w:tblStylePr w:type="firstRow">
      <w:rPr>
        <w:b/>
        <w:bCs/>
        <w:color w:val="F9F9F9" w:themeColor="background1"/>
      </w:rPr>
      <w:tblPr/>
      <w:trPr>
        <w:tblHeader/>
      </w:trPr>
      <w:tcPr>
        <w:tcBorders>
          <w:top w:val="single" w:sz="4" w:space="0" w:color="6B2976" w:themeColor="text1"/>
          <w:left w:val="single" w:sz="4" w:space="0" w:color="6B2976" w:themeColor="text1"/>
          <w:bottom w:val="nil"/>
          <w:right w:val="single" w:sz="4" w:space="0" w:color="6B2976" w:themeColor="text1"/>
          <w:insideH w:val="single" w:sz="4" w:space="0" w:color="F9F9F9" w:themeColor="background1"/>
          <w:insideV w:val="single" w:sz="4" w:space="0" w:color="F9F9F9" w:themeColor="background1"/>
        </w:tcBorders>
        <w:shd w:val="clear" w:color="auto" w:fill="6B2976" w:themeFill="text1"/>
      </w:tcPr>
    </w:tblStylePr>
    <w:tblStylePr w:type="lastRow">
      <w:rPr>
        <w:b/>
        <w:bCs/>
      </w:rPr>
      <w:tblPr/>
      <w:tcPr>
        <w:tcBorders>
          <w:top w:val="double" w:sz="4" w:space="0" w:color="B962C8" w:themeColor="text1" w:themeTint="99"/>
        </w:tcBorders>
      </w:tcPr>
    </w:tblStylePr>
    <w:tblStylePr w:type="firstCol">
      <w:rPr>
        <w:b/>
        <w:bCs/>
        <w:color w:val="F9F9F9" w:themeColor="background1"/>
      </w:rPr>
      <w:tblPr/>
      <w:tcPr>
        <w:tcBorders>
          <w:top w:val="single" w:sz="4" w:space="0" w:color="6B2976" w:themeColor="text1"/>
          <w:left w:val="single" w:sz="4" w:space="0" w:color="6B2976" w:themeColor="text1"/>
          <w:bottom w:val="single" w:sz="4" w:space="0" w:color="6B2976" w:themeColor="text1"/>
          <w:right w:val="nil"/>
          <w:insideH w:val="single" w:sz="4" w:space="0" w:color="F9F9F9" w:themeColor="background1"/>
          <w:insideV w:val="single" w:sz="4" w:space="0" w:color="F9F9F9" w:themeColor="background1"/>
        </w:tcBorders>
        <w:shd w:val="clear" w:color="auto" w:fill="6B2976"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paragraph" w:customStyle="1" w:styleId="TableBody0">
    <w:name w:val="Table Body"/>
    <w:basedOn w:val="Normal"/>
    <w:link w:val="TableBodyChar"/>
    <w:qFormat/>
    <w:rsid w:val="0054222F"/>
    <w:pPr>
      <w:spacing w:before="100" w:after="100"/>
    </w:pPr>
    <w:rPr>
      <w:rFonts w:eastAsia="MS Mincho" w:cs="Arial"/>
      <w:szCs w:val="22"/>
    </w:rPr>
  </w:style>
  <w:style w:type="paragraph" w:styleId="Revision">
    <w:name w:val="Revision"/>
    <w:hidden/>
    <w:uiPriority w:val="99"/>
    <w:semiHidden/>
    <w:rsid w:val="000B716E"/>
    <w:rPr>
      <w:rFonts w:eastAsia="Times New Roman"/>
      <w:lang w:val="en-US" w:eastAsia="ja-JP"/>
    </w:rPr>
  </w:style>
  <w:style w:type="character" w:styleId="CommentReference">
    <w:name w:val="annotation reference"/>
    <w:basedOn w:val="DefaultParagraphFont"/>
    <w:uiPriority w:val="99"/>
    <w:semiHidden/>
    <w:rsid w:val="00C07D01"/>
    <w:rPr>
      <w:sz w:val="16"/>
      <w:szCs w:val="16"/>
    </w:rPr>
  </w:style>
  <w:style w:type="paragraph" w:styleId="CommentSubject">
    <w:name w:val="annotation subject"/>
    <w:basedOn w:val="Normal"/>
    <w:next w:val="Normal"/>
    <w:link w:val="CommentSubjectChar"/>
    <w:uiPriority w:val="99"/>
    <w:semiHidden/>
    <w:rsid w:val="00E70D9E"/>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E70D9E"/>
    <w:rPr>
      <w:rFonts w:ascii="Arial" w:eastAsia="Times New Roman" w:hAnsi="Arial"/>
      <w:b/>
      <w:bCs/>
      <w:sz w:val="20"/>
      <w:szCs w:val="20"/>
      <w:lang w:val="en-US" w:eastAsia="ja-JP"/>
    </w:rPr>
  </w:style>
  <w:style w:type="table" w:styleId="GridTable1Light-Accent1">
    <w:name w:val="Grid Table 1 Light Accent 1"/>
    <w:basedOn w:val="TableNormal"/>
    <w:uiPriority w:val="46"/>
    <w:rsid w:val="00185808"/>
    <w:tblPr>
      <w:tblStyleRowBandSize w:val="1"/>
      <w:tblStyleColBandSize w:val="1"/>
      <w:tblBorders>
        <w:top w:val="single" w:sz="4" w:space="0" w:color="C9F594" w:themeColor="accent1" w:themeTint="66"/>
        <w:left w:val="single" w:sz="4" w:space="0" w:color="C9F594" w:themeColor="accent1" w:themeTint="66"/>
        <w:bottom w:val="single" w:sz="4" w:space="0" w:color="C9F594" w:themeColor="accent1" w:themeTint="66"/>
        <w:right w:val="single" w:sz="4" w:space="0" w:color="C9F594" w:themeColor="accent1" w:themeTint="66"/>
        <w:insideH w:val="single" w:sz="4" w:space="0" w:color="C9F594" w:themeColor="accent1" w:themeTint="66"/>
        <w:insideV w:val="single" w:sz="4" w:space="0" w:color="C9F594" w:themeColor="accent1" w:themeTint="66"/>
      </w:tblBorders>
    </w:tblPr>
    <w:tblStylePr w:type="firstRow">
      <w:rPr>
        <w:b/>
        <w:bCs/>
      </w:rPr>
      <w:tblPr/>
      <w:tcPr>
        <w:tcBorders>
          <w:bottom w:val="single" w:sz="12" w:space="0" w:color="AEEF5F" w:themeColor="accent1" w:themeTint="99"/>
        </w:tcBorders>
      </w:tcPr>
    </w:tblStylePr>
    <w:tblStylePr w:type="lastRow">
      <w:rPr>
        <w:b/>
        <w:bCs/>
      </w:rPr>
      <w:tblPr/>
      <w:tcPr>
        <w:tcBorders>
          <w:top w:val="double" w:sz="2" w:space="0" w:color="AEEF5F" w:themeColor="accent1" w:themeTint="99"/>
        </w:tcBorders>
      </w:tcPr>
    </w:tblStylePr>
    <w:tblStylePr w:type="firstCol">
      <w:rPr>
        <w:b/>
        <w:bCs/>
      </w:rPr>
    </w:tblStylePr>
    <w:tblStylePr w:type="lastCol">
      <w:rPr>
        <w:b/>
        <w:bCs/>
      </w:rPr>
    </w:tblStylePr>
  </w:style>
  <w:style w:type="table" w:styleId="LightList-Accent3">
    <w:name w:val="Light List Accent 3"/>
    <w:basedOn w:val="TableNormal"/>
    <w:uiPriority w:val="61"/>
    <w:rsid w:val="00476F96"/>
    <w:rPr>
      <w:rFonts w:asciiTheme="minorHAnsi" w:eastAsiaTheme="minorEastAsia" w:hAnsiTheme="minorHAnsi" w:cstheme="minorBidi"/>
      <w:sz w:val="22"/>
      <w:szCs w:val="22"/>
    </w:rPr>
    <w:tblPr>
      <w:tblStyleRowBandSize w:val="1"/>
      <w:tblStyleColBandSize w:val="1"/>
      <w:tblBorders>
        <w:top w:val="single" w:sz="8" w:space="0" w:color="C5286D" w:themeColor="accent3"/>
        <w:left w:val="single" w:sz="8" w:space="0" w:color="C5286D" w:themeColor="accent3"/>
        <w:bottom w:val="single" w:sz="8" w:space="0" w:color="C5286D" w:themeColor="accent3"/>
        <w:right w:val="single" w:sz="8" w:space="0" w:color="C5286D" w:themeColor="accent3"/>
      </w:tblBorders>
    </w:tblPr>
    <w:tblStylePr w:type="firstRow">
      <w:pPr>
        <w:spacing w:before="0" w:after="0" w:line="240" w:lineRule="auto"/>
      </w:pPr>
      <w:rPr>
        <w:b/>
        <w:bCs/>
        <w:color w:val="F9F9F9" w:themeColor="background1"/>
      </w:rPr>
      <w:tblPr/>
      <w:tcPr>
        <w:shd w:val="clear" w:color="auto" w:fill="C5286D" w:themeFill="accent3"/>
      </w:tcPr>
    </w:tblStylePr>
    <w:tblStylePr w:type="lastRow">
      <w:pPr>
        <w:spacing w:before="0" w:after="0" w:line="240" w:lineRule="auto"/>
      </w:pPr>
      <w:rPr>
        <w:b/>
        <w:bCs/>
      </w:rPr>
      <w:tblPr/>
      <w:tcPr>
        <w:tcBorders>
          <w:top w:val="double" w:sz="6" w:space="0" w:color="C5286D" w:themeColor="accent3"/>
          <w:left w:val="single" w:sz="8" w:space="0" w:color="C5286D" w:themeColor="accent3"/>
          <w:bottom w:val="single" w:sz="8" w:space="0" w:color="C5286D" w:themeColor="accent3"/>
          <w:right w:val="single" w:sz="8" w:space="0" w:color="C5286D" w:themeColor="accent3"/>
        </w:tcBorders>
      </w:tcPr>
    </w:tblStylePr>
    <w:tblStylePr w:type="firstCol">
      <w:rPr>
        <w:b/>
        <w:bCs/>
      </w:rPr>
    </w:tblStylePr>
    <w:tblStylePr w:type="lastCol">
      <w:rPr>
        <w:b/>
        <w:bCs/>
      </w:rPr>
    </w:tblStylePr>
    <w:tblStylePr w:type="band1Vert">
      <w:tblPr/>
      <w:tcPr>
        <w:tcBorders>
          <w:top w:val="single" w:sz="8" w:space="0" w:color="C5286D" w:themeColor="accent3"/>
          <w:left w:val="single" w:sz="8" w:space="0" w:color="C5286D" w:themeColor="accent3"/>
          <w:bottom w:val="single" w:sz="8" w:space="0" w:color="C5286D" w:themeColor="accent3"/>
          <w:right w:val="single" w:sz="8" w:space="0" w:color="C5286D" w:themeColor="accent3"/>
        </w:tcBorders>
      </w:tcPr>
    </w:tblStylePr>
    <w:tblStylePr w:type="band1Horz">
      <w:tblPr/>
      <w:tcPr>
        <w:tcBorders>
          <w:top w:val="single" w:sz="8" w:space="0" w:color="C5286D" w:themeColor="accent3"/>
          <w:left w:val="single" w:sz="8" w:space="0" w:color="C5286D" w:themeColor="accent3"/>
          <w:bottom w:val="single" w:sz="8" w:space="0" w:color="C5286D" w:themeColor="accent3"/>
          <w:right w:val="single" w:sz="8" w:space="0" w:color="C5286D" w:themeColor="accent3"/>
        </w:tcBorders>
      </w:tcPr>
    </w:tblStylePr>
  </w:style>
  <w:style w:type="table" w:customStyle="1" w:styleId="NDISTable1">
    <w:name w:val="NDIS Table 1"/>
    <w:basedOn w:val="TableNormal"/>
    <w:uiPriority w:val="99"/>
    <w:rsid w:val="003E5E42"/>
    <w:tblPr>
      <w:tblStyleRowBandSize w:val="1"/>
      <w:tblBorders>
        <w:top w:val="single" w:sz="4" w:space="0" w:color="6B2976" w:themeColor="text1"/>
        <w:left w:val="single" w:sz="4" w:space="0" w:color="6B2976" w:themeColor="text1"/>
        <w:bottom w:val="single" w:sz="4" w:space="0" w:color="6B2976" w:themeColor="text1"/>
        <w:right w:val="single" w:sz="4" w:space="0" w:color="6B2976" w:themeColor="text1"/>
        <w:insideH w:val="single" w:sz="4" w:space="0" w:color="6B2976" w:themeColor="text1"/>
        <w:insideV w:val="single" w:sz="4" w:space="0" w:color="6B2976" w:themeColor="text1"/>
      </w:tblBorders>
    </w:tblPr>
    <w:tblStylePr w:type="firstRow">
      <w:rPr>
        <w:rFonts w:ascii="Arial" w:hAnsi="Arial"/>
        <w:b w:val="0"/>
        <w:color w:val="F9F9F9" w:themeColor="background1"/>
        <w:sz w:val="24"/>
      </w:rPr>
      <w:tblPr/>
      <w:trPr>
        <w:cantSplit/>
        <w:tblHeader/>
      </w:trPr>
      <w:tcPr>
        <w:tcBorders>
          <w:top w:val="single" w:sz="4" w:space="0" w:color="6B2976" w:themeColor="text1"/>
          <w:left w:val="single" w:sz="4" w:space="0" w:color="6B2976" w:themeColor="text1"/>
          <w:bottom w:val="nil"/>
          <w:right w:val="single" w:sz="4" w:space="0" w:color="6B2976" w:themeColor="text1"/>
          <w:insideV w:val="single" w:sz="4" w:space="0" w:color="F9F9F9" w:themeColor="background1"/>
        </w:tcBorders>
        <w:shd w:val="clear" w:color="auto" w:fill="6B2976" w:themeFill="text1"/>
      </w:tcPr>
    </w:tblStylePr>
    <w:tblStylePr w:type="firstCol">
      <w:rPr>
        <w:b w:val="0"/>
        <w:color w:val="auto"/>
      </w:r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7EEF7"/>
      </w:tcPr>
    </w:tblStylePr>
    <w:tblStylePr w:type="band2Horz">
      <w:tblPr/>
      <w:tcPr>
        <w:tcBorders>
          <w:insideV w:val="single" w:sz="4" w:space="0" w:color="auto"/>
        </w:tcBorders>
      </w:tcPr>
    </w:tblStylePr>
  </w:style>
  <w:style w:type="paragraph" w:customStyle="1" w:styleId="TableNotes">
    <w:name w:val="Table Notes"/>
    <w:basedOn w:val="Normal"/>
    <w:next w:val="Normal"/>
    <w:link w:val="TableNotesChar"/>
    <w:uiPriority w:val="12"/>
    <w:rsid w:val="000A10E1"/>
    <w:pPr>
      <w:tabs>
        <w:tab w:val="left" w:pos="284"/>
      </w:tabs>
      <w:spacing w:before="120"/>
      <w:contextualSpacing/>
    </w:pPr>
    <w:rPr>
      <w:sz w:val="20"/>
    </w:rPr>
  </w:style>
  <w:style w:type="character" w:customStyle="1" w:styleId="TableNotesChar">
    <w:name w:val="Table Notes Char"/>
    <w:basedOn w:val="FootnoteTextChar"/>
    <w:link w:val="TableNotes"/>
    <w:uiPriority w:val="12"/>
    <w:rsid w:val="003639E5"/>
    <w:rPr>
      <w:sz w:val="20"/>
      <w:szCs w:val="20"/>
    </w:rPr>
  </w:style>
  <w:style w:type="paragraph" w:customStyle="1" w:styleId="TableSpacer">
    <w:name w:val="Table Spacer"/>
    <w:basedOn w:val="Normal"/>
    <w:next w:val="Normal"/>
    <w:uiPriority w:val="11"/>
    <w:qFormat/>
    <w:rsid w:val="00C312BE"/>
    <w:pPr>
      <w:spacing w:before="120"/>
    </w:pPr>
  </w:style>
  <w:style w:type="character" w:styleId="Mention">
    <w:name w:val="Mention"/>
    <w:basedOn w:val="DefaultParagraphFont"/>
    <w:uiPriority w:val="99"/>
    <w:rsid w:val="000A69F6"/>
    <w:rPr>
      <w:color w:val="2B579A"/>
      <w:shd w:val="clear" w:color="auto" w:fill="E1DFDD"/>
    </w:rPr>
  </w:style>
  <w:style w:type="paragraph" w:customStyle="1" w:styleId="Contents">
    <w:name w:val="Contents"/>
    <w:basedOn w:val="Heading2"/>
    <w:link w:val="ContentsChar"/>
    <w:uiPriority w:val="25"/>
    <w:rsid w:val="004E5B31"/>
    <w:pPr>
      <w:pageBreakBefore/>
    </w:pPr>
    <w:rPr>
      <w:lang w:eastAsia="ja-JP"/>
    </w:rPr>
  </w:style>
  <w:style w:type="character" w:customStyle="1" w:styleId="ContentsChar">
    <w:name w:val="Contents Char"/>
    <w:basedOn w:val="Heading2Char"/>
    <w:link w:val="Contents"/>
    <w:uiPriority w:val="25"/>
    <w:rsid w:val="000612CF"/>
    <w:rPr>
      <w:b/>
      <w:bCs/>
      <w:color w:val="6B2976" w:themeColor="text1"/>
      <w:sz w:val="52"/>
      <w:szCs w:val="36"/>
      <w:lang w:eastAsia="ja-JP"/>
    </w:rPr>
  </w:style>
  <w:style w:type="paragraph" w:customStyle="1" w:styleId="Acknowledgment">
    <w:name w:val="Acknowledgment"/>
    <w:basedOn w:val="Heading3"/>
    <w:uiPriority w:val="26"/>
    <w:unhideWhenUsed/>
    <w:rsid w:val="004E5B31"/>
    <w:pPr>
      <w:keepNext w:val="0"/>
      <w:spacing w:before="0" w:after="120"/>
    </w:pPr>
    <w:rPr>
      <w:rFonts w:eastAsia="Times New Roman"/>
      <w:sz w:val="30"/>
      <w:szCs w:val="30"/>
      <w:lang w:val="en-US" w:eastAsia="ja-JP"/>
    </w:rPr>
  </w:style>
  <w:style w:type="paragraph" w:customStyle="1" w:styleId="HeaderPage1SecurityMarkings">
    <w:name w:val="Header Page 1 Security Markings"/>
    <w:basedOn w:val="Securityinformation"/>
    <w:uiPriority w:val="24"/>
    <w:rsid w:val="001F7E06"/>
    <w:pPr>
      <w:spacing w:before="5900" w:after="0"/>
      <w:jc w:val="center"/>
    </w:pPr>
    <w:rPr>
      <w:sz w:val="24"/>
      <w:szCs w:val="24"/>
    </w:rPr>
  </w:style>
  <w:style w:type="paragraph" w:customStyle="1" w:styleId="Footer-bar">
    <w:name w:val="Footer - bar"/>
    <w:basedOn w:val="Normal"/>
    <w:uiPriority w:val="28"/>
    <w:rsid w:val="004E5B31"/>
    <w:pPr>
      <w:pBdr>
        <w:top w:val="single" w:sz="4" w:space="6" w:color="6B2976"/>
      </w:pBdr>
      <w:tabs>
        <w:tab w:val="center" w:pos="4536"/>
        <w:tab w:val="right" w:pos="9026"/>
      </w:tabs>
      <w:spacing w:after="200" w:line="240" w:lineRule="auto"/>
    </w:pPr>
    <w:rPr>
      <w:b/>
      <w:color w:val="6B2976" w:themeColor="text1"/>
    </w:rPr>
  </w:style>
  <w:style w:type="paragraph" w:customStyle="1" w:styleId="Pull-out-Bullet">
    <w:name w:val="Pull-out - Bullet"/>
    <w:basedOn w:val="Pull-out-Body"/>
    <w:link w:val="Pull-out-BulletChar"/>
    <w:uiPriority w:val="16"/>
    <w:qFormat/>
    <w:rsid w:val="00520DC1"/>
    <w:pPr>
      <w:numPr>
        <w:numId w:val="14"/>
      </w:numPr>
      <w:tabs>
        <w:tab w:val="left" w:pos="1134"/>
      </w:tabs>
      <w:ind w:left="425" w:firstLine="284"/>
    </w:pPr>
  </w:style>
  <w:style w:type="character" w:customStyle="1" w:styleId="Pull-out-BodyChar">
    <w:name w:val="Pull-out - Body Char"/>
    <w:basedOn w:val="DefaultParagraphFont"/>
    <w:link w:val="Pull-out-Body"/>
    <w:uiPriority w:val="15"/>
    <w:rsid w:val="00DA542A"/>
    <w:rPr>
      <w:szCs w:val="20"/>
      <w:shd w:val="clear" w:color="auto" w:fill="F7EEF7"/>
    </w:rPr>
  </w:style>
  <w:style w:type="character" w:customStyle="1" w:styleId="Pull-out-BulletChar">
    <w:name w:val="Pull-out - Bullet Char"/>
    <w:basedOn w:val="Pull-out-BodyChar"/>
    <w:link w:val="Pull-out-Bullet"/>
    <w:uiPriority w:val="16"/>
    <w:rsid w:val="003639E5"/>
    <w:rPr>
      <w:szCs w:val="20"/>
      <w:shd w:val="clear" w:color="auto" w:fill="F7EEF7"/>
    </w:rPr>
  </w:style>
  <w:style w:type="paragraph" w:styleId="ListNumber">
    <w:name w:val="List Number"/>
    <w:basedOn w:val="Bullet1"/>
    <w:uiPriority w:val="99"/>
    <w:rsid w:val="002B5402"/>
    <w:pPr>
      <w:numPr>
        <w:numId w:val="15"/>
      </w:numPr>
      <w:ind w:left="714" w:hanging="357"/>
      <w:contextualSpacing/>
    </w:pPr>
  </w:style>
  <w:style w:type="paragraph" w:styleId="ListNumber2">
    <w:name w:val="List Number 2"/>
    <w:basedOn w:val="ListNumber"/>
    <w:uiPriority w:val="99"/>
    <w:semiHidden/>
    <w:qFormat/>
    <w:rsid w:val="002B5402"/>
    <w:pPr>
      <w:numPr>
        <w:numId w:val="16"/>
      </w:numPr>
      <w:ind w:left="1071" w:hanging="357"/>
    </w:pPr>
  </w:style>
  <w:style w:type="paragraph" w:styleId="ListNumber4">
    <w:name w:val="List Number 4"/>
    <w:basedOn w:val="Normal"/>
    <w:uiPriority w:val="99"/>
    <w:semiHidden/>
    <w:rsid w:val="003C3B27"/>
    <w:pPr>
      <w:numPr>
        <w:numId w:val="17"/>
      </w:numPr>
      <w:contextualSpacing/>
    </w:pPr>
  </w:style>
  <w:style w:type="paragraph" w:styleId="ListNumber3">
    <w:name w:val="List Number 3"/>
    <w:basedOn w:val="Normal"/>
    <w:uiPriority w:val="99"/>
    <w:semiHidden/>
    <w:rsid w:val="003C3B27"/>
    <w:pPr>
      <w:numPr>
        <w:numId w:val="18"/>
      </w:numPr>
      <w:contextualSpacing/>
    </w:pPr>
  </w:style>
  <w:style w:type="paragraph" w:customStyle="1" w:styleId="Alpha2">
    <w:name w:val="Alpha 2"/>
    <w:basedOn w:val="ListNumber"/>
    <w:uiPriority w:val="18"/>
    <w:qFormat/>
    <w:rsid w:val="00E51AAC"/>
    <w:pPr>
      <w:numPr>
        <w:numId w:val="19"/>
      </w:numPr>
      <w:ind w:left="1071" w:hanging="357"/>
      <w:contextualSpacing w:val="0"/>
    </w:pPr>
  </w:style>
  <w:style w:type="paragraph" w:customStyle="1" w:styleId="Number1">
    <w:name w:val="Number 1"/>
    <w:basedOn w:val="ListNumber2"/>
    <w:uiPriority w:val="17"/>
    <w:qFormat/>
    <w:rsid w:val="00DC6B2E"/>
    <w:pPr>
      <w:ind w:left="714"/>
      <w:contextualSpacing w:val="0"/>
    </w:pPr>
  </w:style>
  <w:style w:type="paragraph" w:styleId="CommentText">
    <w:name w:val="annotation text"/>
    <w:basedOn w:val="Normal"/>
    <w:link w:val="CommentTextChar"/>
    <w:uiPriority w:val="99"/>
    <w:unhideWhenUsed/>
    <w:rsid w:val="00156AEC"/>
    <w:pPr>
      <w:spacing w:line="240" w:lineRule="auto"/>
    </w:pPr>
    <w:rPr>
      <w:sz w:val="20"/>
      <w:szCs w:val="20"/>
    </w:rPr>
  </w:style>
  <w:style w:type="character" w:customStyle="1" w:styleId="CommentTextChar">
    <w:name w:val="Comment Text Char"/>
    <w:basedOn w:val="DefaultParagraphFont"/>
    <w:link w:val="CommentText"/>
    <w:uiPriority w:val="99"/>
    <w:rsid w:val="00156AEC"/>
    <w:rPr>
      <w:sz w:val="20"/>
      <w:szCs w:val="20"/>
    </w:rPr>
  </w:style>
  <w:style w:type="paragraph" w:customStyle="1" w:styleId="Tablenote">
    <w:name w:val="Table note"/>
    <w:basedOn w:val="Normal"/>
    <w:link w:val="TablenoteChar"/>
    <w:qFormat/>
    <w:rsid w:val="00650790"/>
    <w:pPr>
      <w:spacing w:before="120"/>
      <w:contextualSpacing/>
    </w:pPr>
    <w:rPr>
      <w:sz w:val="20"/>
      <w:szCs w:val="22"/>
      <w:lang w:eastAsia="en-AU"/>
    </w:rPr>
  </w:style>
  <w:style w:type="character" w:customStyle="1" w:styleId="TablenoteChar">
    <w:name w:val="Table note Char"/>
    <w:basedOn w:val="DefaultParagraphFont"/>
    <w:link w:val="Tablenote"/>
    <w:rsid w:val="00650790"/>
    <w:rPr>
      <w:sz w:val="20"/>
      <w:szCs w:val="22"/>
      <w:lang w:eastAsia="en-AU"/>
    </w:rPr>
  </w:style>
  <w:style w:type="paragraph" w:customStyle="1" w:styleId="Financialheading2">
    <w:name w:val="Financial heading 2"/>
    <w:basedOn w:val="Heading4"/>
    <w:link w:val="Financialheading2Char"/>
    <w:qFormat/>
    <w:rsid w:val="008D00BB"/>
    <w:pPr>
      <w:spacing w:after="0"/>
      <w:contextualSpacing/>
    </w:pPr>
    <w:rPr>
      <w:sz w:val="28"/>
    </w:rPr>
  </w:style>
  <w:style w:type="character" w:customStyle="1" w:styleId="Financialheading2Char">
    <w:name w:val="Financial heading 2 Char"/>
    <w:basedOn w:val="Heading4Char"/>
    <w:link w:val="Financialheading2"/>
    <w:rsid w:val="008D00BB"/>
    <w:rPr>
      <w:b/>
      <w:color w:val="6B2976" w:themeColor="text1"/>
      <w:sz w:val="28"/>
      <w:szCs w:val="28"/>
    </w:rPr>
  </w:style>
  <w:style w:type="paragraph" w:customStyle="1" w:styleId="PullOut-Body">
    <w:name w:val="Pull Out - Body"/>
    <w:basedOn w:val="Normal"/>
    <w:uiPriority w:val="13"/>
    <w:qFormat/>
    <w:rsid w:val="00E0123B"/>
    <w:pPr>
      <w:pBdr>
        <w:top w:val="single" w:sz="4" w:space="20" w:color="6B2976" w:themeColor="text1"/>
        <w:left w:val="single" w:sz="4" w:space="20" w:color="6B2976" w:themeColor="text1"/>
        <w:bottom w:val="single" w:sz="4" w:space="20" w:color="6B2976" w:themeColor="text1"/>
        <w:right w:val="single" w:sz="4" w:space="20" w:color="6B2976" w:themeColor="text1"/>
      </w:pBdr>
      <w:shd w:val="clear" w:color="auto" w:fill="F7EEF7"/>
    </w:pPr>
    <w:rPr>
      <w:szCs w:val="20"/>
      <w:lang w:eastAsia="en-AU"/>
    </w:rPr>
  </w:style>
  <w:style w:type="paragraph" w:customStyle="1" w:styleId="Pa11">
    <w:name w:val="Pa11"/>
    <w:basedOn w:val="Normal"/>
    <w:next w:val="Normal"/>
    <w:uiPriority w:val="99"/>
    <w:rsid w:val="0035303E"/>
    <w:pPr>
      <w:autoSpaceDE w:val="0"/>
      <w:autoSpaceDN w:val="0"/>
      <w:adjustRightInd w:val="0"/>
      <w:spacing w:after="0" w:line="221" w:lineRule="atLeast"/>
    </w:pPr>
    <w:rPr>
      <w:rFonts w:ascii="FS Me Pro" w:hAnsi="FS Me Pro"/>
      <w:lang w:eastAsia="en-AU"/>
    </w:rPr>
  </w:style>
  <w:style w:type="paragraph" w:customStyle="1" w:styleId="Pa66">
    <w:name w:val="Pa66"/>
    <w:basedOn w:val="Normal"/>
    <w:next w:val="Normal"/>
    <w:uiPriority w:val="99"/>
    <w:rsid w:val="0035303E"/>
    <w:pPr>
      <w:autoSpaceDE w:val="0"/>
      <w:autoSpaceDN w:val="0"/>
      <w:adjustRightInd w:val="0"/>
      <w:spacing w:after="0" w:line="221" w:lineRule="atLeast"/>
    </w:pPr>
    <w:rPr>
      <w:rFonts w:ascii="FS Me Pro" w:hAnsi="FS Me Pro"/>
      <w:lang w:eastAsia="en-AU"/>
    </w:rPr>
  </w:style>
  <w:style w:type="paragraph" w:customStyle="1" w:styleId="StyleNotesHeaderLeftLeft-008cm">
    <w:name w:val="Style Notes Header + Left Left:  -0.08 cm"/>
    <w:basedOn w:val="Normal"/>
    <w:rsid w:val="0035303E"/>
    <w:pPr>
      <w:numPr>
        <w:ilvl w:val="1"/>
        <w:numId w:val="20"/>
      </w:numPr>
      <w:spacing w:before="180" w:after="60" w:line="240" w:lineRule="auto"/>
    </w:pPr>
    <w:rPr>
      <w:rFonts w:eastAsia="Times New Roman"/>
      <w:b/>
      <w:bCs/>
      <w:sz w:val="18"/>
      <w:szCs w:val="20"/>
    </w:rPr>
  </w:style>
  <w:style w:type="paragraph" w:customStyle="1" w:styleId="Tablepurple">
    <w:name w:val="Table purple"/>
    <w:basedOn w:val="TableBody0"/>
    <w:link w:val="TablepurpleChar"/>
    <w:qFormat/>
    <w:rsid w:val="00E25C31"/>
    <w:pPr>
      <w:jc w:val="right"/>
    </w:pPr>
    <w:rPr>
      <w:color w:val="6B2976"/>
    </w:rPr>
  </w:style>
  <w:style w:type="character" w:customStyle="1" w:styleId="TableBodyChar">
    <w:name w:val="Table Body Char"/>
    <w:basedOn w:val="DefaultParagraphFont"/>
    <w:link w:val="TableBody0"/>
    <w:rsid w:val="00E25C31"/>
    <w:rPr>
      <w:rFonts w:eastAsia="MS Mincho" w:cs="Arial"/>
      <w:szCs w:val="22"/>
    </w:rPr>
  </w:style>
  <w:style w:type="character" w:customStyle="1" w:styleId="TablepurpleChar">
    <w:name w:val="Table purple Char"/>
    <w:basedOn w:val="TableBodyChar"/>
    <w:link w:val="Tablepurple"/>
    <w:rsid w:val="00E25C31"/>
    <w:rPr>
      <w:rFonts w:eastAsia="MS Mincho" w:cs="Arial"/>
      <w:color w:val="6B2976"/>
      <w:szCs w:val="22"/>
    </w:rPr>
  </w:style>
  <w:style w:type="paragraph" w:customStyle="1" w:styleId="Financialheading3">
    <w:name w:val="Financial heading 3"/>
    <w:basedOn w:val="Normal"/>
    <w:next w:val="Normal"/>
    <w:link w:val="Financialheading3Char"/>
    <w:qFormat/>
    <w:rsid w:val="00931B3D"/>
    <w:pPr>
      <w:spacing w:before="120"/>
    </w:pPr>
    <w:rPr>
      <w:b/>
      <w:bCs/>
      <w:sz w:val="26"/>
    </w:rPr>
  </w:style>
  <w:style w:type="character" w:customStyle="1" w:styleId="Financialheading3Char">
    <w:name w:val="Financial heading 3 Char"/>
    <w:basedOn w:val="DefaultParagraphFont"/>
    <w:link w:val="Financialheading3"/>
    <w:rsid w:val="00931B3D"/>
    <w:rPr>
      <w:b/>
      <w:bCs/>
      <w:sz w:val="26"/>
    </w:rPr>
  </w:style>
  <w:style w:type="paragraph" w:customStyle="1" w:styleId="Financialpulloutheading1">
    <w:name w:val="Financial pull out heading 1"/>
    <w:basedOn w:val="Financialheading2"/>
    <w:link w:val="Financialpulloutheading1Char"/>
    <w:qFormat/>
    <w:rsid w:val="00CE23A6"/>
    <w:pPr>
      <w:shd w:val="clear" w:color="auto" w:fill="6B2976"/>
      <w:spacing w:before="40" w:after="40" w:line="240" w:lineRule="auto"/>
      <w:contextualSpacing w:val="0"/>
    </w:pPr>
    <w:rPr>
      <w:b w:val="0"/>
      <w:bCs/>
      <w:color w:val="F9F9F9" w:themeColor="background1"/>
    </w:rPr>
  </w:style>
  <w:style w:type="character" w:customStyle="1" w:styleId="Financialpulloutheading1Char">
    <w:name w:val="Financial pull out heading 1 Char"/>
    <w:basedOn w:val="Financialheading2Char"/>
    <w:link w:val="Financialpulloutheading1"/>
    <w:rsid w:val="00CE23A6"/>
    <w:rPr>
      <w:b w:val="0"/>
      <w:bCs/>
      <w:color w:val="F9F9F9" w:themeColor="background1"/>
      <w:sz w:val="28"/>
      <w:szCs w:val="28"/>
      <w:shd w:val="clear" w:color="auto" w:fill="6B2976"/>
    </w:rPr>
  </w:style>
  <w:style w:type="paragraph" w:customStyle="1" w:styleId="Financialheading4">
    <w:name w:val="Financial heading 4"/>
    <w:basedOn w:val="Caption"/>
    <w:next w:val="Normal"/>
    <w:link w:val="Financialheading4Char"/>
    <w:qFormat/>
    <w:rsid w:val="00CC5973"/>
    <w:pPr>
      <w:spacing w:before="120"/>
    </w:pPr>
    <w:rPr>
      <w:b w:val="0"/>
      <w:bCs w:val="0"/>
      <w:sz w:val="26"/>
    </w:rPr>
  </w:style>
  <w:style w:type="character" w:customStyle="1" w:styleId="CaptionChar">
    <w:name w:val="Caption Char"/>
    <w:basedOn w:val="DefaultParagraphFont"/>
    <w:link w:val="Caption"/>
    <w:uiPriority w:val="35"/>
    <w:rsid w:val="00EF2360"/>
    <w:rPr>
      <w:b/>
      <w:bCs/>
      <w:color w:val="6B2976" w:themeColor="text1"/>
    </w:rPr>
  </w:style>
  <w:style w:type="character" w:customStyle="1" w:styleId="Financialheading4Char">
    <w:name w:val="Financial heading 4 Char"/>
    <w:basedOn w:val="CaptionChar"/>
    <w:link w:val="Financialheading4"/>
    <w:rsid w:val="00CC5973"/>
    <w:rPr>
      <w:b w:val="0"/>
      <w:bCs w:val="0"/>
      <w:color w:val="6B2976" w:themeColor="text1"/>
      <w:sz w:val="26"/>
    </w:rPr>
  </w:style>
  <w:style w:type="paragraph" w:customStyle="1" w:styleId="Financialpull-outsub-heading">
    <w:name w:val="Financial pull-out sub-heading"/>
    <w:basedOn w:val="Financialpulloutheading1"/>
    <w:link w:val="Financialpull-outsub-headingChar"/>
    <w:qFormat/>
    <w:rsid w:val="002314B2"/>
    <w:pPr>
      <w:spacing w:before="60" w:after="60" w:line="276" w:lineRule="auto"/>
    </w:pPr>
    <w:rPr>
      <w:sz w:val="26"/>
    </w:rPr>
  </w:style>
  <w:style w:type="character" w:customStyle="1" w:styleId="Financialpull-outsub-headingChar">
    <w:name w:val="Financial pull-out sub-heading Char"/>
    <w:basedOn w:val="Financialpulloutheading1Char"/>
    <w:link w:val="Financialpull-outsub-heading"/>
    <w:rsid w:val="002314B2"/>
    <w:rPr>
      <w:b w:val="0"/>
      <w:bCs/>
      <w:color w:val="F9F9F9" w:themeColor="background1"/>
      <w:sz w:val="26"/>
      <w:szCs w:val="28"/>
      <w:shd w:val="clear" w:color="auto" w:fill="6B2976"/>
    </w:rPr>
  </w:style>
  <w:style w:type="paragraph" w:customStyle="1" w:styleId="Financialpull-outheading2">
    <w:name w:val="Financial pull-out heading 2"/>
    <w:basedOn w:val="Financialheading3"/>
    <w:link w:val="Financialpull-outheading2Char"/>
    <w:qFormat/>
    <w:rsid w:val="00425A99"/>
  </w:style>
  <w:style w:type="character" w:customStyle="1" w:styleId="Financialpull-outheading2Char">
    <w:name w:val="Financial pull-out heading 2 Char"/>
    <w:basedOn w:val="Financialheading3Char"/>
    <w:link w:val="Financialpull-outheading2"/>
    <w:rsid w:val="00425A99"/>
    <w:rPr>
      <w:b/>
      <w:bCs/>
      <w:sz w:val="26"/>
    </w:rPr>
  </w:style>
  <w:style w:type="paragraph" w:customStyle="1" w:styleId="Financialheading1">
    <w:name w:val="Financial heading 1"/>
    <w:basedOn w:val="Heading4"/>
    <w:link w:val="Financialheading1Char"/>
    <w:qFormat/>
    <w:rsid w:val="00E70496"/>
    <w:pPr>
      <w:spacing w:before="120" w:after="120"/>
    </w:pPr>
    <w:rPr>
      <w:sz w:val="28"/>
    </w:rPr>
  </w:style>
  <w:style w:type="character" w:customStyle="1" w:styleId="Financialheading1Char">
    <w:name w:val="Financial heading 1 Char"/>
    <w:basedOn w:val="Heading4Char"/>
    <w:link w:val="Financialheading1"/>
    <w:rsid w:val="00E70496"/>
    <w:rPr>
      <w:b/>
      <w:color w:val="6B2976" w:themeColor="text1"/>
      <w:sz w:val="28"/>
      <w:szCs w:val="28"/>
    </w:rPr>
  </w:style>
  <w:style w:type="table" w:customStyle="1" w:styleId="NDISTable2">
    <w:name w:val="NDIS Table 2"/>
    <w:basedOn w:val="TableNormal"/>
    <w:uiPriority w:val="99"/>
    <w:rsid w:val="005C3CEA"/>
    <w:pPr>
      <w:spacing w:before="40" w:after="40" w:line="269" w:lineRule="auto"/>
    </w:pPr>
    <w:rPr>
      <w:lang w:eastAsia="en-AU"/>
    </w:rPr>
    <w:tblPr>
      <w:tblStyleRowBandSize w:val="1"/>
      <w:tblBorders>
        <w:top w:val="single" w:sz="4" w:space="0" w:color="6B2976" w:themeColor="text1"/>
        <w:left w:val="single" w:sz="4" w:space="0" w:color="6B2976" w:themeColor="text1"/>
        <w:bottom w:val="single" w:sz="4" w:space="0" w:color="6B2976" w:themeColor="text1"/>
        <w:right w:val="single" w:sz="4" w:space="0" w:color="6B2976" w:themeColor="text1"/>
        <w:insideH w:val="single" w:sz="4" w:space="0" w:color="6B2976" w:themeColor="text1"/>
        <w:insideV w:val="single" w:sz="4" w:space="0" w:color="6B2976" w:themeColor="text1"/>
      </w:tblBorders>
    </w:tblPr>
    <w:trPr>
      <w:cantSplit/>
    </w:trPr>
    <w:tblStylePr w:type="firstRow">
      <w:rPr>
        <w:b w:val="0"/>
        <w:color w:val="F9F9F9" w:themeColor="background1"/>
      </w:rPr>
      <w:tblPr/>
      <w:trPr>
        <w:cantSplit/>
        <w:tblHeader/>
      </w:trPr>
      <w:tcPr>
        <w:tcBorders>
          <w:insideV w:val="single" w:sz="4" w:space="0" w:color="F9F9F9" w:themeColor="background1"/>
        </w:tcBorders>
        <w:shd w:val="clear" w:color="auto" w:fill="6B2976" w:themeFill="text1"/>
      </w:tcPr>
    </w:tblStylePr>
    <w:tblStylePr w:type="firstCol">
      <w:rPr>
        <w:b w:val="0"/>
        <w:color w:val="auto"/>
      </w:rPr>
      <w:tblPr/>
      <w:tcPr>
        <w:tcBorders>
          <w:insideH w:val="single" w:sz="4" w:space="0" w:color="6B2976" w:themeColor="text1"/>
        </w:tcBorders>
        <w:shd w:val="clear" w:color="auto" w:fill="F7EEF7"/>
      </w:tcPr>
    </w:tblStylePr>
    <w:tblStylePr w:type="band1Horz">
      <w:tblPr/>
      <w:tcPr>
        <w:shd w:val="clear" w:color="auto" w:fill="F7EEF7"/>
      </w:tcPr>
    </w:tblStylePr>
  </w:style>
  <w:style w:type="paragraph" w:customStyle="1" w:styleId="Tablebullet2">
    <w:name w:val="Table bullet2"/>
    <w:basedOn w:val="TableBullet"/>
    <w:link w:val="Tablebullet2Char"/>
    <w:qFormat/>
    <w:rsid w:val="00820290"/>
    <w:pPr>
      <w:numPr>
        <w:numId w:val="29"/>
      </w:numPr>
      <w:spacing w:before="40" w:after="40" w:line="269" w:lineRule="auto"/>
      <w:ind w:left="714" w:hanging="357"/>
    </w:pPr>
  </w:style>
  <w:style w:type="character" w:customStyle="1" w:styleId="TableBulletChar">
    <w:name w:val="Table Bullet Char"/>
    <w:basedOn w:val="DefaultParagraphFont"/>
    <w:link w:val="TableBullet"/>
    <w:uiPriority w:val="10"/>
    <w:rsid w:val="00820290"/>
    <w:rPr>
      <w:rFonts w:eastAsia="Times New Roman"/>
      <w:lang w:eastAsia="ja-JP"/>
    </w:rPr>
  </w:style>
  <w:style w:type="character" w:customStyle="1" w:styleId="Tablebullet2Char">
    <w:name w:val="Table bullet2 Char"/>
    <w:basedOn w:val="TableBulletChar"/>
    <w:link w:val="Tablebullet2"/>
    <w:rsid w:val="00820290"/>
    <w:rPr>
      <w:rFonts w:eastAsia="Times New Roman"/>
      <w:lang w:eastAsia="ja-JP"/>
    </w:rPr>
  </w:style>
  <w:style w:type="character" w:customStyle="1" w:styleId="normaltextrun">
    <w:name w:val="normaltextrun"/>
    <w:basedOn w:val="DefaultParagraphFont"/>
    <w:rsid w:val="000870E2"/>
  </w:style>
  <w:style w:type="table" w:customStyle="1" w:styleId="TableGrid1">
    <w:name w:val="Table Grid1"/>
    <w:basedOn w:val="TableNormal"/>
    <w:next w:val="TableGrid"/>
    <w:uiPriority w:val="59"/>
    <w:rsid w:val="00B63C2C"/>
    <w:pPr>
      <w:spacing w:before="0" w:after="0" w:line="240" w:lineRule="auto"/>
    </w:pPr>
    <w:rPr>
      <w:rFonts w:ascii="Aptos" w:eastAsia="MS Mincho" w:hAnsi="Aptos" w:cs="Arial"/>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6A6779"/>
    <w:pPr>
      <w:spacing w:before="0" w:after="0" w:line="240" w:lineRule="auto"/>
    </w:pPr>
    <w:rPr>
      <w:rFonts w:asciiTheme="minorHAnsi" w:eastAsiaTheme="minorEastAsia" w:hAnsiTheme="minorHAnsi" w:cstheme="minorBidi"/>
      <w:lang w:val="en-US" w:eastAsia="ja-JP"/>
    </w:rPr>
    <w:tblPr>
      <w:tblBorders>
        <w:top w:val="single" w:sz="4" w:space="0" w:color="6B2976" w:themeColor="text1"/>
        <w:left w:val="single" w:sz="4" w:space="0" w:color="6B2976" w:themeColor="text1"/>
        <w:bottom w:val="single" w:sz="4" w:space="0" w:color="6B2976" w:themeColor="text1"/>
        <w:right w:val="single" w:sz="4" w:space="0" w:color="6B2976" w:themeColor="text1"/>
        <w:insideH w:val="single" w:sz="4" w:space="0" w:color="6B2976" w:themeColor="text1"/>
        <w:insideV w:val="single" w:sz="4" w:space="0" w:color="6B2976" w:themeColor="text1"/>
      </w:tblBorders>
    </w:tblPr>
  </w:style>
  <w:style w:type="character" w:customStyle="1" w:styleId="eop">
    <w:name w:val="eop"/>
    <w:basedOn w:val="DefaultParagraphFont"/>
    <w:rsid w:val="00797C7D"/>
  </w:style>
  <w:style w:type="paragraph" w:customStyle="1" w:styleId="paragraph">
    <w:name w:val="paragraph"/>
    <w:basedOn w:val="Normal"/>
    <w:rsid w:val="009B2AF8"/>
    <w:pPr>
      <w:spacing w:before="100" w:beforeAutospacing="1" w:after="100" w:afterAutospacing="1" w:line="240" w:lineRule="auto"/>
    </w:pPr>
    <w:rPr>
      <w:rFonts w:ascii="Times New Roman" w:eastAsia="Times New Roman" w:hAnsi="Times New Roman"/>
      <w:lang w:eastAsia="en-AU"/>
    </w:rPr>
  </w:style>
  <w:style w:type="character" w:customStyle="1" w:styleId="cf01">
    <w:name w:val="cf01"/>
    <w:basedOn w:val="DefaultParagraphFont"/>
    <w:rsid w:val="001538CA"/>
    <w:rPr>
      <w:rFonts w:ascii="Segoe UI" w:hAnsi="Segoe UI" w:cs="Segoe UI" w:hint="default"/>
      <w:sz w:val="18"/>
      <w:szCs w:val="18"/>
    </w:rPr>
  </w:style>
  <w:style w:type="character" w:customStyle="1" w:styleId="ListParagraphChar">
    <w:name w:val="List Paragraph Char"/>
    <w:aliases w:val="Recommendation Char,List Paragraph1 Char,List Paragraph11 Char,Figure_name Char,Bullet- First level Char,Listenabsatz1 Char,L Char,Number Char,#List Paragraph Char,Bullet point Char,List Paragraph111 Char,F5 List Paragraph Char"/>
    <w:link w:val="ListParagraph"/>
    <w:uiPriority w:val="34"/>
    <w:qFormat/>
    <w:locked/>
    <w:rsid w:val="00102E0D"/>
  </w:style>
  <w:style w:type="numbering" w:customStyle="1" w:styleId="NoList1">
    <w:name w:val="No List1"/>
    <w:next w:val="NoList"/>
    <w:uiPriority w:val="99"/>
    <w:semiHidden/>
    <w:unhideWhenUsed/>
    <w:rsid w:val="005E48BA"/>
  </w:style>
  <w:style w:type="paragraph" w:customStyle="1" w:styleId="StatementName">
    <w:name w:val="Statement Name"/>
    <w:basedOn w:val="Normal"/>
    <w:next w:val="Normal"/>
    <w:link w:val="StatementNameChar"/>
    <w:autoRedefine/>
    <w:rsid w:val="005E48BA"/>
    <w:pPr>
      <w:pBdr>
        <w:bottom w:val="single" w:sz="4" w:space="1" w:color="auto"/>
      </w:pBdr>
      <w:spacing w:after="0" w:line="260" w:lineRule="atLeast"/>
    </w:pPr>
    <w:rPr>
      <w:rFonts w:eastAsia="Times New Roman" w:cs="Arial"/>
      <w:b/>
    </w:rPr>
  </w:style>
  <w:style w:type="paragraph" w:customStyle="1" w:styleId="StatementDateHeader">
    <w:name w:val="Statement Date Header"/>
    <w:basedOn w:val="Normal"/>
    <w:next w:val="Normal"/>
    <w:rsid w:val="005E48BA"/>
    <w:pPr>
      <w:pBdr>
        <w:bottom w:val="single" w:sz="4" w:space="1" w:color="auto"/>
      </w:pBdr>
      <w:spacing w:after="0" w:line="260" w:lineRule="atLeast"/>
    </w:pPr>
    <w:rPr>
      <w:rFonts w:eastAsia="Times New Roman"/>
      <w:i/>
      <w:szCs w:val="20"/>
    </w:rPr>
  </w:style>
  <w:style w:type="paragraph" w:customStyle="1" w:styleId="StatementTextLevel3">
    <w:name w:val="Statement Text Level 3"/>
    <w:basedOn w:val="Normal"/>
    <w:next w:val="Normal"/>
    <w:rsid w:val="005E48BA"/>
    <w:pPr>
      <w:spacing w:after="0" w:line="260" w:lineRule="atLeast"/>
    </w:pPr>
    <w:rPr>
      <w:rFonts w:eastAsia="Times New Roman"/>
      <w:sz w:val="18"/>
      <w:szCs w:val="20"/>
    </w:rPr>
  </w:style>
  <w:style w:type="paragraph" w:customStyle="1" w:styleId="ContinuedNotesHeading-Level1">
    <w:name w:val="Continued Notes Heading - Level 1"/>
    <w:basedOn w:val="NotesHeading-Level1"/>
    <w:rsid w:val="005E48BA"/>
    <w:pPr>
      <w:numPr>
        <w:numId w:val="0"/>
      </w:numPr>
      <w:spacing w:line="240" w:lineRule="auto"/>
      <w:outlineLvl w:val="9"/>
    </w:pPr>
  </w:style>
  <w:style w:type="paragraph" w:customStyle="1" w:styleId="TableHeaderLevel1">
    <w:name w:val="Table Header Level 1"/>
    <w:basedOn w:val="Normal"/>
    <w:semiHidden/>
    <w:rsid w:val="005E48BA"/>
    <w:pPr>
      <w:spacing w:after="0" w:line="260" w:lineRule="atLeast"/>
      <w:jc w:val="center"/>
    </w:pPr>
    <w:rPr>
      <w:rFonts w:eastAsia="Times New Roman"/>
      <w:b/>
      <w:sz w:val="18"/>
      <w:szCs w:val="18"/>
    </w:rPr>
  </w:style>
  <w:style w:type="table" w:customStyle="1" w:styleId="TableGrid3">
    <w:name w:val="Table Grid3"/>
    <w:basedOn w:val="TableNormal"/>
    <w:next w:val="TableGrid"/>
    <w:uiPriority w:val="39"/>
    <w:rsid w:val="005E48BA"/>
    <w:pPr>
      <w:spacing w:before="0" w:after="0" w:line="260" w:lineRule="atLeast"/>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ementTextLevel1bItalic">
    <w:name w:val="Statement Text Level 1(b) + Italic"/>
    <w:basedOn w:val="Normal"/>
    <w:rsid w:val="005E48BA"/>
    <w:pPr>
      <w:spacing w:after="0" w:line="260" w:lineRule="atLeast"/>
    </w:pPr>
    <w:rPr>
      <w:rFonts w:eastAsia="Times New Roman"/>
      <w:b/>
      <w:bCs/>
      <w:i/>
      <w:iCs/>
      <w:sz w:val="18"/>
      <w:szCs w:val="18"/>
    </w:rPr>
  </w:style>
  <w:style w:type="paragraph" w:customStyle="1" w:styleId="Graphic">
    <w:name w:val="Graphic"/>
    <w:basedOn w:val="Signature"/>
    <w:rsid w:val="005E48BA"/>
    <w:pPr>
      <w:pBdr>
        <w:top w:val="single" w:sz="4" w:space="1" w:color="auto"/>
        <w:left w:val="single" w:sz="4" w:space="1" w:color="auto"/>
        <w:bottom w:val="single" w:sz="4" w:space="1" w:color="auto"/>
        <w:right w:val="single" w:sz="4" w:space="1" w:color="auto"/>
      </w:pBdr>
      <w:jc w:val="center"/>
    </w:pPr>
  </w:style>
  <w:style w:type="paragraph" w:styleId="Signature">
    <w:name w:val="Signature"/>
    <w:basedOn w:val="Normal"/>
    <w:link w:val="SignatureChar"/>
    <w:rsid w:val="005E48BA"/>
    <w:pPr>
      <w:spacing w:after="0" w:line="240" w:lineRule="auto"/>
    </w:pPr>
    <w:rPr>
      <w:rFonts w:ascii="Times New Roman" w:eastAsia="Times New Roman" w:hAnsi="Times New Roman"/>
      <w:sz w:val="22"/>
      <w:szCs w:val="20"/>
    </w:rPr>
  </w:style>
  <w:style w:type="character" w:customStyle="1" w:styleId="SignatureChar">
    <w:name w:val="Signature Char"/>
    <w:basedOn w:val="DefaultParagraphFont"/>
    <w:link w:val="Signature"/>
    <w:rsid w:val="005E48BA"/>
    <w:rPr>
      <w:rFonts w:ascii="Times New Roman" w:eastAsia="Times New Roman" w:hAnsi="Times New Roman"/>
      <w:sz w:val="22"/>
      <w:szCs w:val="20"/>
    </w:rPr>
  </w:style>
  <w:style w:type="paragraph" w:styleId="MacroText">
    <w:name w:val="macro"/>
    <w:link w:val="MacroTextChar"/>
    <w:semiHidden/>
    <w:rsid w:val="005E48BA"/>
    <w:pPr>
      <w:tabs>
        <w:tab w:val="left" w:pos="480"/>
        <w:tab w:val="left" w:pos="960"/>
        <w:tab w:val="left" w:pos="1440"/>
        <w:tab w:val="left" w:pos="1920"/>
        <w:tab w:val="left" w:pos="2400"/>
        <w:tab w:val="left" w:pos="2880"/>
        <w:tab w:val="left" w:pos="3360"/>
        <w:tab w:val="left" w:pos="3840"/>
        <w:tab w:val="left" w:pos="4320"/>
      </w:tabs>
      <w:spacing w:before="0" w:after="0" w:line="260" w:lineRule="atLeast"/>
    </w:pPr>
    <w:rPr>
      <w:rFonts w:ascii="Courier New" w:eastAsia="Times New Roman" w:hAnsi="Courier New" w:cs="Courier New"/>
      <w:sz w:val="18"/>
      <w:szCs w:val="20"/>
      <w:lang w:val="en-GB"/>
    </w:rPr>
  </w:style>
  <w:style w:type="character" w:customStyle="1" w:styleId="MacroTextChar">
    <w:name w:val="Macro Text Char"/>
    <w:basedOn w:val="DefaultParagraphFont"/>
    <w:link w:val="MacroText"/>
    <w:semiHidden/>
    <w:rsid w:val="005E48BA"/>
    <w:rPr>
      <w:rFonts w:ascii="Courier New" w:eastAsia="Times New Roman" w:hAnsi="Courier New" w:cs="Courier New"/>
      <w:sz w:val="18"/>
      <w:szCs w:val="20"/>
      <w:lang w:val="en-GB"/>
    </w:rPr>
  </w:style>
  <w:style w:type="paragraph" w:customStyle="1" w:styleId="NotesTotal">
    <w:name w:val="Notes Total"/>
    <w:basedOn w:val="Normal"/>
    <w:autoRedefine/>
    <w:rsid w:val="005E48BA"/>
    <w:pPr>
      <w:spacing w:after="0" w:line="260" w:lineRule="atLeast"/>
      <w:ind w:left="139" w:right="57"/>
    </w:pPr>
    <w:rPr>
      <w:rFonts w:ascii="Times New Roman" w:eastAsia="Times New Roman" w:hAnsi="Times New Roman"/>
      <w:b/>
      <w:iCs/>
      <w:sz w:val="20"/>
      <w:szCs w:val="20"/>
    </w:rPr>
  </w:style>
  <w:style w:type="paragraph" w:customStyle="1" w:styleId="TitlePage">
    <w:name w:val="Title Page"/>
    <w:basedOn w:val="Normal"/>
    <w:autoRedefine/>
    <w:rsid w:val="005E48BA"/>
    <w:pPr>
      <w:spacing w:before="1200" w:after="1200" w:line="260" w:lineRule="atLeast"/>
      <w:ind w:left="57" w:right="57"/>
      <w:jc w:val="right"/>
    </w:pPr>
    <w:rPr>
      <w:rFonts w:ascii="Times New Roman" w:eastAsia="Times New Roman" w:hAnsi="Times New Roman"/>
      <w:b/>
      <w:bCs/>
      <w:sz w:val="48"/>
      <w:szCs w:val="20"/>
    </w:rPr>
  </w:style>
  <w:style w:type="paragraph" w:styleId="TOC3">
    <w:name w:val="toc 3"/>
    <w:basedOn w:val="Normal"/>
    <w:next w:val="Normal"/>
    <w:autoRedefine/>
    <w:uiPriority w:val="39"/>
    <w:rsid w:val="005E48BA"/>
    <w:pPr>
      <w:spacing w:after="0" w:line="260" w:lineRule="atLeast"/>
      <w:ind w:left="440"/>
    </w:pPr>
    <w:rPr>
      <w:rFonts w:ascii="Times New Roman" w:eastAsia="Times New Roman" w:hAnsi="Times New Roman"/>
      <w:sz w:val="20"/>
      <w:szCs w:val="20"/>
    </w:rPr>
  </w:style>
  <w:style w:type="paragraph" w:styleId="TOC4">
    <w:name w:val="toc 4"/>
    <w:basedOn w:val="Normal"/>
    <w:next w:val="Normal"/>
    <w:autoRedefine/>
    <w:semiHidden/>
    <w:rsid w:val="005E48BA"/>
    <w:pPr>
      <w:spacing w:after="0" w:line="260" w:lineRule="atLeast"/>
      <w:ind w:left="660"/>
    </w:pPr>
    <w:rPr>
      <w:rFonts w:ascii="Times New Roman" w:eastAsia="Times New Roman" w:hAnsi="Times New Roman"/>
      <w:sz w:val="20"/>
      <w:szCs w:val="20"/>
    </w:rPr>
  </w:style>
  <w:style w:type="paragraph" w:styleId="TOC6">
    <w:name w:val="toc 6"/>
    <w:basedOn w:val="Normal"/>
    <w:next w:val="Normal"/>
    <w:autoRedefine/>
    <w:semiHidden/>
    <w:rsid w:val="005E48BA"/>
    <w:pPr>
      <w:spacing w:after="0" w:line="260" w:lineRule="atLeast"/>
      <w:ind w:left="1100"/>
    </w:pPr>
    <w:rPr>
      <w:rFonts w:ascii="Times New Roman" w:eastAsia="Times New Roman" w:hAnsi="Times New Roman"/>
      <w:sz w:val="20"/>
      <w:szCs w:val="20"/>
    </w:rPr>
  </w:style>
  <w:style w:type="paragraph" w:styleId="TOC7">
    <w:name w:val="toc 7"/>
    <w:basedOn w:val="Normal"/>
    <w:next w:val="Normal"/>
    <w:autoRedefine/>
    <w:semiHidden/>
    <w:rsid w:val="005E48BA"/>
    <w:pPr>
      <w:spacing w:after="0" w:line="260" w:lineRule="atLeast"/>
      <w:ind w:left="1320"/>
    </w:pPr>
    <w:rPr>
      <w:rFonts w:ascii="Times New Roman" w:eastAsia="Times New Roman" w:hAnsi="Times New Roman"/>
      <w:sz w:val="20"/>
      <w:szCs w:val="20"/>
    </w:rPr>
  </w:style>
  <w:style w:type="paragraph" w:styleId="TOC8">
    <w:name w:val="toc 8"/>
    <w:basedOn w:val="Normal"/>
    <w:next w:val="Normal"/>
    <w:autoRedefine/>
    <w:semiHidden/>
    <w:rsid w:val="005E48BA"/>
    <w:pPr>
      <w:spacing w:after="0" w:line="260" w:lineRule="atLeast"/>
      <w:ind w:left="1540"/>
    </w:pPr>
    <w:rPr>
      <w:rFonts w:ascii="Times New Roman" w:eastAsia="Times New Roman" w:hAnsi="Times New Roman"/>
      <w:sz w:val="20"/>
      <w:szCs w:val="20"/>
    </w:rPr>
  </w:style>
  <w:style w:type="paragraph" w:styleId="TOC9">
    <w:name w:val="toc 9"/>
    <w:basedOn w:val="Normal"/>
    <w:next w:val="Normal"/>
    <w:autoRedefine/>
    <w:semiHidden/>
    <w:rsid w:val="005E48BA"/>
    <w:pPr>
      <w:spacing w:after="0" w:line="260" w:lineRule="atLeast"/>
      <w:ind w:left="1760"/>
    </w:pPr>
    <w:rPr>
      <w:rFonts w:ascii="Times New Roman" w:eastAsia="Times New Roman" w:hAnsi="Times New Roman"/>
      <w:sz w:val="20"/>
      <w:szCs w:val="20"/>
    </w:rPr>
  </w:style>
  <w:style w:type="paragraph" w:customStyle="1" w:styleId="zcontents">
    <w:name w:val="zcontents"/>
    <w:basedOn w:val="Normal"/>
    <w:semiHidden/>
    <w:rsid w:val="005E48BA"/>
    <w:pPr>
      <w:spacing w:after="260" w:line="240" w:lineRule="auto"/>
    </w:pPr>
    <w:rPr>
      <w:rFonts w:ascii="Times New Roman" w:eastAsia="Times New Roman" w:hAnsi="Times New Roman"/>
      <w:b/>
      <w:sz w:val="32"/>
      <w:szCs w:val="20"/>
    </w:rPr>
  </w:style>
  <w:style w:type="paragraph" w:customStyle="1" w:styleId="Normal10pt">
    <w:name w:val="Normal + 10 pt"/>
    <w:aliases w:val="Line spacing:  single"/>
    <w:basedOn w:val="Normal"/>
    <w:rsid w:val="005E48BA"/>
    <w:pPr>
      <w:spacing w:before="130" w:after="130" w:line="260" w:lineRule="atLeast"/>
    </w:pPr>
    <w:rPr>
      <w:rFonts w:ascii="Times New Roman" w:eastAsia="Times New Roman" w:hAnsi="Times New Roman"/>
      <w:b/>
      <w:sz w:val="20"/>
      <w:szCs w:val="20"/>
    </w:rPr>
  </w:style>
  <w:style w:type="paragraph" w:styleId="z-BottomofForm">
    <w:name w:val="HTML Bottom of Form"/>
    <w:basedOn w:val="Normal"/>
    <w:next w:val="Normal"/>
    <w:link w:val="z-BottomofFormChar"/>
    <w:hidden/>
    <w:rsid w:val="005E48BA"/>
    <w:pPr>
      <w:pBdr>
        <w:top w:val="single" w:sz="6" w:space="1" w:color="auto"/>
      </w:pBdr>
      <w:spacing w:after="0" w:line="260" w:lineRule="atLeast"/>
      <w:jc w:val="center"/>
    </w:pPr>
    <w:rPr>
      <w:rFonts w:eastAsia="Times New Roman" w:cs="Arial"/>
      <w:vanish/>
      <w:sz w:val="16"/>
      <w:szCs w:val="16"/>
    </w:rPr>
  </w:style>
  <w:style w:type="character" w:customStyle="1" w:styleId="z-BottomofFormChar">
    <w:name w:val="z-Bottom of Form Char"/>
    <w:basedOn w:val="DefaultParagraphFont"/>
    <w:link w:val="z-BottomofForm"/>
    <w:rsid w:val="005E48BA"/>
    <w:rPr>
      <w:rFonts w:eastAsia="Times New Roman" w:cs="Arial"/>
      <w:vanish/>
      <w:sz w:val="16"/>
      <w:szCs w:val="16"/>
    </w:rPr>
  </w:style>
  <w:style w:type="paragraph" w:styleId="z-TopofForm">
    <w:name w:val="HTML Top of Form"/>
    <w:basedOn w:val="Normal"/>
    <w:next w:val="Normal"/>
    <w:link w:val="z-TopofFormChar"/>
    <w:hidden/>
    <w:rsid w:val="005E48BA"/>
    <w:pPr>
      <w:pBdr>
        <w:bottom w:val="single" w:sz="6" w:space="1" w:color="auto"/>
      </w:pBdr>
      <w:spacing w:after="0" w:line="260" w:lineRule="atLeast"/>
      <w:jc w:val="center"/>
    </w:pPr>
    <w:rPr>
      <w:rFonts w:eastAsia="Times New Roman" w:cs="Arial"/>
      <w:vanish/>
      <w:sz w:val="16"/>
      <w:szCs w:val="16"/>
    </w:rPr>
  </w:style>
  <w:style w:type="character" w:customStyle="1" w:styleId="z-TopofFormChar">
    <w:name w:val="z-Top of Form Char"/>
    <w:basedOn w:val="DefaultParagraphFont"/>
    <w:link w:val="z-TopofForm"/>
    <w:rsid w:val="005E48BA"/>
    <w:rPr>
      <w:rFonts w:eastAsia="Times New Roman" w:cs="Arial"/>
      <w:vanish/>
      <w:sz w:val="16"/>
      <w:szCs w:val="16"/>
    </w:rPr>
  </w:style>
  <w:style w:type="paragraph" w:styleId="DocumentMap">
    <w:name w:val="Document Map"/>
    <w:basedOn w:val="Normal"/>
    <w:link w:val="DocumentMapChar"/>
    <w:semiHidden/>
    <w:rsid w:val="005E48BA"/>
    <w:pPr>
      <w:shd w:val="clear" w:color="auto" w:fill="000080"/>
      <w:spacing w:after="0" w:line="240" w:lineRule="auto"/>
    </w:pPr>
    <w:rPr>
      <w:rFonts w:ascii="Tahoma" w:eastAsia="Times New Roman" w:hAnsi="Tahoma"/>
      <w:sz w:val="20"/>
      <w:szCs w:val="20"/>
      <w:lang w:eastAsia="en-AU"/>
    </w:rPr>
  </w:style>
  <w:style w:type="character" w:customStyle="1" w:styleId="DocumentMapChar">
    <w:name w:val="Document Map Char"/>
    <w:basedOn w:val="DefaultParagraphFont"/>
    <w:link w:val="DocumentMap"/>
    <w:semiHidden/>
    <w:rsid w:val="005E48BA"/>
    <w:rPr>
      <w:rFonts w:ascii="Tahoma" w:eastAsia="Times New Roman" w:hAnsi="Tahoma"/>
      <w:sz w:val="20"/>
      <w:szCs w:val="20"/>
      <w:shd w:val="clear" w:color="auto" w:fill="000080"/>
      <w:lang w:eastAsia="en-AU"/>
    </w:rPr>
  </w:style>
  <w:style w:type="paragraph" w:customStyle="1" w:styleId="Normal8pt">
    <w:name w:val="Normal + 8 pt"/>
    <w:basedOn w:val="Normal"/>
    <w:rsid w:val="005E48BA"/>
    <w:pPr>
      <w:widowControl w:val="0"/>
      <w:autoSpaceDE w:val="0"/>
      <w:autoSpaceDN w:val="0"/>
      <w:spacing w:after="0" w:line="240" w:lineRule="auto"/>
    </w:pPr>
    <w:rPr>
      <w:rFonts w:ascii="Times New Roman" w:eastAsia="Times New Roman" w:hAnsi="Times New Roman"/>
      <w:bCs/>
      <w:iCs/>
      <w:spacing w:val="-6"/>
      <w:sz w:val="16"/>
      <w:szCs w:val="16"/>
      <w:lang w:val="en-US"/>
    </w:rPr>
  </w:style>
  <w:style w:type="paragraph" w:customStyle="1" w:styleId="NormalCalistoMT">
    <w:name w:val="Normal + Calisto MT"/>
    <w:aliases w:val="8 pt,Right"/>
    <w:basedOn w:val="Normal"/>
    <w:rsid w:val="005E48BA"/>
    <w:pPr>
      <w:framePr w:hSpace="180" w:wrap="around" w:vAnchor="text" w:hAnchor="margin" w:y="1"/>
      <w:spacing w:after="0" w:line="260" w:lineRule="atLeast"/>
      <w:ind w:right="212"/>
      <w:suppressOverlap/>
      <w:jc w:val="right"/>
    </w:pPr>
    <w:rPr>
      <w:rFonts w:ascii="Calisto MT" w:eastAsia="Times New Roman" w:hAnsi="Calisto MT"/>
      <w:sz w:val="16"/>
      <w:szCs w:val="20"/>
    </w:rPr>
  </w:style>
  <w:style w:type="paragraph" w:customStyle="1" w:styleId="ReferenceText">
    <w:name w:val="Reference Text"/>
    <w:basedOn w:val="Normal"/>
    <w:link w:val="ReferenceTextChar"/>
    <w:autoRedefine/>
    <w:rsid w:val="005E48BA"/>
    <w:pPr>
      <w:spacing w:before="240" w:after="240" w:line="240" w:lineRule="auto"/>
    </w:pPr>
    <w:rPr>
      <w:rFonts w:eastAsia="Times New Roman"/>
      <w:sz w:val="18"/>
      <w:szCs w:val="20"/>
      <w:lang w:eastAsia="en-AU"/>
    </w:rPr>
  </w:style>
  <w:style w:type="paragraph" w:customStyle="1" w:styleId="NotesHeading-Level1">
    <w:name w:val="Notes Heading - Level 1"/>
    <w:basedOn w:val="Normal"/>
    <w:rsid w:val="005E48BA"/>
    <w:pPr>
      <w:numPr>
        <w:numId w:val="75"/>
      </w:numPr>
      <w:tabs>
        <w:tab w:val="clear" w:pos="10491"/>
        <w:tab w:val="num" w:pos="851"/>
      </w:tabs>
      <w:spacing w:after="0" w:line="260" w:lineRule="atLeast"/>
      <w:ind w:left="0" w:right="607" w:firstLine="0"/>
      <w:outlineLvl w:val="0"/>
    </w:pPr>
    <w:rPr>
      <w:rFonts w:eastAsia="Times New Roman"/>
      <w:b/>
      <w:sz w:val="20"/>
      <w:szCs w:val="20"/>
    </w:rPr>
  </w:style>
  <w:style w:type="paragraph" w:customStyle="1" w:styleId="NotesHeading-Level2">
    <w:name w:val="Notes Heading - Level 2"/>
    <w:basedOn w:val="NotesHeading-Level1"/>
    <w:rsid w:val="005E48BA"/>
    <w:pPr>
      <w:framePr w:hSpace="180" w:wrap="around" w:vAnchor="text" w:hAnchor="margin" w:y="1"/>
      <w:numPr>
        <w:ilvl w:val="1"/>
      </w:numPr>
      <w:tabs>
        <w:tab w:val="clear" w:pos="851"/>
      </w:tabs>
      <w:ind w:left="0" w:firstLine="0"/>
      <w:suppressOverlap/>
    </w:pPr>
    <w:rPr>
      <w:sz w:val="18"/>
    </w:rPr>
  </w:style>
  <w:style w:type="character" w:customStyle="1" w:styleId="StatementNameChar">
    <w:name w:val="Statement Name Char"/>
    <w:basedOn w:val="DefaultParagraphFont"/>
    <w:link w:val="StatementName"/>
    <w:rsid w:val="005E48BA"/>
    <w:rPr>
      <w:rFonts w:eastAsia="Times New Roman" w:cs="Arial"/>
      <w:b/>
    </w:rPr>
  </w:style>
  <w:style w:type="numbering" w:customStyle="1" w:styleId="CurrentList11">
    <w:name w:val="Current List11"/>
    <w:rsid w:val="005E48BA"/>
    <w:pPr>
      <w:numPr>
        <w:numId w:val="76"/>
      </w:numPr>
    </w:pPr>
  </w:style>
  <w:style w:type="numbering" w:customStyle="1" w:styleId="Style2">
    <w:name w:val="Style2"/>
    <w:rsid w:val="005E48BA"/>
    <w:pPr>
      <w:numPr>
        <w:numId w:val="77"/>
      </w:numPr>
    </w:pPr>
  </w:style>
  <w:style w:type="numbering" w:customStyle="1" w:styleId="CurrentList21">
    <w:name w:val="Current List21"/>
    <w:rsid w:val="005E48BA"/>
    <w:pPr>
      <w:numPr>
        <w:numId w:val="78"/>
      </w:numPr>
    </w:pPr>
  </w:style>
  <w:style w:type="character" w:customStyle="1" w:styleId="ReferenceTextChar">
    <w:name w:val="Reference Text Char"/>
    <w:basedOn w:val="DefaultParagraphFont"/>
    <w:link w:val="ReferenceText"/>
    <w:rsid w:val="005E48BA"/>
    <w:rPr>
      <w:rFonts w:eastAsia="Times New Roman"/>
      <w:sz w:val="18"/>
      <w:szCs w:val="20"/>
      <w:lang w:eastAsia="en-AU"/>
    </w:rPr>
  </w:style>
  <w:style w:type="paragraph" w:customStyle="1" w:styleId="StatementHeading">
    <w:name w:val="Statement Heading"/>
    <w:basedOn w:val="Normal"/>
    <w:rsid w:val="005E48BA"/>
    <w:pPr>
      <w:spacing w:after="0" w:line="260" w:lineRule="atLeast"/>
    </w:pPr>
    <w:rPr>
      <w:rFonts w:eastAsia="Times New Roman"/>
      <w:b/>
      <w:szCs w:val="20"/>
    </w:rPr>
  </w:style>
  <w:style w:type="table" w:customStyle="1" w:styleId="TableGrid11">
    <w:name w:val="Table Grid11"/>
    <w:basedOn w:val="TableNormal"/>
    <w:next w:val="TableGrid"/>
    <w:rsid w:val="005E48BA"/>
    <w:pPr>
      <w:spacing w:before="0" w:after="0" w:line="240" w:lineRule="auto"/>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semiHidden/>
    <w:rsid w:val="005E48BA"/>
    <w:pPr>
      <w:spacing w:after="0" w:line="260" w:lineRule="atLeast"/>
    </w:pPr>
    <w:rPr>
      <w:rFonts w:ascii="Times New Roman" w:eastAsia="Times New Roman" w:hAnsi="Times New Roman"/>
      <w:sz w:val="22"/>
      <w:szCs w:val="20"/>
    </w:rPr>
  </w:style>
  <w:style w:type="paragraph" w:customStyle="1" w:styleId="GreyShadeTableBreak">
    <w:name w:val="Grey Shade Table Break"/>
    <w:basedOn w:val="Normal"/>
    <w:rsid w:val="005E48BA"/>
    <w:pPr>
      <w:shd w:val="clear" w:color="auto" w:fill="D9D9D9"/>
      <w:tabs>
        <w:tab w:val="left" w:pos="9214"/>
      </w:tabs>
      <w:spacing w:after="0" w:line="260" w:lineRule="atLeast"/>
      <w:ind w:right="607"/>
    </w:pPr>
    <w:rPr>
      <w:rFonts w:ascii="Times New Roman" w:eastAsia="Times New Roman" w:hAnsi="Times New Roman"/>
      <w:sz w:val="22"/>
      <w:szCs w:val="20"/>
    </w:rPr>
  </w:style>
  <w:style w:type="paragraph" w:customStyle="1" w:styleId="GreyShadeTableBreaknon-Standard">
    <w:name w:val="Grey Shade Table Break non-Standard"/>
    <w:rsid w:val="005E48BA"/>
    <w:pPr>
      <w:shd w:val="clear" w:color="auto" w:fill="D9D9D9"/>
      <w:spacing w:before="0" w:after="0" w:line="240" w:lineRule="auto"/>
      <w:ind w:right="57"/>
    </w:pPr>
    <w:rPr>
      <w:rFonts w:ascii="Times New Roman" w:eastAsia="Times New Roman" w:hAnsi="Times New Roman"/>
      <w:sz w:val="22"/>
      <w:szCs w:val="20"/>
    </w:rPr>
  </w:style>
  <w:style w:type="paragraph" w:customStyle="1" w:styleId="ReferenceTextLetter">
    <w:name w:val="Reference Text Letter"/>
    <w:basedOn w:val="ReferenceText"/>
    <w:rsid w:val="005E48BA"/>
    <w:pPr>
      <w:ind w:left="567" w:right="567"/>
    </w:pPr>
    <w:rPr>
      <w:rFonts w:cs="Arial"/>
      <w:szCs w:val="18"/>
    </w:rPr>
  </w:style>
  <w:style w:type="paragraph" w:customStyle="1" w:styleId="NotesText">
    <w:name w:val="Notes Text"/>
    <w:basedOn w:val="ReferenceText"/>
    <w:rsid w:val="005E48BA"/>
    <w:pPr>
      <w:spacing w:before="100" w:after="100"/>
    </w:pPr>
  </w:style>
  <w:style w:type="paragraph" w:customStyle="1" w:styleId="Default">
    <w:name w:val="Default"/>
    <w:rsid w:val="005E48BA"/>
    <w:pPr>
      <w:autoSpaceDE w:val="0"/>
      <w:autoSpaceDN w:val="0"/>
      <w:adjustRightInd w:val="0"/>
      <w:spacing w:before="0" w:after="0" w:line="240" w:lineRule="auto"/>
    </w:pPr>
    <w:rPr>
      <w:rFonts w:ascii="Times New Roman" w:eastAsia="Calibri" w:hAnsi="Times New Roman"/>
      <w:color w:val="000000"/>
    </w:rPr>
  </w:style>
  <w:style w:type="table" w:customStyle="1" w:styleId="LightShading1">
    <w:name w:val="Light Shading1"/>
    <w:basedOn w:val="TableNormal"/>
    <w:uiPriority w:val="60"/>
    <w:rsid w:val="005E48BA"/>
    <w:pPr>
      <w:spacing w:before="0" w:after="0" w:line="240" w:lineRule="auto"/>
    </w:pPr>
    <w:rPr>
      <w:rFonts w:ascii="Calibri" w:eastAsia="Calibri" w:hAnsi="Calibri" w:cs="Cordia New"/>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0">
    <w:name w:val="Light Shading10"/>
    <w:basedOn w:val="TableNormal"/>
    <w:next w:val="LightShading1"/>
    <w:uiPriority w:val="60"/>
    <w:rsid w:val="005E48BA"/>
    <w:pPr>
      <w:spacing w:before="0" w:after="0" w:line="240" w:lineRule="auto"/>
    </w:pPr>
    <w:rPr>
      <w:rFonts w:ascii="Calibri" w:eastAsia="Calibri" w:hAnsi="Calibri" w:cs="Cordia New"/>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
    <w:name w:val="Table Grid21"/>
    <w:basedOn w:val="TableNormal"/>
    <w:next w:val="TableGrid"/>
    <w:uiPriority w:val="59"/>
    <w:rsid w:val="005E48BA"/>
    <w:pPr>
      <w:spacing w:before="0" w:after="0" w:line="240" w:lineRule="auto"/>
    </w:pPr>
    <w:rPr>
      <w:rFonts w:ascii="Calibri" w:eastAsia="SimSun" w:hAnsi="Calibri" w:cs="Cordia New"/>
      <w:sz w:val="22"/>
      <w:szCs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uiPriority w:val="33"/>
    <w:rsid w:val="005E48BA"/>
    <w:rPr>
      <w:i/>
      <w:iCs/>
      <w:smallCaps/>
      <w:spacing w:val="5"/>
    </w:rPr>
  </w:style>
  <w:style w:type="paragraph" w:customStyle="1" w:styleId="PolicytextDept">
    <w:name w:val="Policy text Dept"/>
    <w:basedOn w:val="Normal"/>
    <w:link w:val="PolicytextDeptChar"/>
    <w:rsid w:val="005E48BA"/>
    <w:pPr>
      <w:pBdr>
        <w:top w:val="single" w:sz="4" w:space="1" w:color="800080"/>
        <w:left w:val="single" w:sz="4" w:space="0" w:color="800080"/>
        <w:bottom w:val="single" w:sz="4" w:space="1" w:color="800080"/>
        <w:right w:val="single" w:sz="4" w:space="0" w:color="800080"/>
      </w:pBdr>
      <w:spacing w:line="120" w:lineRule="atLeast"/>
    </w:pPr>
    <w:rPr>
      <w:rFonts w:eastAsia="Times New Roman" w:cs="Arial"/>
      <w:bCs/>
      <w:sz w:val="18"/>
      <w:szCs w:val="18"/>
    </w:rPr>
  </w:style>
  <w:style w:type="character" w:customStyle="1" w:styleId="PolicytextDeptChar">
    <w:name w:val="Policy text Dept Char"/>
    <w:basedOn w:val="DefaultParagraphFont"/>
    <w:link w:val="PolicytextDept"/>
    <w:rsid w:val="005E48BA"/>
    <w:rPr>
      <w:rFonts w:eastAsia="Times New Roman" w:cs="Arial"/>
      <w:bCs/>
      <w:sz w:val="18"/>
      <w:szCs w:val="18"/>
    </w:rPr>
  </w:style>
  <w:style w:type="paragraph" w:customStyle="1" w:styleId="PolicyheadingDept">
    <w:name w:val="Policy heading Dept"/>
    <w:basedOn w:val="PolicytextDept"/>
    <w:rsid w:val="005E48BA"/>
    <w:rPr>
      <w:b/>
    </w:rPr>
  </w:style>
  <w:style w:type="paragraph" w:customStyle="1" w:styleId="SectionHeading">
    <w:name w:val="Section Heading"/>
    <w:basedOn w:val="Normal"/>
    <w:link w:val="SectionHeadingChar"/>
    <w:rsid w:val="005E48BA"/>
    <w:pPr>
      <w:numPr>
        <w:numId w:val="79"/>
      </w:numPr>
      <w:shd w:val="clear" w:color="00CC99" w:fill="800080"/>
      <w:spacing w:after="0" w:line="260" w:lineRule="atLeast"/>
      <w:ind w:left="0" w:firstLine="0"/>
      <w:outlineLvl w:val="0"/>
    </w:pPr>
    <w:rPr>
      <w:rFonts w:ascii="Arial Bold" w:eastAsia="Times New Roman" w:hAnsi="Arial Bold"/>
      <w:b/>
      <w:color w:val="FFFFFF"/>
      <w:szCs w:val="20"/>
    </w:rPr>
  </w:style>
  <w:style w:type="character" w:customStyle="1" w:styleId="SectionHeadingChar">
    <w:name w:val="Section Heading Char"/>
    <w:basedOn w:val="DefaultParagraphFont"/>
    <w:link w:val="SectionHeading"/>
    <w:rsid w:val="005E48BA"/>
    <w:rPr>
      <w:rFonts w:ascii="Arial Bold" w:eastAsia="Times New Roman" w:hAnsi="Arial Bold"/>
      <w:b/>
      <w:color w:val="FFFFFF"/>
      <w:szCs w:val="20"/>
      <w:shd w:val="clear" w:color="00CC99" w:fill="800080"/>
    </w:rPr>
  </w:style>
  <w:style w:type="paragraph" w:customStyle="1" w:styleId="SubHeading">
    <w:name w:val="Sub Heading"/>
    <w:basedOn w:val="SectionHeading"/>
    <w:link w:val="SubHeadingChar"/>
    <w:rsid w:val="005E48BA"/>
    <w:pPr>
      <w:numPr>
        <w:ilvl w:val="1"/>
        <w:numId w:val="80"/>
      </w:numPr>
      <w:shd w:val="clear" w:color="auto" w:fill="000000"/>
      <w:ind w:left="0" w:firstLine="0"/>
      <w:outlineLvl w:val="1"/>
    </w:pPr>
    <w:rPr>
      <w:rFonts w:ascii="Arial" w:hAnsi="Arial" w:cs="Arial"/>
      <w:sz w:val="20"/>
    </w:rPr>
  </w:style>
  <w:style w:type="paragraph" w:customStyle="1" w:styleId="SectionHeadingDescription">
    <w:name w:val="Section Heading Description"/>
    <w:basedOn w:val="SectionHeading"/>
    <w:next w:val="SubHeading"/>
    <w:rsid w:val="005E48BA"/>
    <w:pPr>
      <w:numPr>
        <w:numId w:val="0"/>
      </w:numPr>
      <w:outlineLvl w:val="9"/>
    </w:pPr>
    <w:rPr>
      <w:rFonts w:ascii="Arial" w:hAnsi="Arial"/>
      <w:b w:val="0"/>
      <w:sz w:val="18"/>
      <w:szCs w:val="18"/>
    </w:rPr>
  </w:style>
  <w:style w:type="character" w:customStyle="1" w:styleId="SubHeadingChar">
    <w:name w:val="Sub Heading Char"/>
    <w:basedOn w:val="DefaultParagraphFont"/>
    <w:link w:val="SubHeading"/>
    <w:rsid w:val="005E48BA"/>
    <w:rPr>
      <w:rFonts w:eastAsia="Times New Roman" w:cs="Arial"/>
      <w:b/>
      <w:color w:val="FFFFFF"/>
      <w:sz w:val="20"/>
      <w:szCs w:val="20"/>
      <w:shd w:val="clear" w:color="auto" w:fill="000000"/>
    </w:rPr>
  </w:style>
  <w:style w:type="paragraph" w:customStyle="1" w:styleId="AccountingPolicy-Departmental">
    <w:name w:val="Accounting Policy - Departmental"/>
    <w:basedOn w:val="Normal"/>
    <w:rsid w:val="005E48BA"/>
    <w:pPr>
      <w:pBdr>
        <w:top w:val="single" w:sz="4" w:space="1" w:color="800080"/>
        <w:left w:val="single" w:sz="4" w:space="4" w:color="800080"/>
        <w:bottom w:val="single" w:sz="4" w:space="1" w:color="800080"/>
        <w:right w:val="single" w:sz="4" w:space="4" w:color="800080"/>
      </w:pBdr>
      <w:spacing w:after="20" w:line="260" w:lineRule="atLeast"/>
      <w:ind w:left="85" w:right="142"/>
      <w:outlineLvl w:val="0"/>
    </w:pPr>
    <w:rPr>
      <w:rFonts w:eastAsia="Times New Roman" w:cs="Helvetica"/>
      <w:sz w:val="18"/>
      <w:szCs w:val="18"/>
    </w:rPr>
  </w:style>
  <w:style w:type="paragraph" w:customStyle="1" w:styleId="TOCHeading1">
    <w:name w:val="TOC Heading1"/>
    <w:basedOn w:val="Heading1"/>
    <w:next w:val="Normal"/>
    <w:uiPriority w:val="39"/>
    <w:unhideWhenUsed/>
    <w:rsid w:val="005E48BA"/>
    <w:pPr>
      <w:keepLines/>
      <w:spacing w:before="240" w:after="0" w:line="259" w:lineRule="auto"/>
      <w:outlineLvl w:val="9"/>
    </w:pPr>
    <w:rPr>
      <w:rFonts w:ascii="Cambria" w:eastAsia="SimSun" w:hAnsi="Cambria" w:cs="Angsana New"/>
      <w:b w:val="0"/>
      <w:color w:val="365F91"/>
      <w:sz w:val="32"/>
      <w:szCs w:val="32"/>
      <w:lang w:val="en-US" w:eastAsia="en-US"/>
    </w:rPr>
  </w:style>
  <w:style w:type="paragraph" w:customStyle="1" w:styleId="SectionHeading-NoNumber">
    <w:name w:val="Section Heading - No Number"/>
    <w:basedOn w:val="SectionHeading"/>
    <w:link w:val="SectionHeading-NoNumberChar"/>
    <w:rsid w:val="005E48BA"/>
    <w:pPr>
      <w:numPr>
        <w:numId w:val="0"/>
      </w:numPr>
      <w:shd w:val="clear" w:color="auto" w:fill="800080"/>
      <w:tabs>
        <w:tab w:val="right" w:pos="9072"/>
      </w:tabs>
    </w:pPr>
  </w:style>
  <w:style w:type="character" w:customStyle="1" w:styleId="SectionHeading-NoNumberChar">
    <w:name w:val="Section Heading - No Number Char"/>
    <w:basedOn w:val="SectionHeadingChar"/>
    <w:link w:val="SectionHeading-NoNumber"/>
    <w:rsid w:val="005E48BA"/>
    <w:rPr>
      <w:rFonts w:ascii="Arial Bold" w:eastAsia="Times New Roman" w:hAnsi="Arial Bold"/>
      <w:b/>
      <w:color w:val="FFFFFF"/>
      <w:szCs w:val="20"/>
      <w:shd w:val="clear" w:color="auto" w:fill="800080"/>
    </w:rPr>
  </w:style>
  <w:style w:type="paragraph" w:customStyle="1" w:styleId="Dash">
    <w:name w:val="Dash"/>
    <w:basedOn w:val="Normal"/>
    <w:rsid w:val="005E48BA"/>
    <w:pPr>
      <w:spacing w:after="240" w:line="240" w:lineRule="auto"/>
    </w:pPr>
    <w:rPr>
      <w:rFonts w:ascii="Times New Roman" w:eastAsia="Times New Roman" w:hAnsi="Times New Roman"/>
    </w:rPr>
  </w:style>
  <w:style w:type="character" w:customStyle="1" w:styleId="ms-rtefontsize-3">
    <w:name w:val="ms-rtefontsize-3"/>
    <w:basedOn w:val="DefaultParagraphFont"/>
    <w:rsid w:val="005E48BA"/>
  </w:style>
  <w:style w:type="character" w:styleId="Strong">
    <w:name w:val="Strong"/>
    <w:basedOn w:val="DefaultParagraphFont"/>
    <w:uiPriority w:val="22"/>
    <w:qFormat/>
    <w:rsid w:val="005E48BA"/>
    <w:rPr>
      <w:b/>
      <w:bCs/>
    </w:rPr>
  </w:style>
  <w:style w:type="character" w:customStyle="1" w:styleId="ui-provider">
    <w:name w:val="ui-provider"/>
    <w:basedOn w:val="DefaultParagraphFont"/>
    <w:rsid w:val="005E48BA"/>
  </w:style>
  <w:style w:type="paragraph" w:customStyle="1" w:styleId="CEOBrief-Heading1">
    <w:name w:val="CEO Brief - Heading 1"/>
    <w:basedOn w:val="ListParagraph"/>
    <w:rsid w:val="005E48BA"/>
    <w:pPr>
      <w:numPr>
        <w:numId w:val="94"/>
      </w:numPr>
      <w:tabs>
        <w:tab w:val="num" w:pos="360"/>
      </w:tabs>
      <w:spacing w:before="120" w:line="240" w:lineRule="auto"/>
      <w:ind w:left="0" w:firstLine="0"/>
      <w:contextualSpacing w:val="0"/>
    </w:pPr>
    <w:rPr>
      <w:rFonts w:eastAsia="Times New Roman" w:cs="Arial"/>
      <w:b/>
      <w:color w:val="6B2F76"/>
      <w:sz w:val="22"/>
      <w:szCs w:val="22"/>
    </w:rPr>
  </w:style>
  <w:style w:type="character" w:customStyle="1" w:styleId="CEOBrief-Paragraph1Char">
    <w:name w:val="CEO Brief - Paragraph 1 Char"/>
    <w:basedOn w:val="DefaultParagraphFont"/>
    <w:link w:val="CEOBrief-Paragraph1"/>
    <w:locked/>
    <w:rsid w:val="005E48BA"/>
    <w:rPr>
      <w:rFonts w:cs="Arial"/>
      <w:sz w:val="22"/>
      <w:szCs w:val="22"/>
    </w:rPr>
  </w:style>
  <w:style w:type="paragraph" w:customStyle="1" w:styleId="CEOBrief-Paragraph1">
    <w:name w:val="CEO Brief - Paragraph 1"/>
    <w:basedOn w:val="ListParagraph"/>
    <w:link w:val="CEOBrief-Paragraph1Char"/>
    <w:rsid w:val="005E48BA"/>
    <w:pPr>
      <w:numPr>
        <w:ilvl w:val="1"/>
        <w:numId w:val="94"/>
      </w:numPr>
      <w:spacing w:before="120" w:line="240" w:lineRule="auto"/>
      <w:ind w:left="0" w:firstLine="0"/>
      <w:contextualSpacing w:val="0"/>
    </w:pPr>
    <w:rPr>
      <w:rFonts w:cs="Arial"/>
      <w:sz w:val="22"/>
      <w:szCs w:val="22"/>
    </w:rPr>
  </w:style>
  <w:style w:type="paragraph" w:customStyle="1" w:styleId="CEOBrief-Paragraph2">
    <w:name w:val="CEO Brief - Paragraph 2"/>
    <w:basedOn w:val="CEOBrief-Paragraph1"/>
    <w:rsid w:val="005E48BA"/>
    <w:pPr>
      <w:numPr>
        <w:ilvl w:val="2"/>
      </w:numPr>
      <w:tabs>
        <w:tab w:val="num" w:pos="360"/>
        <w:tab w:val="num" w:pos="1080"/>
      </w:tabs>
      <w:ind w:left="0" w:firstLine="0"/>
    </w:pPr>
  </w:style>
  <w:style w:type="paragraph" w:customStyle="1" w:styleId="Indentedbodytext">
    <w:name w:val="Indented body text"/>
    <w:basedOn w:val="Normal"/>
    <w:link w:val="IndentedbodytextChar"/>
    <w:rsid w:val="005C6008"/>
    <w:pPr>
      <w:spacing w:before="120" w:line="288" w:lineRule="auto"/>
      <w:ind w:left="680"/>
    </w:pPr>
    <w:rPr>
      <w:rFonts w:eastAsia="Times New Roman"/>
      <w:noProof/>
      <w:lang w:eastAsia="en-AU"/>
    </w:rPr>
  </w:style>
  <w:style w:type="paragraph" w:customStyle="1" w:styleId="steps">
    <w:name w:val="steps"/>
    <w:basedOn w:val="Normal"/>
    <w:rsid w:val="005C6008"/>
    <w:pPr>
      <w:numPr>
        <w:numId w:val="102"/>
      </w:numPr>
      <w:spacing w:before="120"/>
      <w:ind w:left="0" w:firstLine="0"/>
    </w:pPr>
    <w:rPr>
      <w:rFonts w:eastAsia="Calibri"/>
      <w:szCs w:val="22"/>
    </w:rPr>
  </w:style>
  <w:style w:type="paragraph" w:customStyle="1" w:styleId="Steps0">
    <w:name w:val="Steps"/>
    <w:basedOn w:val="ListParagraph"/>
    <w:rsid w:val="005C6008"/>
    <w:pPr>
      <w:numPr>
        <w:numId w:val="103"/>
      </w:numPr>
      <w:spacing w:before="120" w:line="288" w:lineRule="auto"/>
      <w:ind w:left="0" w:firstLine="0"/>
      <w:contextualSpacing w:val="0"/>
    </w:pPr>
    <w:rPr>
      <w:rFonts w:eastAsia="Times New Roman"/>
      <w:szCs w:val="22"/>
    </w:rPr>
  </w:style>
  <w:style w:type="paragraph" w:customStyle="1" w:styleId="StrongBlack1">
    <w:name w:val="StrongBlack1"/>
    <w:basedOn w:val="Normal"/>
    <w:next w:val="BodyTextIndent"/>
    <w:link w:val="BodyTextIndentChar"/>
    <w:uiPriority w:val="99"/>
    <w:unhideWhenUsed/>
    <w:rsid w:val="005C6008"/>
    <w:pPr>
      <w:spacing w:before="120" w:line="288" w:lineRule="auto"/>
    </w:pPr>
    <w:rPr>
      <w:b/>
    </w:rPr>
  </w:style>
  <w:style w:type="character" w:customStyle="1" w:styleId="BodyTextIndentChar">
    <w:name w:val="Body Text Indent Char"/>
    <w:aliases w:val="StrongBlack Char"/>
    <w:basedOn w:val="DefaultParagraphFont"/>
    <w:link w:val="StrongBlack1"/>
    <w:uiPriority w:val="99"/>
    <w:rsid w:val="005C6008"/>
    <w:rPr>
      <w:b/>
    </w:rPr>
  </w:style>
  <w:style w:type="paragraph" w:styleId="NormalIndent">
    <w:name w:val="Normal Indent"/>
    <w:basedOn w:val="Indentedbodytext"/>
    <w:link w:val="NormalIndentChar"/>
    <w:uiPriority w:val="99"/>
    <w:unhideWhenUsed/>
    <w:rsid w:val="005C6008"/>
  </w:style>
  <w:style w:type="paragraph" w:customStyle="1" w:styleId="Subbullet">
    <w:name w:val="Sub bullet"/>
    <w:basedOn w:val="ListBullet"/>
    <w:link w:val="SubbulletChar"/>
    <w:rsid w:val="005C6008"/>
    <w:pPr>
      <w:numPr>
        <w:numId w:val="104"/>
      </w:numPr>
      <w:spacing w:before="60" w:after="60" w:line="276" w:lineRule="auto"/>
      <w:ind w:left="0" w:firstLine="0"/>
      <w:contextualSpacing w:val="0"/>
    </w:pPr>
    <w:rPr>
      <w:rFonts w:eastAsia="Calibri"/>
      <w:szCs w:val="22"/>
      <w:shd w:val="clear" w:color="auto" w:fill="auto"/>
      <w:lang w:eastAsia="en-AU"/>
    </w:rPr>
  </w:style>
  <w:style w:type="character" w:customStyle="1" w:styleId="ListBulletChar">
    <w:name w:val="List Bullet Char"/>
    <w:basedOn w:val="DefaultParagraphFont"/>
    <w:link w:val="ListBullet"/>
    <w:uiPriority w:val="99"/>
    <w:rsid w:val="005C6008"/>
    <w:rPr>
      <w:rFonts w:cs="Arial"/>
      <w:spacing w:val="-3"/>
      <w:kern w:val="1"/>
      <w:szCs w:val="20"/>
      <w:lang w:val="en-GB"/>
    </w:rPr>
  </w:style>
  <w:style w:type="character" w:customStyle="1" w:styleId="SubbulletChar">
    <w:name w:val="Sub bullet Char"/>
    <w:basedOn w:val="ListBulletChar"/>
    <w:link w:val="Subbullet"/>
    <w:rsid w:val="005C6008"/>
    <w:rPr>
      <w:rFonts w:eastAsia="Calibri" w:cs="Arial"/>
      <w:spacing w:val="-3"/>
      <w:kern w:val="1"/>
      <w:szCs w:val="22"/>
      <w:lang w:val="en-GB" w:eastAsia="en-AU"/>
    </w:rPr>
  </w:style>
  <w:style w:type="paragraph" w:customStyle="1" w:styleId="1Normal">
    <w:name w:val="1 Normal"/>
    <w:basedOn w:val="Normal"/>
    <w:link w:val="1NormalChar"/>
    <w:rsid w:val="005C6008"/>
    <w:pPr>
      <w:spacing w:before="240" w:after="240" w:line="288" w:lineRule="auto"/>
    </w:pPr>
    <w:rPr>
      <w:rFonts w:eastAsia="Calibri"/>
      <w:szCs w:val="22"/>
    </w:rPr>
  </w:style>
  <w:style w:type="character" w:customStyle="1" w:styleId="1NormalChar">
    <w:name w:val="1 Normal Char"/>
    <w:basedOn w:val="DefaultParagraphFont"/>
    <w:link w:val="1Normal"/>
    <w:rsid w:val="005C6008"/>
    <w:rPr>
      <w:rFonts w:eastAsia="Calibri"/>
      <w:szCs w:val="22"/>
    </w:rPr>
  </w:style>
  <w:style w:type="paragraph" w:customStyle="1" w:styleId="NumbersList1">
    <w:name w:val="Numbers List 1"/>
    <w:basedOn w:val="NormalIndent"/>
    <w:link w:val="NumbersList1Char"/>
    <w:rsid w:val="005C6008"/>
    <w:pPr>
      <w:ind w:left="0"/>
    </w:pPr>
  </w:style>
  <w:style w:type="paragraph" w:customStyle="1" w:styleId="Numberslist2">
    <w:name w:val="Numbers list 2"/>
    <w:basedOn w:val="NormalIndent"/>
    <w:link w:val="Numberslist2Char"/>
    <w:rsid w:val="005C6008"/>
  </w:style>
  <w:style w:type="character" w:customStyle="1" w:styleId="IndentedbodytextChar">
    <w:name w:val="Indented body text Char"/>
    <w:basedOn w:val="DefaultParagraphFont"/>
    <w:link w:val="Indentedbodytext"/>
    <w:rsid w:val="005C6008"/>
    <w:rPr>
      <w:rFonts w:eastAsia="Times New Roman"/>
      <w:noProof/>
      <w:lang w:eastAsia="en-AU"/>
    </w:rPr>
  </w:style>
  <w:style w:type="character" w:customStyle="1" w:styleId="NormalIndentChar">
    <w:name w:val="Normal Indent Char"/>
    <w:basedOn w:val="IndentedbodytextChar"/>
    <w:link w:val="NormalIndent"/>
    <w:uiPriority w:val="99"/>
    <w:rsid w:val="005C6008"/>
    <w:rPr>
      <w:rFonts w:eastAsia="Times New Roman"/>
      <w:noProof/>
      <w:lang w:eastAsia="en-AU"/>
    </w:rPr>
  </w:style>
  <w:style w:type="character" w:customStyle="1" w:styleId="NumbersList1Char">
    <w:name w:val="Numbers List 1 Char"/>
    <w:basedOn w:val="NormalIndentChar"/>
    <w:link w:val="NumbersList1"/>
    <w:rsid w:val="005C6008"/>
    <w:rPr>
      <w:rFonts w:eastAsia="Times New Roman"/>
      <w:noProof/>
      <w:lang w:eastAsia="en-AU"/>
    </w:rPr>
  </w:style>
  <w:style w:type="character" w:customStyle="1" w:styleId="Numberslist2Char">
    <w:name w:val="Numbers list 2 Char"/>
    <w:basedOn w:val="NormalIndentChar"/>
    <w:link w:val="Numberslist2"/>
    <w:rsid w:val="005C6008"/>
    <w:rPr>
      <w:rFonts w:eastAsia="Times New Roman"/>
      <w:noProof/>
      <w:lang w:eastAsia="en-AU"/>
    </w:rPr>
  </w:style>
  <w:style w:type="character" w:customStyle="1" w:styleId="Emphasis1">
    <w:name w:val="Emphasis1"/>
    <w:basedOn w:val="DefaultParagraphFont"/>
    <w:uiPriority w:val="20"/>
    <w:rsid w:val="005C6008"/>
    <w:rPr>
      <w:rFonts w:ascii="Arial" w:hAnsi="Arial"/>
      <w:b/>
      <w:i w:val="0"/>
      <w:iCs/>
      <w:color w:val="000000"/>
      <w:sz w:val="24"/>
    </w:rPr>
  </w:style>
  <w:style w:type="paragraph" w:styleId="BodyTextIndent">
    <w:name w:val="Body Text Indent"/>
    <w:basedOn w:val="Normal"/>
    <w:link w:val="BodyTextIndentChar1"/>
    <w:uiPriority w:val="99"/>
    <w:semiHidden/>
    <w:rsid w:val="005C6008"/>
    <w:pPr>
      <w:ind w:left="283"/>
    </w:pPr>
  </w:style>
  <w:style w:type="character" w:customStyle="1" w:styleId="BodyTextIndentChar1">
    <w:name w:val="Body Text Indent Char1"/>
    <w:basedOn w:val="DefaultParagraphFont"/>
    <w:link w:val="BodyTextIndent"/>
    <w:uiPriority w:val="99"/>
    <w:semiHidden/>
    <w:rsid w:val="005C6008"/>
  </w:style>
  <w:style w:type="character" w:styleId="Emphasis">
    <w:name w:val="Emphasis"/>
    <w:basedOn w:val="DefaultParagraphFont"/>
    <w:uiPriority w:val="99"/>
    <w:rsid w:val="005C6008"/>
    <w:rPr>
      <w:i/>
      <w:iCs/>
    </w:rPr>
  </w:style>
  <w:style w:type="paragraph" w:customStyle="1" w:styleId="Fiancialbullet">
    <w:name w:val="Fiancial bullet"/>
    <w:basedOn w:val="Bullet1"/>
    <w:link w:val="FiancialbulletChar"/>
    <w:qFormat/>
    <w:rsid w:val="00922C13"/>
    <w:pPr>
      <w:numPr>
        <w:numId w:val="105"/>
      </w:numPr>
      <w:spacing w:before="160" w:after="160" w:line="288" w:lineRule="auto"/>
      <w:ind w:left="714" w:hanging="357"/>
    </w:pPr>
    <w:rPr>
      <w:sz w:val="18"/>
      <w:szCs w:val="18"/>
    </w:rPr>
  </w:style>
  <w:style w:type="character" w:customStyle="1" w:styleId="Bullet1Char">
    <w:name w:val="Bullet 1 Char"/>
    <w:basedOn w:val="DefaultParagraphFont"/>
    <w:link w:val="Bullet1"/>
    <w:uiPriority w:val="1"/>
    <w:rsid w:val="005C6008"/>
    <w:rPr>
      <w:lang w:eastAsia="en-GB"/>
    </w:rPr>
  </w:style>
  <w:style w:type="character" w:customStyle="1" w:styleId="FiancialbulletChar">
    <w:name w:val="Fiancial bullet Char"/>
    <w:basedOn w:val="Bullet1Char"/>
    <w:link w:val="Fiancialbullet"/>
    <w:rsid w:val="00922C13"/>
    <w:rPr>
      <w:sz w:val="18"/>
      <w:szCs w:val="18"/>
      <w:lang w:eastAsia="en-GB"/>
    </w:rPr>
  </w:style>
  <w:style w:type="table" w:customStyle="1" w:styleId="NDISTable11">
    <w:name w:val="NDIS Table 11"/>
    <w:basedOn w:val="TableNormal"/>
    <w:uiPriority w:val="99"/>
    <w:rsid w:val="00342148"/>
    <w:tblPr>
      <w:tblStyleRowBandSize w:val="1"/>
      <w:tblInd w:w="0" w:type="nil"/>
      <w:tblBorders>
        <w:top w:val="single" w:sz="4" w:space="0" w:color="742379"/>
        <w:left w:val="single" w:sz="4" w:space="0" w:color="742379"/>
        <w:bottom w:val="single" w:sz="4" w:space="0" w:color="742379"/>
        <w:right w:val="single" w:sz="4" w:space="0" w:color="742379"/>
        <w:insideH w:val="single" w:sz="4" w:space="0" w:color="742379"/>
        <w:insideV w:val="single" w:sz="4" w:space="0" w:color="742379"/>
      </w:tblBorders>
    </w:tblPr>
    <w:tblStylePr w:type="firstRow">
      <w:rPr>
        <w:rFonts w:ascii="Arial" w:hAnsi="Arial" w:cs="Arial" w:hint="default"/>
        <w:b/>
        <w:color w:val="F9F9F9"/>
        <w:sz w:val="24"/>
        <w:szCs w:val="24"/>
      </w:rPr>
      <w:tblPr/>
      <w:tcPr>
        <w:tcBorders>
          <w:top w:val="single" w:sz="4" w:space="0" w:color="742379"/>
          <w:left w:val="single" w:sz="4" w:space="0" w:color="742379"/>
          <w:bottom w:val="nil"/>
          <w:right w:val="single" w:sz="4" w:space="0" w:color="742379"/>
          <w:insideV w:val="single" w:sz="4" w:space="0" w:color="F9F9F9"/>
        </w:tcBorders>
        <w:shd w:val="clear" w:color="auto" w:fill="742379"/>
      </w:tcPr>
    </w:tblStylePr>
    <w:tblStylePr w:type="firstCol">
      <w:rPr>
        <w:b w:val="0"/>
        <w:color w:val="auto"/>
      </w:r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7EEF7"/>
      </w:tcPr>
    </w:tblStylePr>
    <w:tblStylePr w:type="band2Horz">
      <w:tblPr/>
      <w:tcPr>
        <w:tcBorders>
          <w:insideV w:val="single" w:sz="4" w:space="0" w:color="auto"/>
        </w:tcBorders>
      </w:tcPr>
    </w:tblStylePr>
  </w:style>
  <w:style w:type="table" w:customStyle="1" w:styleId="NDISTable12">
    <w:name w:val="NDIS Table 12"/>
    <w:basedOn w:val="TableNormal"/>
    <w:uiPriority w:val="99"/>
    <w:rsid w:val="00776D0D"/>
    <w:tblPr>
      <w:tblStyleRowBandSize w:val="1"/>
      <w:tblBorders>
        <w:top w:val="single" w:sz="4" w:space="0" w:color="6B2976" w:themeColor="text1"/>
        <w:left w:val="single" w:sz="4" w:space="0" w:color="6B2976" w:themeColor="text1"/>
        <w:bottom w:val="single" w:sz="4" w:space="0" w:color="6B2976" w:themeColor="text1"/>
        <w:right w:val="single" w:sz="4" w:space="0" w:color="6B2976" w:themeColor="text1"/>
        <w:insideH w:val="single" w:sz="4" w:space="0" w:color="6B2976" w:themeColor="text1"/>
        <w:insideV w:val="single" w:sz="4" w:space="0" w:color="6B2976" w:themeColor="text1"/>
      </w:tblBorders>
    </w:tblPr>
    <w:tblStylePr w:type="firstRow">
      <w:rPr>
        <w:rFonts w:ascii="Arial" w:hAnsi="Arial"/>
        <w:b/>
        <w:color w:val="F9F9F9" w:themeColor="background1"/>
        <w:sz w:val="24"/>
      </w:rPr>
      <w:tblPr/>
      <w:trPr>
        <w:cantSplit/>
        <w:tblHeader/>
      </w:trPr>
      <w:tcPr>
        <w:tcBorders>
          <w:top w:val="single" w:sz="4" w:space="0" w:color="6B2976" w:themeColor="text1"/>
          <w:left w:val="single" w:sz="4" w:space="0" w:color="6B2976" w:themeColor="text1"/>
          <w:bottom w:val="nil"/>
          <w:right w:val="single" w:sz="4" w:space="0" w:color="6B2976" w:themeColor="text1"/>
          <w:insideV w:val="single" w:sz="4" w:space="0" w:color="F9F9F9" w:themeColor="background1"/>
        </w:tcBorders>
        <w:shd w:val="clear" w:color="auto" w:fill="6B2976" w:themeFill="text1"/>
      </w:tcPr>
    </w:tblStylePr>
    <w:tblStylePr w:type="firstCol">
      <w:rPr>
        <w:b w:val="0"/>
        <w:color w:val="auto"/>
      </w:r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7EEF7"/>
      </w:tcPr>
    </w:tblStylePr>
    <w:tblStylePr w:type="band2Horz">
      <w:tblPr/>
      <w:tcPr>
        <w:tcBorders>
          <w:insideV w:val="single" w:sz="4" w:space="0" w:color="auto"/>
        </w:tcBorders>
      </w:tcPr>
    </w:tblStylePr>
  </w:style>
  <w:style w:type="table" w:customStyle="1" w:styleId="NDISTable13">
    <w:name w:val="NDIS Table 13"/>
    <w:basedOn w:val="TableNormal"/>
    <w:uiPriority w:val="99"/>
    <w:rsid w:val="002677D6"/>
    <w:tblPr>
      <w:tblStyleRowBandSize w:val="1"/>
      <w:tblBorders>
        <w:top w:val="single" w:sz="4" w:space="0" w:color="6B2976" w:themeColor="text1"/>
        <w:left w:val="single" w:sz="4" w:space="0" w:color="6B2976" w:themeColor="text1"/>
        <w:bottom w:val="single" w:sz="4" w:space="0" w:color="6B2976" w:themeColor="text1"/>
        <w:right w:val="single" w:sz="4" w:space="0" w:color="6B2976" w:themeColor="text1"/>
        <w:insideH w:val="single" w:sz="4" w:space="0" w:color="6B2976" w:themeColor="text1"/>
        <w:insideV w:val="single" w:sz="4" w:space="0" w:color="6B2976" w:themeColor="text1"/>
      </w:tblBorders>
    </w:tblPr>
    <w:tblStylePr w:type="firstRow">
      <w:rPr>
        <w:rFonts w:ascii="Arial" w:hAnsi="Arial"/>
        <w:b/>
        <w:color w:val="F9F9F9" w:themeColor="background1"/>
        <w:sz w:val="24"/>
      </w:rPr>
      <w:tblPr/>
      <w:trPr>
        <w:cantSplit/>
        <w:tblHeader/>
      </w:trPr>
      <w:tcPr>
        <w:tcBorders>
          <w:top w:val="single" w:sz="4" w:space="0" w:color="6B2976" w:themeColor="text1"/>
          <w:left w:val="single" w:sz="4" w:space="0" w:color="6B2976" w:themeColor="text1"/>
          <w:bottom w:val="nil"/>
          <w:right w:val="single" w:sz="4" w:space="0" w:color="6B2976" w:themeColor="text1"/>
          <w:insideV w:val="single" w:sz="4" w:space="0" w:color="F9F9F9" w:themeColor="background1"/>
        </w:tcBorders>
        <w:shd w:val="clear" w:color="auto" w:fill="6B2976" w:themeFill="text1"/>
      </w:tcPr>
    </w:tblStylePr>
    <w:tblStylePr w:type="firstCol">
      <w:rPr>
        <w:b w:val="0"/>
        <w:color w:val="auto"/>
      </w:r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7EEF7"/>
      </w:tcPr>
    </w:tblStylePr>
    <w:tblStylePr w:type="band2Horz">
      <w:tblPr/>
      <w:tcPr>
        <w:tcBorders>
          <w:insideV w:val="single" w:sz="4" w:space="0" w:color="auto"/>
        </w:tcBorders>
      </w:tcPr>
    </w:tblStylePr>
  </w:style>
  <w:style w:type="table" w:customStyle="1" w:styleId="NDISTable14">
    <w:name w:val="NDIS Table 14"/>
    <w:basedOn w:val="TableNormal"/>
    <w:uiPriority w:val="99"/>
    <w:rsid w:val="001411F5"/>
    <w:tblPr>
      <w:tblStyleRowBandSize w:val="1"/>
      <w:tblBorders>
        <w:top w:val="single" w:sz="4" w:space="0" w:color="6B2976" w:themeColor="text1"/>
        <w:left w:val="single" w:sz="4" w:space="0" w:color="6B2976" w:themeColor="text1"/>
        <w:bottom w:val="single" w:sz="4" w:space="0" w:color="6B2976" w:themeColor="text1"/>
        <w:right w:val="single" w:sz="4" w:space="0" w:color="6B2976" w:themeColor="text1"/>
        <w:insideH w:val="single" w:sz="4" w:space="0" w:color="6B2976" w:themeColor="text1"/>
        <w:insideV w:val="single" w:sz="4" w:space="0" w:color="6B2976" w:themeColor="text1"/>
      </w:tblBorders>
    </w:tblPr>
    <w:tblStylePr w:type="firstRow">
      <w:rPr>
        <w:rFonts w:ascii="Arial" w:hAnsi="Arial"/>
        <w:b/>
        <w:color w:val="F9F9F9" w:themeColor="background1"/>
        <w:sz w:val="24"/>
      </w:rPr>
      <w:tblPr/>
      <w:trPr>
        <w:cantSplit/>
        <w:tblHeader/>
      </w:trPr>
      <w:tcPr>
        <w:tcBorders>
          <w:top w:val="single" w:sz="4" w:space="0" w:color="6B2976" w:themeColor="text1"/>
          <w:left w:val="single" w:sz="4" w:space="0" w:color="6B2976" w:themeColor="text1"/>
          <w:bottom w:val="nil"/>
          <w:right w:val="single" w:sz="4" w:space="0" w:color="6B2976" w:themeColor="text1"/>
          <w:insideV w:val="single" w:sz="4" w:space="0" w:color="F9F9F9" w:themeColor="background1"/>
        </w:tcBorders>
        <w:shd w:val="clear" w:color="auto" w:fill="6B2976" w:themeFill="text1"/>
      </w:tcPr>
    </w:tblStylePr>
    <w:tblStylePr w:type="firstCol">
      <w:rPr>
        <w:b w:val="0"/>
        <w:color w:val="auto"/>
      </w:r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7EEF7"/>
      </w:tcPr>
    </w:tblStylePr>
    <w:tblStylePr w:type="band2Horz">
      <w:tblPr/>
      <w:tcPr>
        <w:tcBorders>
          <w:insideV w:val="single" w:sz="4" w:space="0" w:color="auto"/>
        </w:tcBorders>
      </w:tcPr>
    </w:tblStylePr>
  </w:style>
  <w:style w:type="table" w:customStyle="1" w:styleId="NDISTable15">
    <w:name w:val="NDIS Table 15"/>
    <w:basedOn w:val="TableNormal"/>
    <w:uiPriority w:val="99"/>
    <w:rsid w:val="001F05FB"/>
    <w:tblPr>
      <w:tblStyleRowBandSize w:val="1"/>
      <w:tblBorders>
        <w:top w:val="single" w:sz="4" w:space="0" w:color="6B2976" w:themeColor="text1"/>
        <w:left w:val="single" w:sz="4" w:space="0" w:color="6B2976" w:themeColor="text1"/>
        <w:bottom w:val="single" w:sz="4" w:space="0" w:color="6B2976" w:themeColor="text1"/>
        <w:right w:val="single" w:sz="4" w:space="0" w:color="6B2976" w:themeColor="text1"/>
        <w:insideH w:val="single" w:sz="4" w:space="0" w:color="6B2976" w:themeColor="text1"/>
        <w:insideV w:val="single" w:sz="4" w:space="0" w:color="6B2976" w:themeColor="text1"/>
      </w:tblBorders>
    </w:tblPr>
    <w:tblStylePr w:type="firstRow">
      <w:rPr>
        <w:rFonts w:ascii="Arial" w:hAnsi="Arial"/>
        <w:b/>
        <w:color w:val="F9F9F9" w:themeColor="background1"/>
        <w:sz w:val="24"/>
      </w:rPr>
      <w:tblPr/>
      <w:trPr>
        <w:cantSplit/>
        <w:tblHeader/>
      </w:trPr>
      <w:tcPr>
        <w:tcBorders>
          <w:top w:val="single" w:sz="4" w:space="0" w:color="6B2976" w:themeColor="text1"/>
          <w:left w:val="single" w:sz="4" w:space="0" w:color="6B2976" w:themeColor="text1"/>
          <w:bottom w:val="nil"/>
          <w:right w:val="single" w:sz="4" w:space="0" w:color="6B2976" w:themeColor="text1"/>
          <w:insideV w:val="single" w:sz="4" w:space="0" w:color="F9F9F9" w:themeColor="background1"/>
        </w:tcBorders>
        <w:shd w:val="clear" w:color="auto" w:fill="6B2976" w:themeFill="text1"/>
      </w:tcPr>
    </w:tblStylePr>
    <w:tblStylePr w:type="firstCol">
      <w:rPr>
        <w:b w:val="0"/>
        <w:color w:val="auto"/>
      </w:r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7EEF7"/>
      </w:tcPr>
    </w:tblStylePr>
    <w:tblStylePr w:type="band2Horz">
      <w:tblPr/>
      <w:tcPr>
        <w:tcBorders>
          <w:insideV w:val="single" w:sz="4" w:space="0" w:color="auto"/>
        </w:tcBorders>
      </w:tcPr>
    </w:tblStylePr>
  </w:style>
  <w:style w:type="table" w:customStyle="1" w:styleId="NDISTable16">
    <w:name w:val="NDIS Table 16"/>
    <w:basedOn w:val="TableNormal"/>
    <w:uiPriority w:val="99"/>
    <w:rsid w:val="00E15C44"/>
    <w:tblPr>
      <w:tblStyleRowBandSize w:val="1"/>
      <w:tblBorders>
        <w:top w:val="single" w:sz="4" w:space="0" w:color="6B2976" w:themeColor="text1"/>
        <w:left w:val="single" w:sz="4" w:space="0" w:color="6B2976" w:themeColor="text1"/>
        <w:bottom w:val="single" w:sz="4" w:space="0" w:color="6B2976" w:themeColor="text1"/>
        <w:right w:val="single" w:sz="4" w:space="0" w:color="6B2976" w:themeColor="text1"/>
        <w:insideH w:val="single" w:sz="4" w:space="0" w:color="6B2976" w:themeColor="text1"/>
        <w:insideV w:val="single" w:sz="4" w:space="0" w:color="6B2976" w:themeColor="text1"/>
      </w:tblBorders>
    </w:tblPr>
    <w:tblStylePr w:type="firstRow">
      <w:rPr>
        <w:rFonts w:ascii="Arial" w:hAnsi="Arial"/>
        <w:b/>
        <w:color w:val="F9F9F9" w:themeColor="background1"/>
        <w:sz w:val="24"/>
      </w:rPr>
      <w:tblPr/>
      <w:trPr>
        <w:cantSplit/>
        <w:tblHeader/>
      </w:trPr>
      <w:tcPr>
        <w:tcBorders>
          <w:top w:val="single" w:sz="4" w:space="0" w:color="6B2976" w:themeColor="text1"/>
          <w:left w:val="single" w:sz="4" w:space="0" w:color="6B2976" w:themeColor="text1"/>
          <w:bottom w:val="nil"/>
          <w:right w:val="single" w:sz="4" w:space="0" w:color="6B2976" w:themeColor="text1"/>
          <w:insideV w:val="single" w:sz="4" w:space="0" w:color="F9F9F9" w:themeColor="background1"/>
        </w:tcBorders>
        <w:shd w:val="clear" w:color="auto" w:fill="6B2976" w:themeFill="text1"/>
      </w:tcPr>
    </w:tblStylePr>
    <w:tblStylePr w:type="firstCol">
      <w:rPr>
        <w:b w:val="0"/>
        <w:color w:val="auto"/>
      </w:r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7EEF7"/>
      </w:tcPr>
    </w:tblStylePr>
    <w:tblStylePr w:type="band2Horz">
      <w:tblPr/>
      <w:tcPr>
        <w:tcBorders>
          <w:insideV w:val="single" w:sz="4"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dis.gov.au/ndis-laws/integrity-and-safeguarding" TargetMode="External"/><Relationship Id="rId21" Type="http://schemas.openxmlformats.org/officeDocument/2006/relationships/header" Target="header4.xml"/><Relationship Id="rId42" Type="http://schemas.openxmlformats.org/officeDocument/2006/relationships/image" Target="media/image11.png"/><Relationship Id="rId47" Type="http://schemas.openxmlformats.org/officeDocument/2006/relationships/image" Target="media/image16.png"/><Relationship Id="rId63" Type="http://schemas.openxmlformats.org/officeDocument/2006/relationships/image" Target="media/image24.png"/><Relationship Id="rId68" Type="http://schemas.openxmlformats.org/officeDocument/2006/relationships/header" Target="header14.xml"/><Relationship Id="rId84" Type="http://schemas.openxmlformats.org/officeDocument/2006/relationships/header" Target="header19.xml"/><Relationship Id="rId16" Type="http://schemas.openxmlformats.org/officeDocument/2006/relationships/image" Target="media/image3.jpeg"/><Relationship Id="rId11" Type="http://schemas.openxmlformats.org/officeDocument/2006/relationships/header" Target="header1.xml"/><Relationship Id="rId32" Type="http://schemas.openxmlformats.org/officeDocument/2006/relationships/header" Target="header6.xml"/><Relationship Id="rId37" Type="http://schemas.openxmlformats.org/officeDocument/2006/relationships/header" Target="header8.xml"/><Relationship Id="rId53" Type="http://schemas.openxmlformats.org/officeDocument/2006/relationships/image" Target="media/image21.jpeg"/><Relationship Id="rId58" Type="http://schemas.openxmlformats.org/officeDocument/2006/relationships/footer" Target="footer8.xml"/><Relationship Id="rId74" Type="http://schemas.openxmlformats.org/officeDocument/2006/relationships/header" Target="header17.xml"/><Relationship Id="rId79" Type="http://schemas.openxmlformats.org/officeDocument/2006/relationships/hyperlink" Target="https://en.wikipedia.org/wiki/Administrative_Review_Tribunal" TargetMode="External"/><Relationship Id="rId5" Type="http://schemas.openxmlformats.org/officeDocument/2006/relationships/numbering" Target="numbering.xml"/><Relationship Id="rId19" Type="http://schemas.openxmlformats.org/officeDocument/2006/relationships/header" Target="header3.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image" Target="media/image7.png"/><Relationship Id="rId30" Type="http://schemas.openxmlformats.org/officeDocument/2006/relationships/header" Target="header5.xml"/><Relationship Id="rId35" Type="http://schemas.openxmlformats.org/officeDocument/2006/relationships/image" Target="media/image9.emf"/><Relationship Id="rId43" Type="http://schemas.openxmlformats.org/officeDocument/2006/relationships/image" Target="media/image12.png"/><Relationship Id="rId48" Type="http://schemas.microsoft.com/office/2007/relationships/hdphoto" Target="media/hdphoto3.wdp"/><Relationship Id="rId56" Type="http://schemas.openxmlformats.org/officeDocument/2006/relationships/hyperlink" Target="https://www.ndis.gov.au/about-us/about-ndia/ndia-board/board-national-disability-insurance-agency" TargetMode="External"/><Relationship Id="rId64" Type="http://schemas.openxmlformats.org/officeDocument/2006/relationships/image" Target="media/image25.png"/><Relationship Id="rId69" Type="http://schemas.openxmlformats.org/officeDocument/2006/relationships/footer" Target="footer10.xml"/><Relationship Id="rId77" Type="http://schemas.openxmlformats.org/officeDocument/2006/relationships/footer" Target="footer14.xml"/><Relationship Id="rId8" Type="http://schemas.openxmlformats.org/officeDocument/2006/relationships/webSettings" Target="webSettings.xml"/><Relationship Id="rId51" Type="http://schemas.openxmlformats.org/officeDocument/2006/relationships/image" Target="media/image19.jpeg"/><Relationship Id="rId72" Type="http://schemas.openxmlformats.org/officeDocument/2006/relationships/header" Target="header16.xml"/><Relationship Id="rId80" Type="http://schemas.openxmlformats.org/officeDocument/2006/relationships/hyperlink" Target="https://www.legislation.gov.au/C2024A00040/latest/text" TargetMode="External"/><Relationship Id="rId85" Type="http://schemas.openxmlformats.org/officeDocument/2006/relationships/footer" Target="footer15.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6.jpeg"/><Relationship Id="rId33" Type="http://schemas.openxmlformats.org/officeDocument/2006/relationships/footer" Target="footer6.xml"/><Relationship Id="rId38" Type="http://schemas.openxmlformats.org/officeDocument/2006/relationships/footer" Target="footer7.xml"/><Relationship Id="rId46" Type="http://schemas.openxmlformats.org/officeDocument/2006/relationships/image" Target="media/image15.png"/><Relationship Id="rId59" Type="http://schemas.openxmlformats.org/officeDocument/2006/relationships/header" Target="header11.xml"/><Relationship Id="rId67" Type="http://schemas.openxmlformats.org/officeDocument/2006/relationships/image" Target="media/image28.png"/><Relationship Id="rId20" Type="http://schemas.openxmlformats.org/officeDocument/2006/relationships/footer" Target="footer3.xml"/><Relationship Id="rId41" Type="http://schemas.openxmlformats.org/officeDocument/2006/relationships/hyperlink" Target="https://aus01.safelinks.protection.outlook.com/?url=https%3A%2F%2Fwww.health.gov.au%2Fresources%2Fcollections%2Fdisability-reform-ministerial-council-communiques%3Flanguage%3Den&amp;data=05%7C02%7CAnnika.Stollery%40ndis.gov.au%7C8dadf34534af494b9a0e08ded1c66299%7Ccd778b65752d454a87cfb9990fe58993%7C0%7C0%7C639178848120958550%7CUnknown%7CTWFpbGZsb3d8eyJFbXB0eU1hcGkiOnRydWUsIlYiOiIwLjAuMDAwMCIsIlAiOiJXaW4zMiIsIkFOIjoiTWFpbCIsIldUIjoyfQ%3D%3D%7C0%7C%7C%7C&amp;sdata=0zRbQTZyRNJwBf9QAGnawppYIexdCFBZYMQZqCBWKQU%3D&amp;reserved=0" TargetMode="External"/><Relationship Id="rId54" Type="http://schemas.openxmlformats.org/officeDocument/2006/relationships/image" Target="media/image22.jpeg"/><Relationship Id="rId62" Type="http://schemas.openxmlformats.org/officeDocument/2006/relationships/header" Target="header13.xml"/><Relationship Id="rId70" Type="http://schemas.openxmlformats.org/officeDocument/2006/relationships/header" Target="header15.xml"/><Relationship Id="rId75" Type="http://schemas.openxmlformats.org/officeDocument/2006/relationships/footer" Target="footer13.xml"/><Relationship Id="rId83" Type="http://schemas.openxmlformats.org/officeDocument/2006/relationships/hyperlink" Target="https://disability.royalcommission.gov.au/"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www.ndis.gov.au/about-us/about-ndia/our-values" TargetMode="External"/><Relationship Id="rId28" Type="http://schemas.microsoft.com/office/2007/relationships/hdphoto" Target="media/hdphoto2.wdp"/><Relationship Id="rId36" Type="http://schemas.openxmlformats.org/officeDocument/2006/relationships/header" Target="header7.xml"/><Relationship Id="rId49" Type="http://schemas.openxmlformats.org/officeDocument/2006/relationships/image" Target="media/image17.png"/><Relationship Id="rId57" Type="http://schemas.openxmlformats.org/officeDocument/2006/relationships/header" Target="header10.xml"/><Relationship Id="rId10" Type="http://schemas.openxmlformats.org/officeDocument/2006/relationships/endnotes" Target="endnotes.xml"/><Relationship Id="rId31" Type="http://schemas.openxmlformats.org/officeDocument/2006/relationships/footer" Target="footer5.xml"/><Relationship Id="rId44" Type="http://schemas.openxmlformats.org/officeDocument/2006/relationships/image" Target="media/image13.jpeg"/><Relationship Id="rId52" Type="http://schemas.openxmlformats.org/officeDocument/2006/relationships/image" Target="media/image20.jpeg"/><Relationship Id="rId60" Type="http://schemas.openxmlformats.org/officeDocument/2006/relationships/header" Target="header12.xml"/><Relationship Id="rId65" Type="http://schemas.openxmlformats.org/officeDocument/2006/relationships/image" Target="media/image26.png"/><Relationship Id="rId73" Type="http://schemas.openxmlformats.org/officeDocument/2006/relationships/footer" Target="footer12.xml"/><Relationship Id="rId78" Type="http://schemas.openxmlformats.org/officeDocument/2006/relationships/hyperlink" Target="https://www.transparency.gov.au/portfolio-entities-companies/social-services/national-disability-insurance-agency" TargetMode="External"/><Relationship Id="rId81" Type="http://schemas.openxmlformats.org/officeDocument/2006/relationships/hyperlink" Target="https://www.ndis.gov.au/ndis-laws/securing-ndis-future-generations" TargetMode="External"/><Relationship Id="rId86" Type="http://schemas.openxmlformats.org/officeDocument/2006/relationships/image" Target="media/image29.e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microsoft.com/office/2007/relationships/hdphoto" Target="media/hdphoto1.wdp"/><Relationship Id="rId39" Type="http://schemas.openxmlformats.org/officeDocument/2006/relationships/header" Target="header9.xml"/><Relationship Id="rId34" Type="http://schemas.openxmlformats.org/officeDocument/2006/relationships/image" Target="media/image8.emf"/><Relationship Id="rId50" Type="http://schemas.openxmlformats.org/officeDocument/2006/relationships/image" Target="media/image18.png"/><Relationship Id="rId55" Type="http://schemas.openxmlformats.org/officeDocument/2006/relationships/image" Target="media/image23.jpeg"/><Relationship Id="rId76" Type="http://schemas.openxmlformats.org/officeDocument/2006/relationships/header" Target="header18.xml"/><Relationship Id="rId7" Type="http://schemas.openxmlformats.org/officeDocument/2006/relationships/settings" Target="settings.xml"/><Relationship Id="rId71" Type="http://schemas.openxmlformats.org/officeDocument/2006/relationships/footer" Target="footer11.xml"/><Relationship Id="rId2" Type="http://schemas.openxmlformats.org/officeDocument/2006/relationships/customXml" Target="../customXml/item2.xml"/><Relationship Id="rId29" Type="http://schemas.openxmlformats.org/officeDocument/2006/relationships/hyperlink" Target="https://aus01.safelinks.protection.outlook.com/?url=https%3A%2F%2Fwww.health.gov.au%2Four-work%2Fthriving-kids%3Flanguage%3Den&amp;data=05%7C02%7CJaimee.Wilkens2%40ndis.gov.au%7Cff6770f5314045fcba2f08df242a5389%7Ccd778b65752d454a87cfb9990fe58993%7C0%7C0%7C639269436363035696%7CUnknown%7CTWFpbGZsb3d8eyJFbXB0eU1hcGkiOnRydWUsIlYiOiIwLjAuMDAwMCIsIlAiOiJXaW4zMiIsIkFOIjoiTWFpbCIsIldUIjoyfQ%3D%3D%7C0%7C%7C%7C&amp;sdata=v0%2BwfwCCERKmujX77BpYsWVuGikRSCjNarOw38uvnIg%3D&amp;reserved=0" TargetMode="External"/><Relationship Id="rId24" Type="http://schemas.openxmlformats.org/officeDocument/2006/relationships/image" Target="media/image5.png"/><Relationship Id="rId40" Type="http://schemas.openxmlformats.org/officeDocument/2006/relationships/image" Target="media/image10.png"/><Relationship Id="rId45" Type="http://schemas.openxmlformats.org/officeDocument/2006/relationships/image" Target="media/image14.jpeg"/><Relationship Id="rId66" Type="http://schemas.openxmlformats.org/officeDocument/2006/relationships/image" Target="media/image27.png"/><Relationship Id="rId87" Type="http://schemas.openxmlformats.org/officeDocument/2006/relationships/fontTable" Target="fontTable.xml"/><Relationship Id="rId61" Type="http://schemas.openxmlformats.org/officeDocument/2006/relationships/footer" Target="footer9.xml"/><Relationship Id="rId82" Type="http://schemas.openxmlformats.org/officeDocument/2006/relationships/hyperlink" Target="https://www.ndisreview.gov.a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health.gov.au/our-work/ndis-legislation-changes/amendments/ndis-amendment-securing-the-ndis-for-future-generations-bill-2026" TargetMode="External"/><Relationship Id="rId1" Type="http://schemas.openxmlformats.org/officeDocument/2006/relationships/hyperlink" Target="https://dataresearch.ndis.gov.au/reports-and-analyses/previous-annual-financial-sustainability-repor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
      <a:dk1>
        <a:srgbClr val="6B2976"/>
      </a:dk1>
      <a:lt1>
        <a:srgbClr val="F9F9F9"/>
      </a:lt1>
      <a:dk2>
        <a:srgbClr val="6B2976"/>
      </a:dk2>
      <a:lt2>
        <a:srgbClr val="F9FAF9"/>
      </a:lt2>
      <a:accent1>
        <a:srgbClr val="76C813"/>
      </a:accent1>
      <a:accent2>
        <a:srgbClr val="00A0AF"/>
      </a:accent2>
      <a:accent3>
        <a:srgbClr val="C5286D"/>
      </a:accent3>
      <a:accent4>
        <a:srgbClr val="FAA31A"/>
      </a:accent4>
      <a:accent5>
        <a:srgbClr val="F26322"/>
      </a:accent5>
      <a:accent6>
        <a:srgbClr val="000000"/>
      </a:accent6>
      <a:hlink>
        <a:srgbClr val="6A2875"/>
      </a:hlink>
      <a:folHlink>
        <a:srgbClr val="6A2875"/>
      </a:folHlink>
    </a:clrScheme>
    <a:fontScheme name="NDI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71F9CCC9AAC34393A63A54582B6CC5" ma:contentTypeVersion="12" ma:contentTypeDescription="Create a new document." ma:contentTypeScope="" ma:versionID="040005dd2fa998b7a61a3b781d6f264f">
  <xsd:schema xmlns:xsd="http://www.w3.org/2001/XMLSchema" xmlns:xs="http://www.w3.org/2001/XMLSchema" xmlns:p="http://schemas.microsoft.com/office/2006/metadata/properties" xmlns:ns2="aa1b9e6f-ae55-42d8-ad9f-86b1d1748475" xmlns:ns3="2335a3f6-49b4-4a34-9c30-8472d05a9f4e" targetNamespace="http://schemas.microsoft.com/office/2006/metadata/properties" ma:root="true" ma:fieldsID="8c0e0b345c9a3f4370df4c541e80f413" ns2:_="" ns3:_="">
    <xsd:import namespace="aa1b9e6f-ae55-42d8-ad9f-86b1d1748475"/>
    <xsd:import namespace="2335a3f6-49b4-4a34-9c30-8472d05a9f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b9e6f-ae55-42d8-ad9f-86b1d17484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35a3f6-49b4-4a34-9c30-8472d05a9f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af6c0fa-c358-4a06-b73e-4d35aa03186e}" ma:internalName="TaxCatchAll" ma:showField="CatchAllData" ma:web="2335a3f6-49b4-4a34-9c30-8472d05a9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1b9e6f-ae55-42d8-ad9f-86b1d1748475">
      <Terms xmlns="http://schemas.microsoft.com/office/infopath/2007/PartnerControls"/>
    </lcf76f155ced4ddcb4097134ff3c332f>
    <TaxCatchAll xmlns="2335a3f6-49b4-4a34-9c30-8472d05a9f4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F4D803-24AD-4143-8D14-62CDE58A86A2}"/>
</file>

<file path=customXml/itemProps2.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customXml/itemProps3.xml><?xml version="1.0" encoding="utf-8"?>
<ds:datastoreItem xmlns:ds="http://schemas.openxmlformats.org/officeDocument/2006/customXml" ds:itemID="{31689B0D-D11F-46D6-8965-1D744A93D2D1}">
  <ds:schemaRefs>
    <ds:schemaRef ds:uri="http://schemas.microsoft.com/office/2006/metadata/properties"/>
    <ds:schemaRef ds:uri="http://schemas.microsoft.com/office/infopath/2007/PartnerControls"/>
    <ds:schemaRef ds:uri="66f30785-3033-406d-ad85-6f15c7f15760"/>
    <ds:schemaRef ds:uri="3b2b40ee-b8fe-4b06-ad44-1258380a093b"/>
  </ds:schemaRefs>
</ds:datastoreItem>
</file>

<file path=customXml/itemProps4.xml><?xml version="1.0" encoding="utf-8"?>
<ds:datastoreItem xmlns:ds="http://schemas.openxmlformats.org/officeDocument/2006/customXml" ds:itemID="{89A69E3B-2E69-4E76-90FF-9674736F98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40775</Words>
  <Characters>232422</Characters>
  <Application>Microsoft Office Word</Application>
  <DocSecurity>0</DocSecurity>
  <Lines>1936</Lines>
  <Paragraphs>545</Paragraphs>
  <ScaleCrop>false</ScaleCrop>
  <HeadingPairs>
    <vt:vector size="2" baseType="variant">
      <vt:variant>
        <vt:lpstr>Title</vt:lpstr>
      </vt:variant>
      <vt:variant>
        <vt:i4>1</vt:i4>
      </vt:variant>
    </vt:vector>
  </HeadingPairs>
  <TitlesOfParts>
    <vt:vector size="1" baseType="lpstr">
      <vt:lpstr/>
    </vt:vector>
  </TitlesOfParts>
  <Company>FaHCSIA</Company>
  <LinksUpToDate>false</LinksUpToDate>
  <CharactersWithSpaces>272652</CharactersWithSpaces>
  <SharedDoc>false</SharedDoc>
  <HLinks>
    <vt:vector size="78" baseType="variant">
      <vt:variant>
        <vt:i4>3014764</vt:i4>
      </vt:variant>
      <vt:variant>
        <vt:i4>237</vt:i4>
      </vt:variant>
      <vt:variant>
        <vt:i4>0</vt:i4>
      </vt:variant>
      <vt:variant>
        <vt:i4>5</vt:i4>
      </vt:variant>
      <vt:variant>
        <vt:lpwstr>https://disability.royalcommission.gov.au/</vt:lpwstr>
      </vt:variant>
      <vt:variant>
        <vt:lpwstr/>
      </vt:variant>
      <vt:variant>
        <vt:i4>8060988</vt:i4>
      </vt:variant>
      <vt:variant>
        <vt:i4>234</vt:i4>
      </vt:variant>
      <vt:variant>
        <vt:i4>0</vt:i4>
      </vt:variant>
      <vt:variant>
        <vt:i4>5</vt:i4>
      </vt:variant>
      <vt:variant>
        <vt:lpwstr>https://www.ndisreview.gov.au/</vt:lpwstr>
      </vt:variant>
      <vt:variant>
        <vt:lpwstr/>
      </vt:variant>
      <vt:variant>
        <vt:i4>6357112</vt:i4>
      </vt:variant>
      <vt:variant>
        <vt:i4>231</vt:i4>
      </vt:variant>
      <vt:variant>
        <vt:i4>0</vt:i4>
      </vt:variant>
      <vt:variant>
        <vt:i4>5</vt:i4>
      </vt:variant>
      <vt:variant>
        <vt:lpwstr>https://www.ndis.gov.au/ndis-laws/securing-ndis-future-generations</vt:lpwstr>
      </vt:variant>
      <vt:variant>
        <vt:lpwstr/>
      </vt:variant>
      <vt:variant>
        <vt:i4>2818103</vt:i4>
      </vt:variant>
      <vt:variant>
        <vt:i4>228</vt:i4>
      </vt:variant>
      <vt:variant>
        <vt:i4>0</vt:i4>
      </vt:variant>
      <vt:variant>
        <vt:i4>5</vt:i4>
      </vt:variant>
      <vt:variant>
        <vt:lpwstr>https://www.legislation.gov.au/C2024A00040/latest/text</vt:lpwstr>
      </vt:variant>
      <vt:variant>
        <vt:lpwstr/>
      </vt:variant>
      <vt:variant>
        <vt:i4>8126520</vt:i4>
      </vt:variant>
      <vt:variant>
        <vt:i4>225</vt:i4>
      </vt:variant>
      <vt:variant>
        <vt:i4>0</vt:i4>
      </vt:variant>
      <vt:variant>
        <vt:i4>5</vt:i4>
      </vt:variant>
      <vt:variant>
        <vt:lpwstr>https://en.wikipedia.org/wiki/Administrative_Review_Tribunal</vt:lpwstr>
      </vt:variant>
      <vt:variant>
        <vt:lpwstr/>
      </vt:variant>
      <vt:variant>
        <vt:i4>5570581</vt:i4>
      </vt:variant>
      <vt:variant>
        <vt:i4>222</vt:i4>
      </vt:variant>
      <vt:variant>
        <vt:i4>0</vt:i4>
      </vt:variant>
      <vt:variant>
        <vt:i4>5</vt:i4>
      </vt:variant>
      <vt:variant>
        <vt:lpwstr>https://www.transparency.gov.au/portfolio-entities-companies/social-services/national-disability-insurance-agency</vt:lpwstr>
      </vt:variant>
      <vt:variant>
        <vt:lpwstr/>
      </vt:variant>
      <vt:variant>
        <vt:i4>5373981</vt:i4>
      </vt:variant>
      <vt:variant>
        <vt:i4>219</vt:i4>
      </vt:variant>
      <vt:variant>
        <vt:i4>0</vt:i4>
      </vt:variant>
      <vt:variant>
        <vt:i4>5</vt:i4>
      </vt:variant>
      <vt:variant>
        <vt:lpwstr>https://www.ndis.gov.au/about-us/about-ndia/ndia-board/board-national-disability-insurance-agency</vt:lpwstr>
      </vt:variant>
      <vt:variant>
        <vt:lpwstr/>
      </vt:variant>
      <vt:variant>
        <vt:i4>8060985</vt:i4>
      </vt:variant>
      <vt:variant>
        <vt:i4>216</vt:i4>
      </vt:variant>
      <vt:variant>
        <vt:i4>0</vt:i4>
      </vt:variant>
      <vt:variant>
        <vt:i4>5</vt:i4>
      </vt:variant>
      <vt:variant>
        <vt:lpwstr>https://aus01.safelinks.protection.outlook.com/?url=https%3A%2F%2Fwww.health.gov.au%2Fresources%2Fcollections%2Fdisability-reform-ministerial-council-communiques%3Flanguage%3Den&amp;data=05%7C02%7CAnnika.Stollery%40ndis.gov.au%7C8dadf34534af494b9a0e08ded1c66299%7Ccd778b65752d454a87cfb9990fe58993%7C0%7C0%7C639178848120958550%7CUnknown%7CTWFpbGZsb3d8eyJFbXB0eU1hcGkiOnRydWUsIlYiOiIwLjAuMDAwMCIsIlAiOiJXaW4zMiIsIkFOIjoiTWFpbCIsIldUIjoyfQ%3D%3D%7C0%7C%7C%7C&amp;sdata=0zRbQTZyRNJwBf9QAGnawppYIexdCFBZYMQZqCBWKQU%3D&amp;reserved=0</vt:lpwstr>
      </vt:variant>
      <vt:variant>
        <vt:lpwstr/>
      </vt:variant>
      <vt:variant>
        <vt:i4>6619187</vt:i4>
      </vt:variant>
      <vt:variant>
        <vt:i4>168</vt:i4>
      </vt:variant>
      <vt:variant>
        <vt:i4>0</vt:i4>
      </vt:variant>
      <vt:variant>
        <vt:i4>5</vt:i4>
      </vt:variant>
      <vt:variant>
        <vt:lpwstr>https://aus01.safelinks.protection.outlook.com/?url=https%3A%2F%2Fwww.health.gov.au%2Four-work%2Fthriving-kids%3Flanguage%3Den&amp;data=05%7C02%7CJaimee.Wilkens2%40ndis.gov.au%7Cff6770f5314045fcba2f08df242a5389%7Ccd778b65752d454a87cfb9990fe58993%7C0%7C0%7C639269436363035696%7CUnknown%7CTWFpbGZsb3d8eyJFbXB0eU1hcGkiOnRydWUsIlYiOiIwLjAuMDAwMCIsIlAiOiJXaW4zMiIsIkFOIjoiTWFpbCIsIldUIjoyfQ%3D%3D%7C0%7C%7C%7C&amp;sdata=v0%2BwfwCCERKmujX77BpYsWVuGikRSCjNarOw38uvnIg%3D&amp;reserved=0</vt:lpwstr>
      </vt:variant>
      <vt:variant>
        <vt:lpwstr/>
      </vt:variant>
      <vt:variant>
        <vt:i4>5046291</vt:i4>
      </vt:variant>
      <vt:variant>
        <vt:i4>165</vt:i4>
      </vt:variant>
      <vt:variant>
        <vt:i4>0</vt:i4>
      </vt:variant>
      <vt:variant>
        <vt:i4>5</vt:i4>
      </vt:variant>
      <vt:variant>
        <vt:lpwstr>https://www.ndis.gov.au/ndis-laws/integrity-and-safeguarding</vt:lpwstr>
      </vt:variant>
      <vt:variant>
        <vt:lpwstr/>
      </vt:variant>
      <vt:variant>
        <vt:i4>2359328</vt:i4>
      </vt:variant>
      <vt:variant>
        <vt:i4>162</vt:i4>
      </vt:variant>
      <vt:variant>
        <vt:i4>0</vt:i4>
      </vt:variant>
      <vt:variant>
        <vt:i4>5</vt:i4>
      </vt:variant>
      <vt:variant>
        <vt:lpwstr>https://www.ndis.gov.au/about-us/about-ndia/our-values</vt:lpwstr>
      </vt:variant>
      <vt:variant>
        <vt:lpwstr/>
      </vt:variant>
      <vt:variant>
        <vt:i4>5898323</vt:i4>
      </vt:variant>
      <vt:variant>
        <vt:i4>3</vt:i4>
      </vt:variant>
      <vt:variant>
        <vt:i4>0</vt:i4>
      </vt:variant>
      <vt:variant>
        <vt:i4>5</vt:i4>
      </vt:variant>
      <vt:variant>
        <vt:lpwstr>https://www.health.gov.au/our-work/ndis-legislation-changes/amendments/ndis-amendment-securing-the-ndis-for-future-generations-bill-2026</vt:lpwstr>
      </vt:variant>
      <vt:variant>
        <vt:lpwstr/>
      </vt:variant>
      <vt:variant>
        <vt:i4>2883633</vt:i4>
      </vt:variant>
      <vt:variant>
        <vt:i4>0</vt:i4>
      </vt:variant>
      <vt:variant>
        <vt:i4>0</vt:i4>
      </vt:variant>
      <vt:variant>
        <vt:i4>5</vt:i4>
      </vt:variant>
      <vt:variant>
        <vt:lpwstr>https://dataresearch.ndis.gov.au/reports-and-analyses/previous-annual-financial-sustainability-reports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Blachford, Bridie</dc:creator>
  <cp:keywords/>
  <dc:description/>
  <cp:lastModifiedBy>Blachford, Bridie</cp:lastModifiedBy>
  <cp:revision>7</cp:revision>
  <cp:lastPrinted>2026-10-23T00:07:00Z</cp:lastPrinted>
  <dcterms:created xsi:type="dcterms:W3CDTF">2026-10-23T04:38:00Z</dcterms:created>
  <dcterms:modified xsi:type="dcterms:W3CDTF">2026-10-23T04:57:00Z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NDIAAudience">
    <vt:lpwstr>1;#All staff|60152733-a6e9-4070-8d91-7ad5c325687c</vt:lpwstr>
  </property>
  <property fmtid="{D5CDD505-2E9C-101B-9397-08002B2CF9AE}" pid="4" name="DocumentStatus">
    <vt:lpwstr>12;#Approved|38d2d1ad-195e-4428-a55d-25a6b10fdc1d</vt:lpwstr>
  </property>
  <property fmtid="{D5CDD505-2E9C-101B-9397-08002B2CF9AE}" pid="5" name="NDIALocation">
    <vt:lpwstr>2;#Australia-wide|128ca0ae-5e24-49e1-a2ce-f7dc74366abc</vt:lpwstr>
  </property>
  <property fmtid="{D5CDD505-2E9C-101B-9397-08002B2CF9AE}" pid="6" name="DocumentType">
    <vt:lpwstr>20;#Template|134e8c49-a2b9-47ae-b156-db0bee5ca248</vt:lpwstr>
  </property>
  <property fmtid="{D5CDD505-2E9C-101B-9397-08002B2CF9AE}" pid="7" name="NDIALocation_1">
    <vt:lpwstr>Australia-wide|128ca0ae-5e24-49e1-a2ce-f7dc74366abc</vt:lpwstr>
  </property>
  <property fmtid="{D5CDD505-2E9C-101B-9397-08002B2CF9AE}" pid="8" name="DocumentStatus_1">
    <vt:lpwstr>Approved|38d2d1ad-195e-4428-a55d-25a6b10fdc1d</vt:lpwstr>
  </property>
  <property fmtid="{D5CDD505-2E9C-101B-9397-08002B2CF9AE}" pid="9" name="NDIAAudience_1">
    <vt:lpwstr>All staff|60152733-a6e9-4070-8d91-7ad5c325687c</vt:lpwstr>
  </property>
  <property fmtid="{D5CDD505-2E9C-101B-9397-08002B2CF9AE}" pid="10" name="TaxKeywordTaxHTField">
    <vt:lpwstr/>
  </property>
  <property fmtid="{D5CDD505-2E9C-101B-9397-08002B2CF9AE}" pid="11" name="TaxCatchAll">
    <vt:lpwstr>20;#;#12;#;#2;#;#1;#</vt:lpwstr>
  </property>
  <property fmtid="{D5CDD505-2E9C-101B-9397-08002B2CF9AE}" pid="12" name="DocumentType_1">
    <vt:lpwstr>Template|134e8c49-a2b9-47ae-b156-db0bee5ca248</vt:lpwstr>
  </property>
  <property fmtid="{D5CDD505-2E9C-101B-9397-08002B2CF9AE}" pid="13" name="ApprovedDate">
    <vt:lpwstr/>
  </property>
  <property fmtid="{D5CDD505-2E9C-101B-9397-08002B2CF9AE}" pid="14" name="ReviewDate">
    <vt:lpwstr/>
  </property>
  <property fmtid="{D5CDD505-2E9C-101B-9397-08002B2CF9AE}" pid="15" name="EffectiveDate">
    <vt:lpwstr/>
  </property>
  <property fmtid="{D5CDD505-2E9C-101B-9397-08002B2CF9AE}" pid="16" name="ResponsibleTeam">
    <vt:lpwstr/>
  </property>
  <property fmtid="{D5CDD505-2E9C-101B-9397-08002B2CF9AE}" pid="17" name="DocumentID">
    <vt:lpwstr/>
  </property>
  <property fmtid="{D5CDD505-2E9C-101B-9397-08002B2CF9AE}" pid="18" name="Subject matter">
    <vt:lpwstr/>
  </property>
  <property fmtid="{D5CDD505-2E9C-101B-9397-08002B2CF9AE}" pid="19" name="MediaServiceImageTags">
    <vt:lpwstr/>
  </property>
  <property fmtid="{D5CDD505-2E9C-101B-9397-08002B2CF9AE}" pid="20" name="Modifiedon">
    <vt:filetime>2025-08-11T03:15:39Z</vt:filetime>
  </property>
  <property fmtid="{D5CDD505-2E9C-101B-9397-08002B2CF9AE}" pid="21" name="Modifiedby">
    <vt:lpwstr/>
  </property>
  <property fmtid="{D5CDD505-2E9C-101B-9397-08002B2CF9AE}" pid="22" name="MSIP_Label_2b83f8d7-e91f-4eee-a336-52a8061c0503_Enabled">
    <vt:lpwstr>true</vt:lpwstr>
  </property>
  <property fmtid="{D5CDD505-2E9C-101B-9397-08002B2CF9AE}" pid="23" name="MSIP_Label_2b83f8d7-e91f-4eee-a336-52a8061c0503_SetDate">
    <vt:lpwstr>2026-02-26T02:15:37Z</vt:lpwstr>
  </property>
  <property fmtid="{D5CDD505-2E9C-101B-9397-08002B2CF9AE}" pid="24" name="MSIP_Label_2b83f8d7-e91f-4eee-a336-52a8061c0503_Method">
    <vt:lpwstr>Privileged</vt:lpwstr>
  </property>
  <property fmtid="{D5CDD505-2E9C-101B-9397-08002B2CF9AE}" pid="25" name="MSIP_Label_2b83f8d7-e91f-4eee-a336-52a8061c0503_Name">
    <vt:lpwstr>OFFICIAL</vt:lpwstr>
  </property>
  <property fmtid="{D5CDD505-2E9C-101B-9397-08002B2CF9AE}" pid="26" name="MSIP_Label_2b83f8d7-e91f-4eee-a336-52a8061c0503_SiteId">
    <vt:lpwstr>cd778b65-752d-454a-87cf-b9990fe58993</vt:lpwstr>
  </property>
  <property fmtid="{D5CDD505-2E9C-101B-9397-08002B2CF9AE}" pid="27" name="MSIP_Label_2b83f8d7-e91f-4eee-a336-52a8061c0503_ActionId">
    <vt:lpwstr>abf5ae46-46ee-44ea-aea2-f4ab45dae2fc</vt:lpwstr>
  </property>
  <property fmtid="{D5CDD505-2E9C-101B-9397-08002B2CF9AE}" pid="28" name="MSIP_Label_2b83f8d7-e91f-4eee-a336-52a8061c0503_ContentBits">
    <vt:lpwstr>0</vt:lpwstr>
  </property>
  <property fmtid="{D5CDD505-2E9C-101B-9397-08002B2CF9AE}" pid="29" name="MSIP_Label_2b83f8d7-e91f-4eee-a336-52a8061c0503_Tag">
    <vt:lpwstr>50, 0, 1, 1</vt:lpwstr>
  </property>
  <property fmtid="{D5CDD505-2E9C-101B-9397-08002B2CF9AE}" pid="30" name="ContentTypeId">
    <vt:lpwstr>0x0101009F71F9CCC9AAC34393A63A54582B6CC5</vt:lpwstr>
  </property>
  <property fmtid="{D5CDD505-2E9C-101B-9397-08002B2CF9AE}" pid="31" name="docLang">
    <vt:lpwstr>en</vt:lpwstr>
  </property>
</Properties>
</file>